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1</w:t>
      </w:r>
    </w:p>
    <w:p>
      <w:pPr>
        <w:jc w:val="center"/>
      </w:pPr>
      <w:r>
        <w:t> </w:t>
      </w:r>
    </w:p>
    <w:p>
      <w:pPr>
        <w:jc w:val="center"/>
        <w:spacing w:after="120"/>
      </w:pPr>
      <w:r>
        <w:rPr>
          <w:b/>
          <w:sz w:val="36"/>
        </w:rPr>
        <w:t xml:space="preserve">THỰC TRẠNG VỀ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TS. NGUYỄN MINH CẢNH</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cross-section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Nhóm VI gồm 8 nền (7 Pacific + Timor-Leste); mẫu chính của nghiên cứu SIDS là 7 nền Pacific.</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(Δ 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doanh nghiệp ở 42 nền kinh tế châu Á đại lục và Đông Á (phạm vi chính) và so sánh với 8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n=2.295, 2,6% mẫu gộp)</w:t>
      </w:r>
      <w:r>
        <w:t xml:space="preserve">: Fiji, Papua New Guinea, Solomon Islands, Tonga, Vanuatu, Samoa, Kiribati (2025) và Timor-Leste. Mẫu chính của nghiên cứu chuyên sâu SIDS là 7 nền Thái Bình Dương (n=1.781).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panel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Tầng 2 nhưng không đo Tầng 3/4. Chuyên đề chỉ phát biểu về phần bù Tầng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Tầng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Bức tranh thực trạng đa chiều</w:t>
      </w:r>
      <w:r>
        <w:t xml:space="preserve"> </w:t>
      </w:r>
      <w:r>
        <w:t xml:space="preserve">cho hiệu quả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(innovation-driven so với resource-driven),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Tầng 1 (website nhị phân, tiệm cận bão hòa ở Advanced) và Tầng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gradient cường độ rõ rệt của các hệ số tương quan xuyên 6 nhóm thể chế (đặc biệt: tương quan FSTS–năng suất giảm dần từ +0,139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đảo</w:t>
      </w:r>
      <w:r>
        <w:t xml:space="preserve"> </w:t>
      </w:r>
      <w:r>
        <w:rPr>
          <w:iCs/>
          <w:i/>
        </w:rPr>
        <w:t xml:space="preserve">dấu</w:t>
      </w:r>
      <w:r>
        <w:t xml:space="preserve"> </w:t>
      </w:r>
      <w:r>
        <w:t xml:space="preserve">của các tương quan, rõ nhất ở gradient FSTS giảm đơn điệu từ +0,139 (Nhóm I) xuống mất ý nghĩa và đổi dấu ở SIDS (−0,009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Tầng 1 và Tầng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Tầng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gradient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Tầng 1–2, không Tầng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(Tier 1 = website only) sang</w:t>
      </w:r>
      <w:r>
        <w:t xml:space="preserve"> </w:t>
      </w:r>
      <w:r>
        <w:rPr>
          <w:bCs/>
          <w:b/>
        </w:rPr>
        <w:t xml:space="preserve">phụ thuộc giai đoạn</w:t>
      </w:r>
      <w:r>
        <w:t xml:space="preserve">: tương tác DAI×FSTS âm ở FSTS cao, Tầng 1 trở thành điểm nghẽn. Singapore (Tier 1+2) sang</w:t>
      </w:r>
      <w:r>
        <w:t xml:space="preserve"> </w:t>
      </w:r>
      <w:r>
        <w:rPr>
          <w:bCs/>
          <w:b/>
        </w:rPr>
        <w:t xml:space="preserve">mở rộng có điều kiện</w:t>
      </w:r>
      <w:r>
        <w:t xml:space="preserve">: tương tác DAI×FSTS² dương mạnh (β=3,119, p=0,005), Tầng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β=1,639, p&lt;0,001,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n=2.295 (2,6% mẫu gộp);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6.390</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2.231</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13.993</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45.003</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18.957</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 Timor-Leste</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kinh tế</w:t>
            </w:r>
          </w:p>
        </w:tc>
        <w:tc>
          <w:tcPr/>
          <w:p>
            <w:pPr>
              <w:pStyle w:val="Compact"/>
              <w:jc w:val="center"/>
            </w:pPr>
            <w:r>
              <w:rPr>
                <w:bCs/>
                <w:b/>
              </w:rPr>
              <w:t xml:space="preserve">88.869</w:t>
            </w:r>
            <w:r>
              <w:t xml:space="preserve"> </w:t>
            </w:r>
            <w:r>
              <w:t xml:space="preserve">(mẫu gộp mô tả)</w:t>
            </w:r>
          </w:p>
        </w:tc>
      </w:tr>
    </w:tbl>
    <w:p>
      <w:pPr>
        <w:pStyle w:val="BodyText"/>
      </w:pPr>
      <w:r>
        <w:rPr>
          <w:iCs/>
          <w:i/>
        </w:rPr>
        <w:t xml:space="preserve">Ghi chú: Cột N là số doanh nghiệp trong mẫu gộp mô tả (88.869 DN / 50 nền kinh tế / 103 cặp nền × năm). Nhật Bản được WBES khảo sát lần đầu năm 2025 (n=2.168) và là thành viên đầy đủ của Nhóm I. Nhãn nhóm theo biến phân loại</w:t>
      </w:r>
      <w:r>
        <w:rPr>
          <w:iCs/>
          <w:i/>
        </w:rPr>
        <w:t xml:space="preserve"> </w:t>
      </w:r>
      <w:r>
        <w:rPr>
          <w:rStyle w:val="VerbatimChar"/>
          <w:iCs/>
          <w:i/>
        </w:rPr>
        <w:t xml:space="preserve">icrv_label</w:t>
      </w:r>
      <w:r>
        <w:rPr>
          <w:iCs/>
          <w:i/>
        </w:rPr>
        <w:t xml:space="preserve">, dùng thống nhất trong luận án và hai chuyên đề. SIDS: mẫu chính của nghiên cứu chuyên sâu SIDS là 7 nền Pacific; kiểm định bền vững mở rộng 9 nền. Khung ước lượng đa quốc gia của luận án (P7) được chạy trên bộ dữ liệu 50 nền/88.869 quan sát gồm Nhật Bản (mẫu gộp phân loại 96.415 / 52 nền); vòng tái ước lượng 50 nền đã hoàn tất nên mô tả và ước lượng nay dùng chung MỘT khung 50 nền (hồi quy M2 N=81.022; M5 N=79.080).</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JABS,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Mẫu gộp mô tả gồm</w:t>
      </w:r>
      <w:r>
        <w:t xml:space="preserve"> </w:t>
      </w:r>
      <w:r>
        <w:rPr>
          <w:bCs/>
          <w:b/>
        </w:rPr>
        <w:t xml:space="preserve">88.869 doanh nghiệp</w:t>
      </w:r>
      <w:r>
        <w:t xml:space="preserve">, 50 nền kinh tế,</w:t>
      </w:r>
      <w:r>
        <w:t xml:space="preserve"> </w:t>
      </w:r>
      <w:r>
        <w:rPr>
          <w:bCs/>
          <w:b/>
        </w:rPr>
        <w:t xml:space="preserve">103 cặp nền kinh tế × năm</w:t>
      </w:r>
      <w:r>
        <w:t xml:space="preserve">, giai đoạn 2006–2026 (bao gồm Kiribati 2025, đợt khảo sát WBES đầu tiên của nền kinh tế này). Tổng hợp này kế thừa và mở rộng từ mẫu gộp 17 nền châu Á mới nổi (~40.633 doanh nghiệp) của Đỗ &amp; Phan (2026, VEFR), gấp hơn 2 lần. Phân bố theo nhóm ICRV: Nhóm IV Chuyển đổi TB-thấp 45.003 (50,6%), Nhóm V Đang nổi 18.957 (21,3%), Nhóm III Trung bình cao 13.993 (15,7%), Nhóm I Advanced đổi mới 6.390 (7,2%), Nhóm VI SIDS 2.295 (2,6%), Nhóm II Advanced tài nguyên 2.231 (2,5%).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IV Chuyển đổi TB-thấp (45.003, 50,6%), V Đang nổi (18.957, 21,3%), III Trung bình cao (13.993, 15,7%), I Advanced đổi mới (6.390, 7,2%), VI SIDS (2.295, 2,6%), II Advanced tài nguyên (2.231, 2,5%).</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mẫu gộp mô tả 103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5.661</w:t>
            </w:r>
          </w:p>
        </w:tc>
        <w:tc>
          <w:tcPr/>
          <w:p>
            <w:pPr>
              <w:pStyle w:val="Compact"/>
              <w:jc w:val="right"/>
            </w:pPr>
            <w:r>
              <w:rPr>
                <w:bCs/>
                <w:b/>
              </w:rPr>
              <w:t xml:space="preserve">1,00</w:t>
            </w:r>
          </w:p>
        </w:tc>
        <w:tc>
          <w:tcPr/>
          <w:p>
            <w:pPr>
              <w:pStyle w:val="Compact"/>
              <w:jc w:val="right"/>
            </w:pPr>
            <w:r>
              <w:rPr>
                <w:bCs/>
                <w:b/>
              </w:rPr>
              <w:t xml:space="preserve">11,7</w:t>
            </w:r>
          </w:p>
        </w:tc>
        <w:tc>
          <w:tcPr/>
          <w:p>
            <w:pPr>
              <w:pStyle w:val="Compact"/>
              <w:jc w:val="right"/>
            </w:pPr>
            <w:r>
              <w:t xml:space="preserve">3,4</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1,14</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17</w:t>
            </w:r>
          </w:p>
        </w:tc>
        <w:tc>
          <w:tcPr/>
          <w:p>
            <w:pPr>
              <w:pStyle w:val="Compact"/>
              <w:jc w:val="right"/>
            </w:pPr>
            <w:r>
              <w:t xml:space="preserve">12.481</w:t>
            </w:r>
          </w:p>
        </w:tc>
        <w:tc>
          <w:tcPr/>
          <w:p>
            <w:pPr>
              <w:pStyle w:val="Compact"/>
              <w:jc w:val="right"/>
            </w:pPr>
            <w:r>
              <w:t xml:space="preserve">1,37</w:t>
            </w:r>
          </w:p>
        </w:tc>
        <w:tc>
          <w:tcPr/>
          <w:p>
            <w:pPr>
              <w:pStyle w:val="Compact"/>
              <w:jc w:val="right"/>
            </w:pPr>
            <w:r>
              <w:t xml:space="preserve">25,0</w:t>
            </w:r>
          </w:p>
        </w:tc>
        <w:tc>
          <w:tcPr/>
          <w:p>
            <w:pPr>
              <w:pStyle w:val="Compact"/>
              <w:jc w:val="right"/>
            </w:pPr>
            <w:r>
              <w:t xml:space="preserve">5,4</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1,31</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40</w:t>
            </w:r>
          </w:p>
        </w:tc>
        <w:tc>
          <w:tcPr/>
          <w:p>
            <w:pPr>
              <w:pStyle w:val="Compact"/>
              <w:jc w:val="right"/>
            </w:pPr>
            <w:r>
              <w:t xml:space="preserve">16.595</w:t>
            </w:r>
          </w:p>
        </w:tc>
        <w:tc>
          <w:tcPr/>
          <w:p>
            <w:pPr>
              <w:pStyle w:val="Compact"/>
              <w:jc w:val="right"/>
            </w:pPr>
            <w:r>
              <w:rPr>
                <w:bCs/>
                <w:b/>
              </w:rPr>
              <w:t xml:space="preserve">1,39</w:t>
            </w:r>
          </w:p>
        </w:tc>
        <w:tc>
          <w:tcPr/>
          <w:p>
            <w:pPr>
              <w:pStyle w:val="Compact"/>
              <w:jc w:val="right"/>
            </w:pPr>
            <w:r>
              <w:rPr>
                <w:bCs/>
                <w:b/>
              </w:rPr>
              <w:t xml:space="preserve">30,3</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1,32</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Gradient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outlier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gradient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n=2.295).</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tính từ dữ liệu vi mô WBES trên mẫu gộp mô tả 50 nền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Gradient năng lực thể chế vẫn rõ ở các biến nền tảng: R&amp;D giảm từ 20,5% (Nhóm I) xuống 10,2% (Nhóm VI); ISO 35,0% rồi 12,2%; website 61,7% rồi 41,5%. Phân tách rõ TCI so với DAI, kế thừa Đỗ &amp; Phan (2026, VEFR).</w:t>
      </w:r>
    </w:p>
    <w:bookmarkEnd w:id="62"/>
    <w:bookmarkStart w:id="63" w:name="Xdbf03bfe856aa219791dbd3c40b9a33c42291cb"/>
    <w:p>
      <w:pPr>
        <w:pStyle w:val="Heading4"/>
      </w:pPr>
      <w:r>
        <w:t xml:space="preserve">2.3.4.3 Tái định hình Chỉ số áp dụng số: Tầng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(+0,090,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Tier-1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Δ Website</w:t>
            </w:r>
          </w:p>
        </w:tc>
        <w:tc>
          <w:tcPr/>
          <w:p>
            <w:pPr>
              <w:pStyle w:val="Compact"/>
              <w:jc w:val="right"/>
            </w:pPr>
            <w:r>
              <w:t xml:space="preserve">Δ DN xuất khẩu</w:t>
            </w:r>
          </w:p>
        </w:tc>
        <w:tc>
          <w:tcPr/>
          <w:p>
            <w:pPr>
              <w:pStyle w:val="Compact"/>
              <w:jc w:val="right"/>
            </w:pPr>
            <w:r>
              <w:t xml:space="preserve">Δ FDI ≥10%</w:t>
            </w:r>
          </w:p>
        </w:tc>
        <w:tc>
          <w:tcPr/>
          <w:p>
            <w:pPr>
              <w:pStyle w:val="Compact"/>
              <w:jc w:val="right"/>
            </w:pPr>
            <w:r>
              <w:t xml:space="preserve">Δ R&amp;D</w:t>
            </w:r>
          </w:p>
        </w:tc>
        <w:tc>
          <w:tcPr/>
          <w:p>
            <w:pPr>
              <w:pStyle w:val="Compact"/>
              <w:jc w:val="right"/>
            </w:pPr>
            <w:r>
              <w:t xml:space="preserve">Δ 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 ≥10%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cross-section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Tầng 3–4, vượt xa lớp DAI Tầng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 ≥ 10%</w:t>
            </w:r>
          </w:p>
        </w:tc>
        <w:tc>
          <w:tcPr/>
          <w:p>
            <w:pPr>
              <w:pStyle w:val="Compact"/>
              <w:jc w:val="right"/>
            </w:pPr>
            <w:r>
              <w:t xml:space="preserve">+0,104**</w:t>
            </w:r>
          </w:p>
        </w:tc>
        <w:tc>
          <w:tcPr/>
          <w:p>
            <w:pPr>
              <w:pStyle w:val="Compact"/>
              <w:jc w:val="right"/>
            </w:pPr>
            <w:r>
              <w:t xml:space="preserve">+0,114**</w:t>
            </w:r>
          </w:p>
        </w:tc>
        <w:tc>
          <w:tcPr/>
          <w:p>
            <w:pPr>
              <w:pStyle w:val="Compact"/>
              <w:jc w:val="right"/>
            </w:pPr>
            <w:r>
              <w:t xml:space="preserve">+0,124**</w:t>
            </w:r>
          </w:p>
        </w:tc>
        <w:tc>
          <w:tcPr/>
          <w:p>
            <w:pPr>
              <w:pStyle w:val="Compact"/>
              <w:jc w:val="right"/>
            </w:pPr>
            <w:r>
              <w:t xml:space="preserve">+0,072**</w:t>
            </w:r>
          </w:p>
        </w:tc>
        <w:tc>
          <w:tcPr/>
          <w:p>
            <w:pPr>
              <w:pStyle w:val="Compact"/>
              <w:jc w:val="right"/>
            </w:pPr>
            <w:r>
              <w:t xml:space="preserve">+0,057**</w:t>
            </w:r>
          </w:p>
        </w:tc>
        <w:tc>
          <w:tcPr/>
          <w:p>
            <w:pPr>
              <w:pStyle w:val="Compact"/>
              <w:jc w:val="right"/>
            </w:pPr>
            <w:r>
              <w:t xml:space="preserve">+0,122**</w:t>
            </w:r>
          </w:p>
        </w:tc>
      </w:tr>
      <w:tr>
        <w:tc>
          <w:tcPr/>
          <w:p>
            <w:pPr>
              <w:pStyle w:val="Compact"/>
              <w:jc w:val="left"/>
            </w:pPr>
            <w:r>
              <w:t xml:space="preserve">FSTS</w:t>
            </w:r>
          </w:p>
        </w:tc>
        <w:tc>
          <w:tcPr/>
          <w:p>
            <w:pPr>
              <w:pStyle w:val="Compact"/>
              <w:jc w:val="right"/>
            </w:pPr>
            <w:r>
              <w:rPr>
                <w:bCs/>
                <w:b/>
              </w:rPr>
              <w:t xml:space="preserve">+0,139**</w:t>
            </w:r>
          </w:p>
        </w:tc>
        <w:tc>
          <w:tcPr/>
          <w:p>
            <w:pPr>
              <w:pStyle w:val="Compact"/>
              <w:jc w:val="right"/>
            </w:pPr>
            <w:r>
              <w:t xml:space="preserve">+0,131**</w:t>
            </w:r>
          </w:p>
        </w:tc>
        <w:tc>
          <w:tcPr/>
          <w:p>
            <w:pPr>
              <w:pStyle w:val="Compact"/>
              <w:jc w:val="right"/>
            </w:pPr>
            <w:r>
              <w:t xml:space="preserve">+0,094**</w:t>
            </w:r>
          </w:p>
        </w:tc>
        <w:tc>
          <w:tcPr/>
          <w:p>
            <w:pPr>
              <w:pStyle w:val="Compact"/>
              <w:jc w:val="right"/>
            </w:pPr>
            <w:r>
              <w:t xml:space="preserve">+0,047**</w:t>
            </w:r>
          </w:p>
        </w:tc>
        <w:tc>
          <w:tcPr/>
          <w:p>
            <w:pPr>
              <w:pStyle w:val="Compact"/>
              <w:jc w:val="right"/>
            </w:pPr>
            <w:r>
              <w:t xml:space="preserve">+0,018*</w:t>
            </w:r>
          </w:p>
        </w:tc>
        <w:tc>
          <w:tcPr/>
          <w:p>
            <w:pPr>
              <w:pStyle w:val="Compact"/>
              <w:jc w:val="right"/>
            </w:pPr>
            <w:r>
              <w:rPr>
                <w:bCs/>
                <w:b/>
              </w:rPr>
              <w:t xml:space="preserve">−0,009 ns</w:t>
            </w:r>
          </w:p>
        </w:tc>
      </w:tr>
      <w:tr>
        <w:tc>
          <w:tcPr/>
          <w:p>
            <w:pPr>
              <w:pStyle w:val="Compact"/>
              <w:jc w:val="left"/>
            </w:pPr>
            <w:r>
              <w:t xml:space="preserve">TCI (R&amp;D + ISO)</w:t>
            </w:r>
          </w:p>
        </w:tc>
        <w:tc>
          <w:tcPr/>
          <w:p>
            <w:pPr>
              <w:pStyle w:val="Compact"/>
              <w:jc w:val="right"/>
            </w:pPr>
            <w:r>
              <w:t xml:space="preserve">+0,158**</w:t>
            </w:r>
          </w:p>
        </w:tc>
        <w:tc>
          <w:tcPr/>
          <w:p>
            <w:pPr>
              <w:pStyle w:val="Compact"/>
              <w:jc w:val="right"/>
            </w:pPr>
            <w:r>
              <w:t xml:space="preserve">+0,187**</w:t>
            </w:r>
          </w:p>
        </w:tc>
        <w:tc>
          <w:tcPr/>
          <w:p>
            <w:pPr>
              <w:pStyle w:val="Compact"/>
              <w:jc w:val="right"/>
            </w:pPr>
            <w:r>
              <w:rPr>
                <w:bCs/>
                <w:b/>
              </w:rPr>
              <w:t xml:space="preserve">+0,240**</w:t>
            </w:r>
          </w:p>
        </w:tc>
        <w:tc>
          <w:tcPr/>
          <w:p>
            <w:pPr>
              <w:pStyle w:val="Compact"/>
              <w:jc w:val="right"/>
            </w:pPr>
            <w:r>
              <w:t xml:space="preserve">+0,141**</w:t>
            </w:r>
          </w:p>
        </w:tc>
        <w:tc>
          <w:tcPr/>
          <w:p>
            <w:pPr>
              <w:pStyle w:val="Compact"/>
              <w:jc w:val="right"/>
            </w:pPr>
            <w:r>
              <w:t xml:space="preserve">+0,125**</w:t>
            </w:r>
          </w:p>
        </w:tc>
        <w:tc>
          <w:tcPr/>
          <w:p>
            <w:pPr>
              <w:pStyle w:val="Compact"/>
              <w:jc w:val="right"/>
            </w:pPr>
            <w:r>
              <w:t xml:space="preserve">+0,117**</w:t>
            </w:r>
          </w:p>
        </w:tc>
      </w:tr>
      <w:tr>
        <w:tc>
          <w:tcPr/>
          <w:p>
            <w:pPr>
              <w:pStyle w:val="Compact"/>
              <w:jc w:val="left"/>
            </w:pPr>
            <w:r>
              <w:t xml:space="preserve">DAI (website)</w:t>
            </w:r>
          </w:p>
        </w:tc>
        <w:tc>
          <w:tcPr/>
          <w:p>
            <w:pPr>
              <w:pStyle w:val="Compact"/>
              <w:jc w:val="right"/>
            </w:pPr>
            <w:r>
              <w:t xml:space="preserve">+0,090**</w:t>
            </w:r>
          </w:p>
        </w:tc>
        <w:tc>
          <w:tcPr/>
          <w:p>
            <w:pPr>
              <w:pStyle w:val="Compact"/>
              <w:jc w:val="right"/>
            </w:pPr>
            <w:r>
              <w:rPr>
                <w:bCs/>
                <w:b/>
              </w:rPr>
              <w:t xml:space="preserve">+0,201**</w:t>
            </w:r>
          </w:p>
        </w:tc>
        <w:tc>
          <w:tcPr/>
          <w:p>
            <w:pPr>
              <w:pStyle w:val="Compact"/>
              <w:jc w:val="right"/>
            </w:pPr>
            <w:r>
              <w:t xml:space="preserve">+0,124**</w:t>
            </w:r>
          </w:p>
        </w:tc>
        <w:tc>
          <w:tcPr/>
          <w:p>
            <w:pPr>
              <w:pStyle w:val="Compact"/>
              <w:jc w:val="right"/>
            </w:pPr>
            <w:r>
              <w:t xml:space="preserve">+0,180**</w:t>
            </w:r>
          </w:p>
        </w:tc>
        <w:tc>
          <w:tcPr/>
          <w:p>
            <w:pPr>
              <w:pStyle w:val="Compact"/>
              <w:jc w:val="right"/>
            </w:pPr>
            <w:r>
              <w:t xml:space="preserve">+0,111**</w:t>
            </w:r>
          </w:p>
        </w:tc>
        <w:tc>
          <w:tcPr/>
          <w:p>
            <w:pPr>
              <w:pStyle w:val="Compact"/>
              <w:jc w:val="right"/>
            </w:pPr>
            <w:r>
              <w:t xml:space="preserve">+0,092**</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5.661 / 2.082 / 10.138 / 40.508 / 15.669 / 1.715 (quan sát có LP hợp lệ).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(+0,117 đến +0,240), năng lực công nghệ nền tảng là dịch chuyển mức phổ quát; (2)</w:t>
      </w:r>
      <w:r>
        <w:t xml:space="preserve"> </w:t>
      </w:r>
      <w:r>
        <w:rPr>
          <w:bCs/>
          <w:b/>
        </w:rPr>
        <w:t xml:space="preserve">gradient cường độ FSTS theo chiều thể chế</w:t>
      </w:r>
      <w:r>
        <w:t xml:space="preserve">: tương quan xuất khẩu–năng suất giảm đơn điệu từ +0,139 (Nhóm I) qua +0,047 (IV) và +0,018 (V) xuống</w:t>
      </w:r>
      <w:r>
        <w:t xml:space="preserve"> </w:t>
      </w:r>
      <w:r>
        <w:rPr>
          <w:bCs/>
          <w:b/>
        </w:rPr>
        <w:t xml:space="preserve">mất ý nghĩa ở SIDS (−0,009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ngoại lệ duy nhất về dấu của FSTS</w:t>
      </w:r>
      <w:r>
        <w:t xml:space="preserve">,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+0,104 và SIDS +0,122), hai cơ chế khác nhau: MNE hub tại Advanced và FDI ngoại sinh tại SIDS; (5)</w:t>
      </w:r>
      <w:r>
        <w:t xml:space="preserve"> </w:t>
      </w:r>
      <w:r>
        <w:rPr>
          <w:bCs/>
          <w:b/>
        </w:rPr>
        <w:t xml:space="preserve">DAI dương ở mọi nhóm nhưng thấp nhất tại Nhóm I (+0,090)</w:t>
      </w:r>
      <w:r>
        <w:t xml:space="preserve"> </w:t>
      </w:r>
      <w:r>
        <w:t xml:space="preserve">trong khi cao nhất ở II và IV (+0,201; +0,180), phần bù của hiện diện số Tầng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(+0,090 so với +0,180–0,201 ở các nhóm chuyển đổi/tài nguyên), nơi Tầng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Tier-1 Sự hiện diện số cơ bản</w:t>
      </w:r>
      <w:r>
        <w:t xml:space="preserve"> </w:t>
      </w:r>
      <w:r>
        <w:t xml:space="preserve">(tiệm cận bão hòa ở Advanced) và</w:t>
      </w:r>
      <w:r>
        <w:t xml:space="preserve"> </w:t>
      </w:r>
      <w:r>
        <w:rPr>
          <w:bCs/>
          <w:b/>
        </w:rPr>
        <w:t xml:space="preserve">Tier-2 Chuyển đổi số cơ bản</w:t>
      </w:r>
      <w:r>
        <w:t xml:space="preserve"> </w:t>
      </w:r>
      <w:r>
        <w:t xml:space="preserve">(đang phát triển). Phần bù tương quan DAI thấp nhất ở Nhóm I (+0,090) là dấu hiệu bão hòa Tầng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(+0,090, thấp nhất sáu nhóm) có thể phản ánh: (a) bão hòa thực sự của Tầng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(+0,139), suy yếu dần theo chiều thể chế và mất ý nghĩa tại SIDS (−0,009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Tầng 1 là yếu tố vệ sinh bão hòa. Tại Emerging, DAI Tầng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đổi dấu,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winsorize tổng thể</w:t>
      </w:r>
      <w:r>
        <w:t xml:space="preserve">: Winsorize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(+0,090 ở Advanced so với +0,201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Tầng 1 trong bối cảnh Tầng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(+0,122) là nguồn năng suất chủ đạo; tương quan FSTS–năng suất bằng không (−0,009,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Tầng 1.5/Tầng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(đang phản biện).</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(đang phản biện).</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mẫu gộp mô tả 88.869 doanh nghiệp, 103 cặp nền kinh tế × năm, 2006–2026.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6.390</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2.231</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(2024), Thái Lan (2016, 2025), Armenia (2009, 2013, 2020, 2024), Georgia (2013, 2019, 2023)</w:t>
            </w:r>
          </w:p>
        </w:tc>
        <w:tc>
          <w:tcPr/>
          <w:p>
            <w:pPr>
              <w:pStyle w:val="Compact"/>
              <w:jc w:val="right"/>
            </w:pPr>
            <w:r>
              <w:t xml:space="preserve">17</w:t>
            </w:r>
          </w:p>
        </w:tc>
        <w:tc>
          <w:tcPr/>
          <w:p>
            <w:pPr>
              <w:pStyle w:val="Compact"/>
              <w:jc w:val="right"/>
            </w:pPr>
            <w:r>
              <w:t xml:space="preserve">13.993</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45.003</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Turkmenistan, Maldives (các đợt 2006–2025)</w:t>
            </w:r>
          </w:p>
        </w:tc>
        <w:tc>
          <w:tcPr/>
          <w:p>
            <w:pPr>
              <w:pStyle w:val="Compact"/>
              <w:jc w:val="right"/>
            </w:pPr>
            <w:r>
              <w:t xml:space="preserve">40</w:t>
            </w:r>
          </w:p>
        </w:tc>
        <w:tc>
          <w:tcPr/>
          <w:p>
            <w:pPr>
              <w:pStyle w:val="Compact"/>
              <w:jc w:val="right"/>
            </w:pPr>
            <w:r>
              <w:t xml:space="preserve">18.957</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2.295</w:t>
            </w:r>
          </w:p>
        </w:tc>
      </w:tr>
      <w:tr>
        <w:tc>
          <w:tcPr/>
          <w:p>
            <w:pPr>
              <w:pStyle w:val="Compact"/>
              <w:jc w:val="left"/>
            </w:pPr>
            <w:r>
              <w:rPr>
                <w:bCs/>
                <w:b/>
              </w:rPr>
              <w:t xml:space="preserve">Tổng</w:t>
            </w:r>
          </w:p>
        </w:tc>
        <w:tc>
          <w:tcPr/>
          <w:p>
            <w:pPr>
              <w:pStyle w:val="Compact"/>
              <w:jc w:val="left"/>
            </w:pPr>
            <w:r>
              <w:rPr>
                <w:bCs/>
                <w:b/>
              </w:rPr>
              <w:t xml:space="preserve">50 nền kinh tế</w:t>
            </w:r>
          </w:p>
        </w:tc>
        <w:tc>
          <w:tcPr/>
          <w:p>
            <w:pPr>
              <w:pStyle w:val="Compact"/>
              <w:jc w:val="right"/>
            </w:pPr>
            <w:r>
              <w:rPr>
                <w:bCs/>
                <w:b/>
              </w:rPr>
              <w:t xml:space="preserve">103</w:t>
            </w:r>
          </w:p>
        </w:tc>
        <w:tc>
          <w:tcPr/>
          <w:p>
            <w:pPr>
              <w:pStyle w:val="Compact"/>
              <w:jc w:val="right"/>
            </w:pPr>
            <w:r>
              <w:rPr>
                <w:bCs/>
                <w:b/>
              </w:rPr>
              <w:t xml:space="preserve">88.869</w:t>
            </w:r>
          </w:p>
        </w:tc>
      </w:tr>
    </w:tbl>
    <w:p>
      <w:pPr>
        <w:pStyle w:val="BodyText"/>
      </w:pPr>
      <w:r>
        <w:rPr>
          <w:iCs/>
          <w:i/>
        </w:rPr>
        <w:t xml:space="preserve">Ghi chú: mỗi cặp nền kinh tế × năm lấy đúng một cross-section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p>
      <w:r>
        <w:br w:type="page"/>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2026-06-18T19:46:20Z</dcterms:created>
  <dcterms:modified xsi:type="dcterms:W3CDTF">2026-06-18T19:46:20Z</dcterms:modified>
</cp:coreProperties>
</file>

<file path=docProps/custom.xml><?xml version="1.0" encoding="utf-8"?>
<Properties xmlns="http://schemas.openxmlformats.org/officeDocument/2006/custom-properties" xmlns:vt="http://schemas.openxmlformats.org/officeDocument/2006/docPropsVTypes"/>
</file>