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dàn-ý-5-chương-luận-án"/>
    <w:p>
      <w:pPr>
        <w:pStyle w:val="Heading1"/>
      </w:pPr>
      <w:r>
        <w:t xml:space="preserve">Dàn ý 5 chương luận án</w:t>
      </w:r>
    </w:p>
    <w:p>
      <w:pPr>
        <w:pStyle w:val="FirstParagraph"/>
      </w:pPr>
      <w:r>
        <w:rPr>
          <w:bCs/>
          <w:b/>
        </w:rPr>
        <w:t xml:space="preserve">Tên đề tài (chính thức theo QĐ 4769/QĐ-ĐHCT, 15/10/2024)</w:t>
      </w:r>
      <w:r>
        <w:t xml:space="preserve">: Quốc tế hóa và hiệu quả hoạt động kinh doanh của các doanh nghiệp ở Châu Á</w:t>
      </w:r>
    </w:p>
    <w:p>
      <w:pPr>
        <w:pStyle w:val="BodyText"/>
      </w:pPr>
      <w:r>
        <w:rPr>
          <w:bCs/>
          <w:b/>
        </w:rPr>
        <w:t xml:space="preserve">Trọng tâm khoa học (subtitle học thuật, dùng trong abstract và phần giới thiệu nội dung)</w:t>
      </w:r>
      <w:r>
        <w:t xml:space="preserve">: Vai trò điều tiết của thể chế, năng lực số và đặc điểm nhà quản trị</w:t>
      </w:r>
    </w:p>
    <w:p>
      <w:pPr>
        <w:pStyle w:val="BodyText"/>
      </w:pPr>
      <w:r>
        <w:rPr>
          <w:bCs/>
          <w:b/>
        </w:rPr>
        <w:t xml:space="preserve">Cấu trúc</w:t>
      </w:r>
      <w:r>
        <w:t xml:space="preserve">: Luận án tiến sĩ truyền thống 5 chương (không paper-based) theo chuẩn Trường Kinh tế, Đại học Cần Thơ.</w:t>
      </w:r>
    </w:p>
    <w:p>
      <w:pPr>
        <w:pStyle w:val="BodyText"/>
      </w:pPr>
      <w:r>
        <w:rPr>
          <w:bCs/>
          <w:b/>
        </w:rPr>
        <w:t xml:space="preserve">Logic xuyên suốt</w:t>
      </w:r>
      <w:r>
        <w:t xml:space="preserve">: Ch.1 đặt vấn đề → Ch.2 xây dựng khung lý thuyết và triển khai giả thuyết → Ch.3 thiết kế phương pháp → Ch.4 cung cấp bằng chứng ở ba cấp (meta, country, multi-country) → Ch.5 tích hợp đóng góp và hàm ý.</w:t>
      </w:r>
    </w:p>
    <w:p>
      <w:r>
        <w:pict>
          <v:rect style="width:0;height:1.5pt" o:hralign="center" o:hrstd="t" o:hr="t"/>
        </w:pict>
      </w:r>
    </w:p>
    <w:bookmarkStart w:id="27" w:name="chương-1-giới-thiệu"/>
    <w:p>
      <w:pPr>
        <w:pStyle w:val="Heading2"/>
      </w:pPr>
      <w:r>
        <w:t xml:space="preserve">CHƯƠNG 1. GIỚI THIỆU</w:t>
      </w:r>
    </w:p>
    <w:p>
      <w:pPr>
        <w:pStyle w:val="FirstParagraph"/>
      </w:pPr>
      <w:r>
        <w:t xml:space="preserve">Chương 1 có nhiệm vụ đặt bài toán nghiên cứu, xác định khoảng trống, nêu mục tiêu và câu hỏi nghiên cứu, đồng thời giới thiệu tính mới và đóng góp dự kiến của luận án.</w:t>
      </w:r>
    </w:p>
    <w:bookmarkStart w:id="20" w:name="X13b13dcb632e299e7aab4c6eaebd9a76fa1beb2"/>
    <w:p>
      <w:pPr>
        <w:pStyle w:val="Heading3"/>
      </w:pPr>
      <w:r>
        <w:t xml:space="preserve">1.1 Bối cảnh nghiên cứu</w:t>
      </w:r>
    </w:p>
    <w:p>
      <w:pPr>
        <w:pStyle w:val="FirstParagraph"/>
      </w:pPr>
      <w:r>
        <w:t xml:space="preserve">Quốc tế hóa doanh nghiệp là một trong những chủ đề trung tâm của kinh doanh quốc tế trong hơn nửa thế kỷ qua, với nhiều tranh luận về việc quốc tế hóa có cuối cùng cải thiện hiệu quả hoạt động của doanh nghiệp hay không (Johanson &amp; Vahlne, 1977, 2009; Lu &amp; Beamish, 2004; Contractor et al., 2003). Ở Châu Á, bối cảnh này đặc biệt đáng quan tâm vì khu vực đang chứng kiến tốc độ hội nhập và chuyển đổi số rất không đồng đều giữa các quốc gia, từ các nền kinh tế mở như Singapore đến các nền kinh tế chuyển đổi như Việt Nam, các nền kinh tế mới nổi quy mô lớn như Trung Quốc và Ấn Độ (Khanna &amp; Palepu, 2010; Peng, 2003).</w:t>
      </w:r>
    </w:p>
    <w:bookmarkEnd w:id="20"/>
    <w:bookmarkStart w:id="21" w:name="X53e2415d4fb45baf8cd2a412e42535181010810"/>
    <w:p>
      <w:pPr>
        <w:pStyle w:val="Heading3"/>
      </w:pPr>
      <w:r>
        <w:t xml:space="preserve">1.2 Vấn đề nghiên cứu</w:t>
      </w:r>
    </w:p>
    <w:p>
      <w:pPr>
        <w:pStyle w:val="FirstParagraph"/>
      </w:pPr>
      <w:r>
        <w:t xml:space="preserve">Mặc dù đã có nhiều nghiên cứu thực nghiệm, bằng chứng về mối quan hệ giữa quốc tế hóa và hiệu quả hoạt động vẫn chưa thống nhất. Các meta-analyses gần đây cho thấy tác động tổng hợp là dương nhưng nhỏ và có mức dị biệt rất cao giữa các nghiên cứu (Bausch &amp; Krist, 2007; Kirca et al., 2012; Marano et al., 2016; Wu et al., 2022). Heterogeneity này gợi ý rằng quan hệ internationalization–firm performance không thể được giải thích đầy đủ bằng một lý thuyết đơn lẻ hay một mô hình tuyến tính phổ quát, mà phải được đặt trong khung giải thích đa tầng về bối cảnh, cơ chế và điều kiện biên (Arte &amp; Larimo, 2022; Kirca et al., 2012).</w:t>
      </w:r>
    </w:p>
    <w:bookmarkEnd w:id="21"/>
    <w:bookmarkStart w:id="22" w:name="Xddd0cf747c0a67b01e6dbf6ccd3d5a26093524b"/>
    <w:p>
      <w:pPr>
        <w:pStyle w:val="Heading3"/>
      </w:pPr>
      <w:r>
        <w:t xml:space="preserve">1.3 Mục tiêu nghiên cứu</w:t>
      </w:r>
    </w:p>
    <w:p>
      <w:pPr>
        <w:pStyle w:val="FirstParagraph"/>
      </w:pPr>
      <w:r>
        <w:t xml:space="preserve">Mục tiêu tổng quát là xây dựng và kiểm định một khung giải thích đa tầng cho mối quan hệ giữa quốc tế hóa và hiệu quả hoạt động của các doanh nghiệp tại các quốc gia châu Á.</w:t>
      </w:r>
    </w:p>
    <w:p>
      <w:pPr>
        <w:pStyle w:val="BodyText"/>
      </w:pPr>
      <w:r>
        <w:t xml:space="preserve">Các mục tiêu cụ thể gồm: (i) tổng hợp và cập nhật bằng chứng meta-analytic về mối quan hệ I–P giai đoạn 1982–2026; (ii) kiểm định cơ chế cụ thể trong các bối cảnh quốc gia khác nhau (Singapore, Việt Nam, Trung Quốc); (iii) mở rộng phân tích sang nhiều nền kinh tế châu Á để kiểm định khả năng khái quát hóa, kế thừa và mở rộng pool 17 nước trong Đỗ và Phan (2026 — VEFR); (iv) phân tích vai trò điều tiết của thể chế, năng lực số và đặc điểm nhà quản trị.</w:t>
      </w:r>
    </w:p>
    <w:bookmarkEnd w:id="22"/>
    <w:bookmarkStart w:id="23" w:name="X87fe9b92bff0b7de065d8ce9f99db45fc20ac37"/>
    <w:p>
      <w:pPr>
        <w:pStyle w:val="Heading3"/>
      </w:pPr>
      <w:r>
        <w:t xml:space="preserve">1.4 Câu hỏi nghiên cứu</w:t>
      </w:r>
    </w:p>
    <w:p>
      <w:pPr>
        <w:pStyle w:val="FirstParagraph"/>
      </w:pPr>
      <w:r>
        <w:t xml:space="preserve">Câu hỏi trung tâm: Quốc tế hóa ảnh hưởng đến hiệu quả hoạt động của doanh nghiệp ở Châu Á như thế nào, và điều kiện nào giải thích heterogeneity?</w:t>
      </w:r>
    </w:p>
    <w:p>
      <w:pPr>
        <w:pStyle w:val="BodyText"/>
      </w:pPr>
      <w:r>
        <w:t xml:space="preserve">Câu hỏi cụ thể:</w:t>
      </w:r>
    </w:p>
    <w:p>
      <w:pPr>
        <w:numPr>
          <w:ilvl w:val="0"/>
          <w:numId w:val="1001"/>
        </w:numPr>
        <w:pStyle w:val="Compact"/>
      </w:pPr>
      <w:r>
        <w:t xml:space="preserve">RQ1: Tác động tổng hợp của quốc tế hóa lên firm performance trong literature 1982–2026 là gì, và mức dị biệt được giải thích bởi những moderator nào?</w:t>
      </w:r>
    </w:p>
    <w:p>
      <w:pPr>
        <w:numPr>
          <w:ilvl w:val="0"/>
          <w:numId w:val="1001"/>
        </w:numPr>
        <w:pStyle w:val="Compact"/>
      </w:pPr>
      <w:r>
        <w:t xml:space="preserve">RQ2: Trong từng bối cảnh quốc gia (Singapore, Việt Nam, Trung Quốc), mối quan hệ này vận hành theo những cơ chế cụ thể nào?</w:t>
      </w:r>
    </w:p>
    <w:p>
      <w:pPr>
        <w:numPr>
          <w:ilvl w:val="0"/>
          <w:numId w:val="1001"/>
        </w:numPr>
        <w:pStyle w:val="Compact"/>
      </w:pPr>
      <w:r>
        <w:t xml:space="preserve">RQ3: Trên phạm vi đa quốc gia châu Á, các digital contingencies có khái quát hóa được không?</w:t>
      </w:r>
    </w:p>
    <w:p>
      <w:pPr>
        <w:numPr>
          <w:ilvl w:val="0"/>
          <w:numId w:val="1001"/>
        </w:numPr>
        <w:pStyle w:val="Compact"/>
      </w:pPr>
      <w:r>
        <w:t xml:space="preserve">RQ4: Vai trò của thể chế (sub-regime ICRV), năng lực số (TCI vs DAI) và đặc điểm nhà quản trị trong việc điều tiết mối quan hệ I–P là gì?</w:t>
      </w:r>
    </w:p>
    <w:bookmarkEnd w:id="23"/>
    <w:bookmarkStart w:id="24" w:name="X0b85af776907494b010a86941db277ac5cc03e0"/>
    <w:p>
      <w:pPr>
        <w:pStyle w:val="Heading3"/>
      </w:pPr>
      <w:r>
        <w:t xml:space="preserve">1.5 Đối tượng và phạm vi</w:t>
      </w:r>
    </w:p>
    <w:p>
      <w:pPr>
        <w:numPr>
          <w:ilvl w:val="0"/>
          <w:numId w:val="1002"/>
        </w:numPr>
        <w:pStyle w:val="Compact"/>
      </w:pPr>
      <w:r>
        <w:t xml:space="preserve">Đối tượng: mối quan hệ internationalization–firm performance và các yếu tố điều tiết.</w:t>
      </w:r>
    </w:p>
    <w:p>
      <w:pPr>
        <w:numPr>
          <w:ilvl w:val="0"/>
          <w:numId w:val="1002"/>
        </w:numPr>
        <w:pStyle w:val="Compact"/>
      </w:pPr>
      <w:r>
        <w:t xml:space="preserve">Đơn vị phân tích: doanh nghiệp (firm-level).</w:t>
      </w:r>
    </w:p>
    <w:p>
      <w:pPr>
        <w:numPr>
          <w:ilvl w:val="0"/>
          <w:numId w:val="1002"/>
        </w:numPr>
        <w:pStyle w:val="Compact"/>
      </w:pPr>
      <w:r>
        <w:t xml:space="preserve">Phạm vi không gian: 47–49 nền kinh tế châu Á và Thái Bình Dương có dữ liệu WBES, tổ chức theo</w:t>
      </w:r>
      <w:r>
        <w:t xml:space="preserve"> </w:t>
      </w:r>
      <w:r>
        <w:rPr>
          <w:bCs/>
          <w:b/>
        </w:rPr>
        <w:t xml:space="preserve">6 sub-regime ICRV</w:t>
      </w:r>
      <w:r>
        <w:t xml:space="preserve"> </w:t>
      </w:r>
      <w:r>
        <w:t xml:space="preserve">(I: Advanced innovation-driven, II: Advanced resource-driven, III: Upper-middle, IV: Emerging, V: Frontier, VI: Pacific SIDS). P8 cung cấp phân tích boundary case chuyên sâu cho Nhóm VI (Pacific SIDS, forced internationalization penalty). Nhật Bản không thuộc empirical scope.</w:t>
      </w:r>
    </w:p>
    <w:p>
      <w:pPr>
        <w:numPr>
          <w:ilvl w:val="0"/>
          <w:numId w:val="1002"/>
        </w:numPr>
        <w:pStyle w:val="Compact"/>
      </w:pPr>
      <w:r>
        <w:t xml:space="preserve">Phạm vi thời gian: literature 1982–2026 (meta-analysis); WBES 2009–2025 (101.185 doanh nghiệp · 108 cặp quốc gia × năm) cho phase thực nghiệm.</w:t>
      </w:r>
    </w:p>
    <w:bookmarkEnd w:id="24"/>
    <w:bookmarkStart w:id="25" w:name="X670f79778deec40b6c3efb029efd09cb94a542e"/>
    <w:p>
      <w:pPr>
        <w:pStyle w:val="Heading3"/>
      </w:pPr>
      <w:r>
        <w:t xml:space="preserve">1.6 Tính mới và đóng góp dự kiến</w:t>
      </w:r>
    </w:p>
    <w:p>
      <w:pPr>
        <w:pStyle w:val="FirstParagraph"/>
      </w:pPr>
      <w:r>
        <w:t xml:space="preserve">Lý thuyết: tích hợp Uppsala, RBV, Institutional Theory và Upper Echelons Theory vào khung đa tầng, mở rộng bằng digital capability lens cho kỷ nguyên AI (Banalieva &amp; Dhanaraj, 2019; Verhoef et al., 2021). Phương pháp: thiết kế mixed synthesis-empirical kết hợp meta-analysis và multi-country regression. Thực nghiệm: phân tách technological capability vs digital adoption; mở rộng coverage từ 17 nước (Đỗ &amp; Phan, 2026 — VEFR) lên pool đầy đủ 47 nền kinh tế (41 châu Á + 6 Pacific SIDS adjacent); kiểm định temporal heterogeneity ở Trung Quốc dựa trên cubic baseline (Đỗ &amp; Phan, 2026 — JFAR); và three-way moderation. Thực tiễn: đề xuất cho doanh nghiệp và nhà hoạch định chính sách.</w:t>
      </w:r>
    </w:p>
    <w:bookmarkEnd w:id="25"/>
    <w:bookmarkStart w:id="26" w:name="Xdc890660f10a1528d5cf0025df2635d5d396dc3"/>
    <w:p>
      <w:pPr>
        <w:pStyle w:val="Heading3"/>
      </w:pPr>
      <w:r>
        <w:t xml:space="preserve">1.7 Kết cấu luận án</w:t>
      </w:r>
    </w:p>
    <w:p>
      <w:pPr>
        <w:pStyle w:val="FirstParagraph"/>
      </w:pPr>
      <w:r>
        <w:t xml:space="preserve">Luận án gồm 5 chương. Ch.1 đặt vấn đề; Ch.2 tổng quan và khung lý thuyết; Ch.3 phương pháp; Ch.4 kết quả nghiên cứu; Ch.5 thảo luận và kết luận.</w:t>
      </w:r>
    </w:p>
    <w:p>
      <w:r>
        <w:pict>
          <v:rect style="width:0;height:1.5pt" o:hralign="center" o:hrstd="t" o:hr="t"/>
        </w:pict>
      </w:r>
    </w:p>
    <w:bookmarkEnd w:id="26"/>
    <w:bookmarkEnd w:id="27"/>
    <w:bookmarkStart w:id="34" w:name="Xa2276d106fcd54efff5bb44b241c91316b5504d"/>
    <w:p>
      <w:pPr>
        <w:pStyle w:val="Heading2"/>
      </w:pPr>
      <w:r>
        <w:t xml:space="preserve">CHƯƠNG 2. CƠ SỞ LÝ THUYẾT VÀ TỔNG QUAN TÀI LIỆU</w:t>
      </w:r>
    </w:p>
    <w:p>
      <w:pPr>
        <w:pStyle w:val="FirstParagraph"/>
      </w:pPr>
      <w:r>
        <w:t xml:space="preserve">Chương 2 xây dựng nền lý thuyết, tổng hợp bằng chứng thực nghiệm đã có, giới thiệu khung tích hợp đa tầng và phát triển hệ giả thuyết.</w:t>
      </w:r>
    </w:p>
    <w:bookmarkStart w:id="28" w:name="X58464ac65b20fb9f07910d85a13fc9a04c5d864"/>
    <w:p>
      <w:pPr>
        <w:pStyle w:val="Heading3"/>
      </w:pPr>
      <w:r>
        <w:t xml:space="preserve">2.1 Khái niệm cốt lõi</w:t>
      </w:r>
    </w:p>
    <w:p>
      <w:pPr>
        <w:numPr>
          <w:ilvl w:val="0"/>
          <w:numId w:val="1003"/>
        </w:numPr>
        <w:pStyle w:val="Compact"/>
      </w:pPr>
      <w:r>
        <w:rPr>
          <w:bCs/>
          <w:b/>
        </w:rPr>
        <w:t xml:space="preserve">Quốc tế hóa (internationalization)</w:t>
      </w:r>
      <w:r>
        <w:t xml:space="preserve">: mức độ doanh nghiệp tham gia hoạt động kinh tế quốc tế, đo bằng FSTS, FATA, geographic scope hoặc export intensity (Sullivan, 1994; Hitt et al., 2006).</w:t>
      </w:r>
    </w:p>
    <w:p>
      <w:pPr>
        <w:numPr>
          <w:ilvl w:val="0"/>
          <w:numId w:val="1003"/>
        </w:numPr>
        <w:pStyle w:val="Compact"/>
      </w:pPr>
      <w:r>
        <w:rPr>
          <w:bCs/>
          <w:b/>
        </w:rPr>
        <w:t xml:space="preserve">Hiệu quả hoạt động (firm performance)</w:t>
      </w:r>
      <w:r>
        <w:t xml:space="preserve">: khái niệm đa chiều, gồm accounting-based indicators (ROA, ROE, ROS) và productivity-based indicators (labor productivity, sales growth) (Combs et al., 2005; Richard et al., 2009).</w:t>
      </w:r>
    </w:p>
    <w:p>
      <w:pPr>
        <w:numPr>
          <w:ilvl w:val="0"/>
          <w:numId w:val="1003"/>
        </w:numPr>
        <w:pStyle w:val="Compact"/>
      </w:pPr>
      <w:r>
        <w:rPr>
          <w:bCs/>
          <w:b/>
        </w:rPr>
        <w:t xml:space="preserve">Năng lực số (digital capability)</w:t>
      </w:r>
      <w:r>
        <w:t xml:space="preserve">: phân biệt rõ technological capability (TCI) và digital adoption (DAI) — hai construct không đồng nhất về chiều sâu và cơ chế vận hành (Bhandari et al., 2023; Verhoef et al., 2021).</w:t>
      </w:r>
    </w:p>
    <w:bookmarkEnd w:id="28"/>
    <w:bookmarkStart w:id="29" w:name="X5533063c3ba02f9ddb71858e0758063726a3389"/>
    <w:p>
      <w:pPr>
        <w:pStyle w:val="Heading3"/>
      </w:pPr>
      <w:r>
        <w:t xml:space="preserve">2.2 Bốn lý thuyết nền</w:t>
      </w:r>
    </w:p>
    <w:p>
      <w:pPr>
        <w:numPr>
          <w:ilvl w:val="0"/>
          <w:numId w:val="1004"/>
        </w:numPr>
        <w:pStyle w:val="Compact"/>
      </w:pPr>
      <w:r>
        <w:rPr>
          <w:bCs/>
          <w:b/>
        </w:rPr>
        <w:t xml:space="preserve">Uppsala Internationalization Model</w:t>
      </w:r>
      <w:r>
        <w:t xml:space="preserve"> </w:t>
      </w:r>
      <w:r>
        <w:t xml:space="preserve">(Johanson &amp; Vahlne, 1977, 2009): quốc tế hóa là quá trình tích lũy tri thức và cam kết tăng dần; giải thích chi phí thâm nhập, liability of foreignness và liability of outsidership.</w:t>
      </w:r>
    </w:p>
    <w:p>
      <w:pPr>
        <w:numPr>
          <w:ilvl w:val="0"/>
          <w:numId w:val="1004"/>
        </w:numPr>
        <w:pStyle w:val="Compact"/>
      </w:pPr>
      <w:r>
        <w:rPr>
          <w:bCs/>
          <w:b/>
        </w:rPr>
        <w:t xml:space="preserve">Resource-Based View</w:t>
      </w:r>
      <w:r>
        <w:t xml:space="preserve"> </w:t>
      </w:r>
      <w:r>
        <w:t xml:space="preserve">(Barney, 1991; Wernerfelt, 1984): doanh nghiệp có nguồn lực VRIN sẽ tạo ra lợi thế cạnh tranh bền vững và hiệu quả vượt trội.</w:t>
      </w:r>
    </w:p>
    <w:p>
      <w:pPr>
        <w:numPr>
          <w:ilvl w:val="0"/>
          <w:numId w:val="1004"/>
        </w:numPr>
        <w:pStyle w:val="Compact"/>
      </w:pPr>
      <w:r>
        <w:rPr>
          <w:bCs/>
          <w:b/>
        </w:rPr>
        <w:t xml:space="preserve">Institutional Theory</w:t>
      </w:r>
      <w:r>
        <w:t xml:space="preserve"> </w:t>
      </w:r>
      <w:r>
        <w:t xml:space="preserve">(North, 1990; Khanna &amp; Palepu, 2010; Peng, 2003): thể chế tạo ra cấu trúc khuyến khích và chi phí giao dịch khác nhau giữa các quốc gia; institutional voids ở emerging markets tạo ra heterogeneity trong I–P relationship.</w:t>
      </w:r>
    </w:p>
    <w:p>
      <w:pPr>
        <w:numPr>
          <w:ilvl w:val="0"/>
          <w:numId w:val="1004"/>
        </w:numPr>
        <w:pStyle w:val="Compact"/>
      </w:pPr>
      <w:r>
        <w:rPr>
          <w:bCs/>
          <w:b/>
        </w:rPr>
        <w:t xml:space="preserve">Upper Echelons Theory</w:t>
      </w:r>
      <w:r>
        <w:t xml:space="preserve"> </w:t>
      </w:r>
      <w:r>
        <w:t xml:space="preserve">(Hambrick &amp; Mason, 1984; Hambrick, 2007): đặc điểm nhà quản trị cấp cao (kinh nghiệm, giới tính, nhận thức chiến lược) phản ánh vào kết quả tổ chức.</w:t>
      </w:r>
    </w:p>
    <w:bookmarkEnd w:id="29"/>
    <w:bookmarkStart w:id="30" w:name="Xb68718caf7a2cd6e9eb5a792769262881ac883e"/>
    <w:p>
      <w:pPr>
        <w:pStyle w:val="Heading3"/>
      </w:pPr>
      <w:r>
        <w:t xml:space="preserve">2.3 Tổng quan thực nghiệm</w:t>
      </w:r>
    </w:p>
    <w:p>
      <w:pPr>
        <w:pStyle w:val="FirstParagraph"/>
      </w:pPr>
      <w:r>
        <w:t xml:space="preserve">Chương trình nghiên cứu về internationalization–firm performance đã phát triển qua nhiều thập kỷ. Giai đoạn đầu nhấn mạnh quan hệ tuyến tính dương (Grant, 1987; Kim et al., 1989); giai đoạn sau phản biện bằng quan hệ chữ U ngược (Hitt et al., 1997; Gomes &amp; Ramaswamy, 1999) và S-curve (Lu &amp; Beamish, 2004; Contractor et al., 2003); giai đoạn gần đây tập trung vào moderators bao gồm country of origin, industry, top management và digital capability (Marano et al., 2016; Wu et al., 2022; Bhandari et al., 2023).</w:t>
      </w:r>
    </w:p>
    <w:p>
      <w:pPr>
        <w:pStyle w:val="BodyText"/>
      </w:pPr>
      <w:r>
        <w:t xml:space="preserve">Các meta-analyses trước đây nhất quán cho thấy tác động tổng hợp là dương nhưng không lớn (</w:t>
      </w:r>
      <m:oMath>
        <m:r>
          <m:t>r</m:t>
        </m:r>
      </m:oMath>
      <w:r>
        <w:t xml:space="preserve"> </w:t>
      </w:r>
      <w:r>
        <w:t xml:space="preserve">khoảng 0.07–0.13), đồng thời heterogeneity rất cao với</w:t>
      </w:r>
      <w:r>
        <w:t xml:space="preserve"> </w:t>
      </w:r>
      <m:oMath>
        <m:sSup>
          <m:e>
            <m:r>
              <m:t>I</m:t>
            </m:r>
          </m:e>
          <m:sup>
            <m:r>
              <m:t>2</m:t>
            </m:r>
          </m:sup>
        </m:sSup>
        <m:r>
          <m:rPr>
            <m:sty m:val="p"/>
          </m:rPr>
          <m:t>&gt;</m:t>
        </m:r>
        <m:r>
          <m:t>80</m:t>
        </m:r>
        <m:r>
          <m:rPr>
            <m:sty m:val="p"/>
          </m:rPr>
          <m:t>%</m:t>
        </m:r>
      </m:oMath>
      <w:r>
        <w:t xml:space="preserve">, hàm ý rằng bối cảnh và moderator là những nguồn giải thích chính (Bausch &amp; Krist, 2007; Kirca et al., 2012; Marano et al., 2016).</w:t>
      </w:r>
    </w:p>
    <w:bookmarkEnd w:id="30"/>
    <w:bookmarkStart w:id="31" w:name="X1136b82326ea520374d1cfe7583ff940ea0590b"/>
    <w:p>
      <w:pPr>
        <w:pStyle w:val="Heading3"/>
      </w:pPr>
      <w:r>
        <w:t xml:space="preserve">2.4 Bối cảnh emerging Asia</w:t>
      </w:r>
    </w:p>
    <w:p>
      <w:pPr>
        <w:pStyle w:val="FirstParagraph"/>
      </w:pPr>
      <w:r>
        <w:t xml:space="preserve">Châu Á mới nổi là bối cảnh đặc biệt do tính đa dạng về thể chế và mức độ phát triển số. Đỗ và Phan (2026 — VEFR) đã phân tích thực trạng trên 17 nền kinh tế châu Á mới nổi với pool ~40.633 doanh nghiệp, cho thấy: (i) tồn tại phân tầng năng suất rõ rệt giữa nhóm Chinese economies, South Asia và ASEAN; (ii) technology adoption vừa làm tăng năng suất lao động vừa làm suy giảm đáng kể tác động bất lợi của institutional obstacles — phát hiện được tác giả gọi là "</w:t>
      </w:r>
      <w:r>
        <w:rPr>
          <w:bCs/>
          <w:b/>
        </w:rPr>
        <w:t xml:space="preserve">digital shield effect</w:t>
      </w:r>
      <w:r>
        <w:t xml:space="preserve">" (Khanna &amp; Palepu, 2010; North, 1990). Luận án kế thừa và mở rộng từ pool 17 nước trong Đỗ và Phan (2026 — VEFR) sang pool 47 nền kinh tế (41 châu Á + 6 Pacific SIDS adjacent) với 101.185 doanh nghiệp, kiểm định digital shield effect trên phạm vi rộng hơn và bổ sung sub-grouping ICRV; Pacific SIDS được phân tích như boundary case adjacent (Đỗ &amp; Phan, 2026 — P8).</w:t>
      </w:r>
    </w:p>
    <w:bookmarkEnd w:id="31"/>
    <w:bookmarkStart w:id="32" w:name="X78b27ee16c0d4a4507c36810e6247d9f67b40b1"/>
    <w:p>
      <w:pPr>
        <w:pStyle w:val="Heading3"/>
      </w:pPr>
      <w:r>
        <w:t xml:space="preserve">2.5 Khung lý thuyết tích hợp</w:t>
      </w:r>
    </w:p>
    <w:p>
      <w:pPr>
        <w:pStyle w:val="FirstParagraph"/>
      </w:pPr>
      <w:r>
        <w:t xml:space="preserve">Luận án đề xuất khung giải thích đa tầng:</w:t>
      </w:r>
    </w:p>
    <w:p>
      <w:pPr>
        <w:numPr>
          <w:ilvl w:val="0"/>
          <w:numId w:val="1005"/>
        </w:numPr>
        <w:pStyle w:val="Compact"/>
      </w:pPr>
      <w:r>
        <w:t xml:space="preserve">Tầng vĩ mô: institutional context (North, 1990; Khanna &amp; Palepu, 2010).</w:t>
      </w:r>
    </w:p>
    <w:p>
      <w:pPr>
        <w:numPr>
          <w:ilvl w:val="0"/>
          <w:numId w:val="1005"/>
        </w:numPr>
        <w:pStyle w:val="Compact"/>
      </w:pPr>
      <w:r>
        <w:t xml:space="preserve">Tầng tổ chức: firm capability bao gồm technological capability và digital adoption (Barney, 1991; Bhandari et al., 2023).</w:t>
      </w:r>
    </w:p>
    <w:p>
      <w:pPr>
        <w:numPr>
          <w:ilvl w:val="0"/>
          <w:numId w:val="1005"/>
        </w:numPr>
        <w:pStyle w:val="Compact"/>
      </w:pPr>
      <w:r>
        <w:t xml:space="preserve">Tầng cá nhân: top manager characteristics (Hambrick &amp; Mason, 1984).</w:t>
      </w:r>
    </w:p>
    <w:p>
      <w:pPr>
        <w:numPr>
          <w:ilvl w:val="0"/>
          <w:numId w:val="1005"/>
        </w:numPr>
        <w:pStyle w:val="Compact"/>
      </w:pPr>
      <w:r>
        <w:t xml:space="preserve">Lớp mở rộng: digital capability lens cho kỷ nguyên AI (Banalieva &amp; Dhanaraj, 2019; Stallkamp &amp; Schotter, 2021; Verhoef et al., 2021).</w:t>
      </w:r>
    </w:p>
    <w:p>
      <w:pPr>
        <w:pStyle w:val="FirstParagraph"/>
      </w:pPr>
      <w:r>
        <w:t xml:space="preserve">Uppsala model vẫn đóng vai trò nền cho lý giải chi phí thâm nhập và học hỏi tuần tự, nhưng được tái hiệu chỉnh trong bối cảnh data-augmented learning và platform internationalization (Yang et al., 2025).</w:t>
      </w:r>
    </w:p>
    <w:bookmarkEnd w:id="32"/>
    <w:bookmarkStart w:id="33" w:name="Xbb841a1f05f3fadcf2c6afee0f7fa948d33cd00"/>
    <w:p>
      <w:pPr>
        <w:pStyle w:val="Heading3"/>
      </w:pPr>
      <w:r>
        <w:t xml:space="preserve">2.6 Khoảng trống nghiên cứu và giả thuyết</w:t>
      </w:r>
    </w:p>
    <w:p>
      <w:pPr>
        <w:pStyle w:val="FirstParagraph"/>
      </w:pPr>
      <w:r>
        <w:t xml:space="preserve">Từ tổng quan, ba khoảng trống được xác định: (i) thiếu khung tích hợp đa tầng để giải thích heterogeneity; (ii) sự đồng nhất không hợp lý giữa technological capability và digital adoption trong nhiều nghiên cứu trước; (iii) thiếu bằng chứng cross-country quy mô lớn cho châu Á — pool 17 nước trong Đỗ và Phan (2026 — VEFR) là baseline lớn nhất hiện có, được luận án mở rộng lên 47–49 nền kinh tế châu Á và Thái Bình Dương (bao gồm 6–8 nền kinh tế Pacific SIDS).</w:t>
      </w:r>
    </w:p>
    <w:p>
      <w:pPr>
        <w:pStyle w:val="BodyText"/>
      </w:pPr>
      <w:r>
        <w:t xml:space="preserve">Hệ giả thuyết H1–H6 được chi tiết hóa trong file</w:t>
      </w:r>
      <w:r>
        <w:t xml:space="preserve"> </w:t>
      </w:r>
      <w:r>
        <w:rPr>
          <w:rStyle w:val="VerbatimChar"/>
        </w:rPr>
        <w:t xml:space="preserve">02_theoretical_framework_vi.md</w:t>
      </w:r>
      <w:r>
        <w:t xml:space="preserve">.</w:t>
      </w:r>
    </w:p>
    <w:p>
      <w:r>
        <w:pict>
          <v:rect style="width:0;height:1.5pt" o:hralign="center" o:hrstd="t" o:hr="t"/>
        </w:pict>
      </w:r>
    </w:p>
    <w:bookmarkEnd w:id="33"/>
    <w:bookmarkEnd w:id="34"/>
    <w:bookmarkStart w:id="40" w:name="chương-3-phương-pháp-nghiên-cứu"/>
    <w:p>
      <w:pPr>
        <w:pStyle w:val="Heading2"/>
      </w:pPr>
      <w:r>
        <w:t xml:space="preserve">CHƯƠNG 3. PHƯƠNG PHÁP NGHIÊN CỨU</w:t>
      </w:r>
    </w:p>
    <w:p>
      <w:pPr>
        <w:pStyle w:val="FirstParagraph"/>
      </w:pPr>
      <w:r>
        <w:t xml:space="preserve">Chương 3 trình bày thiết kế nghiên cứu, nguồn dữ liệu, đo lường biến, mô hình phân tích và kiểm định độ vững.</w:t>
      </w:r>
    </w:p>
    <w:bookmarkStart w:id="35" w:name="Xa5501c83aa22d167314914cffe8a72102aacfd7"/>
    <w:p>
      <w:pPr>
        <w:pStyle w:val="Heading3"/>
      </w:pPr>
      <w:r>
        <w:t xml:space="preserve">3.1 Thiết kế tổng thể</w:t>
      </w:r>
    </w:p>
    <w:p>
      <w:pPr>
        <w:pStyle w:val="FirstParagraph"/>
      </w:pPr>
      <w:r>
        <w:t xml:space="preserve">Luận án áp dụng</w:t>
      </w:r>
      <w:r>
        <w:t xml:space="preserve"> </w:t>
      </w:r>
      <w:r>
        <w:rPr>
          <w:bCs/>
          <w:b/>
        </w:rPr>
        <w:t xml:space="preserve">mixed synthesis-empirical design</w:t>
      </w:r>
      <w:r>
        <w:t xml:space="preserve"> </w:t>
      </w:r>
      <w:r>
        <w:t xml:space="preserve">kết hợp meta-analysis (cho RQ1) và multi-country empirical analysis (cho RQ2–RQ4). Cuộc đối thoại hai chiều giữa hai phase này tăng sức mạnh đóng góp so với việc chỉ sử dụng một thiết kế duy nhất (Borenstein et al., 2009; Hunter &amp; Schmidt, 2004).</w:t>
      </w:r>
    </w:p>
    <w:bookmarkEnd w:id="35"/>
    <w:bookmarkStart w:id="36" w:name="Xcbdb1abebc4df7eeb0722d9f8169fa794045fa0"/>
    <w:p>
      <w:pPr>
        <w:pStyle w:val="Heading3"/>
      </w:pPr>
      <w:r>
        <w:t xml:space="preserve">3.2 Nguồn dữ liệu</w:t>
      </w:r>
    </w:p>
    <w:p>
      <w:pPr>
        <w:numPr>
          <w:ilvl w:val="0"/>
          <w:numId w:val="1006"/>
        </w:numPr>
        <w:pStyle w:val="Compact"/>
      </w:pPr>
      <w:r>
        <w:rPr>
          <w:bCs/>
          <w:b/>
        </w:rPr>
        <w:t xml:space="preserve">Phase meta-analysis</w:t>
      </w:r>
      <w:r>
        <w:t xml:space="preserve">: literature pool 1982–2026, tiêu chí inclusion theo PRISMA (Page et al., 2021); pool K=309 / k=259 (k≥250 đã đạt — 23/05/2026).</w:t>
      </w:r>
    </w:p>
    <w:p>
      <w:pPr>
        <w:numPr>
          <w:ilvl w:val="0"/>
          <w:numId w:val="1006"/>
        </w:numPr>
        <w:pStyle w:val="Compact"/>
      </w:pPr>
      <w:r>
        <w:rPr>
          <w:bCs/>
          <w:b/>
        </w:rPr>
        <w:t xml:space="preserve">Phase empirical</w:t>
      </w:r>
      <w:r>
        <w:t xml:space="preserve">: World Bank Enterprise Surveys cho</w:t>
      </w:r>
      <w:r>
        <w:t xml:space="preserve"> </w:t>
      </w:r>
      <w:r>
        <w:rPr>
          <w:bCs/>
          <w:b/>
        </w:rPr>
        <w:t xml:space="preserve">47–49 nền kinh tế châu Á và Thái Bình Dương</w:t>
      </w:r>
      <w:r>
        <w:t xml:space="preserve"> </w:t>
      </w:r>
      <w:r>
        <w:t xml:space="preserve">(101.185 doanh nghiệp · 108 cặp quốc gia × năm · 14 mốc khảo sát) trong giai đoạn</w:t>
      </w:r>
      <w:r>
        <w:t xml:space="preserve"> </w:t>
      </w:r>
      <w:r>
        <w:rPr>
          <w:bCs/>
          <w:b/>
        </w:rPr>
        <w:t xml:space="preserve">2009–2025</w:t>
      </w:r>
      <w:r>
        <w:t xml:space="preserve"> </w:t>
      </w:r>
      <w:r>
        <w:t xml:space="preserve">(World Bank, 2019, 2023, 2026, n.d.). Pool kế thừa và mở rộng từ 17 nước trong Đỗ và Phan (2026 — VEFR). 9 nước Pacific SIDS được phân tích bổ sung như boundary case adjacent (Đỗ &amp; Phan, 2026 — P8; gồm 7 ICRV Nhóm VI + Comoros + Timor-Leste theo bộ lọc WBES, N=1.469).</w:t>
      </w:r>
    </w:p>
    <w:p>
      <w:pPr>
        <w:numPr>
          <w:ilvl w:val="0"/>
          <w:numId w:val="1006"/>
        </w:numPr>
        <w:pStyle w:val="Compact"/>
      </w:pPr>
      <w:r>
        <w:t xml:space="preserve">Dữ liệu WBES cho phép so sánh chuẩn hóa do các biến doanh thu, lao động, chấp nhận số và obstacles được đo nhất quán giữa các quốc gia và các wave, sau khi hòa hợp 3 thế hệ schema (PICS3 2009–2012, Standardized 2013–2017, BREADY/BEE 2018–2025).</w:t>
      </w:r>
    </w:p>
    <w:bookmarkEnd w:id="36"/>
    <w:bookmarkStart w:id="37" w:name="X0a2916878304aa58aeb50567abbc5259ba51242"/>
    <w:p>
      <w:pPr>
        <w:pStyle w:val="Heading3"/>
      </w:pPr>
      <w:r>
        <w:t xml:space="preserve">3.3 Đo lường biến</w:t>
      </w:r>
    </w:p>
    <w:p>
      <w:pPr>
        <w:numPr>
          <w:ilvl w:val="0"/>
          <w:numId w:val="1007"/>
        </w:numPr>
        <w:pStyle w:val="Compact"/>
      </w:pPr>
      <w:r>
        <w:t xml:space="preserve">Biến phụ thuộc: hiệu quả hoạt động đo bằng</w:t>
      </w:r>
      <w:r>
        <w:t xml:space="preserve"> </w:t>
      </w:r>
      <w:r>
        <w:rPr>
          <w:bCs/>
          <w:b/>
        </w:rPr>
        <w:t xml:space="preserve">labor productivity</w:t>
      </w:r>
      <w:r>
        <w:t xml:space="preserve"> </w:t>
      </w:r>
      <w:r>
        <w:t xml:space="preserve">(</w:t>
      </w:r>
      <m:oMath>
        <m:r>
          <m:rPr>
            <m:sty m:val="p"/>
          </m:rPr>
          <m:t>ln</m:t>
        </m:r>
      </m:oMath>
      <w:r>
        <w:t xml:space="preserve">(annual sales / permanent full-time employees)) làm chính; ROS, sales growth, employment growth làm robustness (Combs et al., 2005).</w:t>
      </w:r>
    </w:p>
    <w:p>
      <w:pPr>
        <w:numPr>
          <w:ilvl w:val="0"/>
          <w:numId w:val="1007"/>
        </w:numPr>
        <w:pStyle w:val="Compact"/>
      </w:pPr>
      <w:r>
        <w:t xml:space="preserve">Biến độc lập: mức độ quốc tế hóa (FSTS / export intensity) và bình phương FSTS để kiểm định phi tuyến.</w:t>
      </w:r>
    </w:p>
    <w:p>
      <w:pPr>
        <w:numPr>
          <w:ilvl w:val="0"/>
          <w:numId w:val="1007"/>
        </w:numPr>
        <w:pStyle w:val="Compact"/>
      </w:pPr>
      <w:r>
        <w:t xml:space="preserve">Biến điều tiết: (a) digital constructs gồm technological capability (TCI) và digital adoption (DAI) — non-overlapping; (b) institutional variables như obstacles, country governance proxies và sub-regime ICRV; (c) top manager characteristics như experience và gender.</w:t>
      </w:r>
    </w:p>
    <w:p>
      <w:pPr>
        <w:numPr>
          <w:ilvl w:val="0"/>
          <w:numId w:val="1007"/>
        </w:numPr>
        <w:pStyle w:val="Compact"/>
      </w:pPr>
      <w:r>
        <w:t xml:space="preserve">Biến kiểm soát:</w:t>
      </w:r>
      <w:r>
        <w:t xml:space="preserve"> </w:t>
      </w:r>
      <m:oMath>
        <m:r>
          <m:rPr>
            <m:sty m:val="p"/>
          </m:rPr>
          <m:t>ln</m:t>
        </m:r>
      </m:oMath>
      <w:r>
        <w:t xml:space="preserve"> </w:t>
      </w:r>
      <w:r>
        <w:t xml:space="preserve">employment, firm age, foreign ownership, sector dummy, year fixed effects, country fixed effects.</w:t>
      </w:r>
    </w:p>
    <w:p>
      <w:pPr>
        <w:numPr>
          <w:ilvl w:val="0"/>
          <w:numId w:val="1007"/>
        </w:numPr>
        <w:pStyle w:val="Compact"/>
      </w:pPr>
      <w:r>
        <w:rPr>
          <w:bCs/>
          <w:b/>
        </w:rPr>
        <w:t xml:space="preserve">Measurement harmonization protocol</w:t>
      </w:r>
      <w:r>
        <w:t xml:space="preserve">: một core measure dùng nhất quán; các measure mở rộng được khai báo trong từng phân tích phụ.</w:t>
      </w:r>
    </w:p>
    <w:bookmarkEnd w:id="37"/>
    <w:bookmarkStart w:id="38" w:name="Xd77d50b091b2ed22b6b5e4ab46917b297ec7074"/>
    <w:p>
      <w:pPr>
        <w:pStyle w:val="Heading3"/>
      </w:pPr>
      <w:r>
        <w:t xml:space="preserve">3.4 Mô hình phân tích</w:t>
      </w:r>
    </w:p>
    <w:p>
      <w:pPr>
        <w:numPr>
          <w:ilvl w:val="0"/>
          <w:numId w:val="1008"/>
        </w:numPr>
        <w:pStyle w:val="Compact"/>
      </w:pPr>
      <w:r>
        <w:rPr>
          <w:bCs/>
          <w:b/>
        </w:rPr>
        <w:t xml:space="preserve">Meta-analysis</w:t>
      </w:r>
      <w:r>
        <w:t xml:space="preserve">: random-effects model, Fisher's</w:t>
      </w:r>
      <w:r>
        <w:t xml:space="preserve"> </w:t>
      </w:r>
      <m:oMath>
        <m:r>
          <m:t>z</m:t>
        </m:r>
      </m:oMath>
      <w:r>
        <w:t xml:space="preserve"> </w:t>
      </w:r>
      <w:r>
        <w:t xml:space="preserve">transformation, subgroup analysis theo regime, publication-bias tests (Egger, Begg-Mazumdar) (Borenstein et al., 2009).</w:t>
      </w:r>
    </w:p>
    <w:p>
      <w:pPr>
        <w:numPr>
          <w:ilvl w:val="0"/>
          <w:numId w:val="1008"/>
        </w:numPr>
        <w:pStyle w:val="Compact"/>
      </w:pPr>
      <w:r>
        <w:rPr>
          <w:bCs/>
          <w:b/>
        </w:rPr>
        <w:t xml:space="preserve">Empirical</w:t>
      </w:r>
      <w:r>
        <w:t xml:space="preserve">: OLS với HC1/HC3 robust standard errors (Long &amp; Ervin, 2000); mô hình quadratic và cubic cho phi tuyến, kế thừa specification cubic của Đỗ và Phan (2026 — JFAR) cho China; tương tác hai chiều và ba chiều cho moderation; country fixed effects và year fixed effects.</w:t>
      </w:r>
    </w:p>
    <w:p>
      <w:pPr>
        <w:numPr>
          <w:ilvl w:val="0"/>
          <w:numId w:val="1008"/>
        </w:numPr>
        <w:pStyle w:val="Compact"/>
      </w:pPr>
      <w:r>
        <w:rPr>
          <w:bCs/>
          <w:b/>
        </w:rPr>
        <w:t xml:space="preserve">Lind–Mehlum U-test</w:t>
      </w:r>
      <w:r>
        <w:t xml:space="preserve"> </w:t>
      </w:r>
      <w:r>
        <w:t xml:space="preserve">để xác nhận dạng inverted-U và tính điểm turning point (Haans et al., 2016; Lind &amp; Mehlum, 2010).</w:t>
      </w:r>
    </w:p>
    <w:bookmarkEnd w:id="38"/>
    <w:bookmarkStart w:id="39" w:name="X8be9b8b49491f51852c13794a1720d171ee5535"/>
    <w:p>
      <w:pPr>
        <w:pStyle w:val="Heading3"/>
      </w:pPr>
      <w:r>
        <w:t xml:space="preserve">3.5 Kiểm định độ vững</w:t>
      </w:r>
    </w:p>
    <w:p>
      <w:pPr>
        <w:numPr>
          <w:ilvl w:val="0"/>
          <w:numId w:val="1009"/>
        </w:numPr>
        <w:pStyle w:val="Compact"/>
      </w:pPr>
      <w:r>
        <w:t xml:space="preserve">Thay đổi thước đo performance (ROS ↔ labor productivity ↔ sales growth).</w:t>
      </w:r>
    </w:p>
    <w:p>
      <w:pPr>
        <w:numPr>
          <w:ilvl w:val="0"/>
          <w:numId w:val="1009"/>
        </w:numPr>
        <w:pStyle w:val="Compact"/>
      </w:pPr>
      <w:r>
        <w:t xml:space="preserve">Loại trừ micro firms; chỉ giữ SMEs.</w:t>
      </w:r>
    </w:p>
    <w:p>
      <w:pPr>
        <w:numPr>
          <w:ilvl w:val="0"/>
          <w:numId w:val="1009"/>
        </w:numPr>
        <w:pStyle w:val="Compact"/>
      </w:pPr>
      <w:r>
        <w:t xml:space="preserve">Tách mẫu theo wave / theo sub-regime ICRV / theo Pacific SIDS adjacent.</w:t>
      </w:r>
    </w:p>
    <w:p>
      <w:pPr>
        <w:numPr>
          <w:ilvl w:val="0"/>
          <w:numId w:val="1009"/>
        </w:numPr>
        <w:pStyle w:val="Compact"/>
      </w:pPr>
      <w:r>
        <w:t xml:space="preserve">Winsorization 1% và 5%.</w:t>
      </w:r>
    </w:p>
    <w:p>
      <w:pPr>
        <w:numPr>
          <w:ilvl w:val="0"/>
          <w:numId w:val="1009"/>
        </w:numPr>
        <w:pStyle w:val="Compact"/>
      </w:pPr>
      <w:r>
        <w:t xml:space="preserve">VIF và Breusch-Pagan test cho multicollinearity và heteroscedasticity.</w:t>
      </w:r>
    </w:p>
    <w:p>
      <w:r>
        <w:pict>
          <v:rect style="width:0;height:1.5pt" o:hralign="center" o:hrstd="t" o:hr="t"/>
        </w:pict>
      </w:r>
    </w:p>
    <w:bookmarkEnd w:id="39"/>
    <w:bookmarkEnd w:id="40"/>
    <w:bookmarkStart w:id="46" w:name="chương-4-kết-quả-nghiên-cứu"/>
    <w:p>
      <w:pPr>
        <w:pStyle w:val="Heading2"/>
      </w:pPr>
      <w:r>
        <w:t xml:space="preserve">CHƯƠNG 4. KẾT QUẢ NGHIÊN CỨU</w:t>
      </w:r>
    </w:p>
    <w:p>
      <w:pPr>
        <w:pStyle w:val="FirstParagraph"/>
      </w:pPr>
      <w:r>
        <w:t xml:space="preserve">Chương 4 trình bày kết quả ở ba cấp độ: meta-analysis, country-level empirical, multi-country empirical, cùng với boundary case và robustness.</w:t>
      </w:r>
    </w:p>
    <w:bookmarkStart w:id="41" w:name="Xa5295838c1d80cf2cd6720f0e9e3b5b60a194bc"/>
    <w:p>
      <w:pPr>
        <w:pStyle w:val="Heading3"/>
      </w:pPr>
      <w:r>
        <w:t xml:space="preserve">4.1 Kết quả meta-analysis cập nhật 1982–2026</w:t>
      </w:r>
    </w:p>
    <w:p>
      <w:pPr>
        <w:numPr>
          <w:ilvl w:val="0"/>
          <w:numId w:val="1010"/>
        </w:numPr>
        <w:pStyle w:val="Compact"/>
      </w:pPr>
      <w:r>
        <w:t xml:space="preserve">Tác động tổng hợp (pooled effect size).</w:t>
      </w:r>
    </w:p>
    <w:p>
      <w:pPr>
        <w:numPr>
          <w:ilvl w:val="0"/>
          <w:numId w:val="1010"/>
        </w:numPr>
        <w:pStyle w:val="Compact"/>
      </w:pPr>
      <w:r>
        <w:t xml:space="preserve">Heterogeneity (</w:t>
      </w:r>
      <m:oMath>
        <m:sSup>
          <m:e>
            <m:r>
              <m:t>I</m:t>
            </m:r>
          </m:e>
          <m:sup>
            <m:r>
              <m:t>2</m:t>
            </m:r>
          </m:sup>
        </m:sSup>
      </m:oMath>
      <w:r>
        <w:t xml:space="preserve">,</w:t>
      </w:r>
      <w:r>
        <w:t xml:space="preserve"> </w:t>
      </w:r>
      <m:oMath>
        <m:r>
          <m:t>Q</m:t>
        </m:r>
      </m:oMath>
      <w:r>
        <w:t xml:space="preserve">-test).</w:t>
      </w:r>
    </w:p>
    <w:p>
      <w:pPr>
        <w:numPr>
          <w:ilvl w:val="0"/>
          <w:numId w:val="1010"/>
        </w:numPr>
        <w:pStyle w:val="Compact"/>
      </w:pPr>
      <w:r>
        <w:t xml:space="preserve">Subgroup analysis theo quốc gia, ngành, loại thước đo performance, loại thước đo internationalization.</w:t>
      </w:r>
    </w:p>
    <w:p>
      <w:pPr>
        <w:numPr>
          <w:ilvl w:val="0"/>
          <w:numId w:val="1010"/>
        </w:numPr>
        <w:pStyle w:val="Compact"/>
      </w:pPr>
      <w:r>
        <w:t xml:space="preserve">Publication-bias tests và trim-and-fill nhằm bảo đảm độ tin cậy.</w:t>
      </w:r>
    </w:p>
    <w:p>
      <w:pPr>
        <w:numPr>
          <w:ilvl w:val="0"/>
          <w:numId w:val="1010"/>
        </w:numPr>
        <w:pStyle w:val="Compact"/>
      </w:pPr>
      <w:r>
        <w:t xml:space="preserve">So sánh với các meta-analyses trước (Bausch &amp; Krist, 2007; Kirca et al., 2012; Marano et al., 2016; Wu et al., 2022) và benchmark với pool 17 nước châu Á trong Đỗ và Phan (2026 — VEFR).</w:t>
      </w:r>
    </w:p>
    <w:bookmarkEnd w:id="41"/>
    <w:bookmarkStart w:id="42" w:name="Xc1c3783bc883b0cd24e2569fa0d1f12eb83a87e"/>
    <w:p>
      <w:pPr>
        <w:pStyle w:val="Heading3"/>
      </w:pPr>
      <w:r>
        <w:t xml:space="preserve">4.2 Bằng chứng theo bối cảnh quốc gia</w:t>
      </w:r>
    </w:p>
    <w:p>
      <w:pPr>
        <w:numPr>
          <w:ilvl w:val="0"/>
          <w:numId w:val="1011"/>
        </w:numPr>
        <w:pStyle w:val="Compact"/>
      </w:pPr>
      <w:r>
        <w:rPr>
          <w:bCs/>
          <w:b/>
        </w:rPr>
        <w:t xml:space="preserve">Singapore (ASEAN benchmark)</w:t>
      </w:r>
      <w:r>
        <w:t xml:space="preserve">: vai trò bổ trợ của digital adoption ở mức export intensity cao trong small open economy.</w:t>
      </w:r>
    </w:p>
    <w:p>
      <w:pPr>
        <w:numPr>
          <w:ilvl w:val="0"/>
          <w:numId w:val="1011"/>
        </w:numPr>
        <w:pStyle w:val="Compact"/>
      </w:pPr>
      <w:r>
        <w:rPr>
          <w:bCs/>
          <w:b/>
        </w:rPr>
        <w:t xml:space="preserve">Việt Nam (transitional economy)</w:t>
      </w:r>
      <w:r>
        <w:t xml:space="preserve">: technological capability và digital adoption vận hành khác nhau; DAI khuếch đại coordination costs ở mức xuất khẩu cao.</w:t>
      </w:r>
    </w:p>
    <w:p>
      <w:pPr>
        <w:numPr>
          <w:ilvl w:val="0"/>
          <w:numId w:val="1011"/>
        </w:numPr>
        <w:pStyle w:val="Compact"/>
      </w:pPr>
      <w:r>
        <w:rPr>
          <w:bCs/>
          <w:b/>
        </w:rPr>
        <w:t xml:space="preserve">Trung Quốc (large emerging economy)</w:t>
      </w:r>
      <w:r>
        <w:t xml:space="preserve">: cấu trúc cubic inverted-U với ngưỡng tối ưu ~47,8% FSTS, kế thừa từ bằng chứng đã công bố (Đỗ &amp; Phan, 2026 — JFAR); temporal heterogeneity test giữa 2012 và 2024.</w:t>
      </w:r>
    </w:p>
    <w:bookmarkEnd w:id="42"/>
    <w:bookmarkStart w:id="43" w:name="X88f5cb859ca78fdd234ed85f2ecfaaaa49840e3"/>
    <w:p>
      <w:pPr>
        <w:pStyle w:val="Heading3"/>
      </w:pPr>
      <w:r>
        <w:t xml:space="preserve">4.3 Kết quả phân tích đa quốc gia (capstone)</w:t>
      </w:r>
    </w:p>
    <w:p>
      <w:pPr>
        <w:numPr>
          <w:ilvl w:val="0"/>
          <w:numId w:val="1012"/>
        </w:numPr>
        <w:pStyle w:val="Compact"/>
      </w:pPr>
      <w:r>
        <w:t xml:space="preserve">Pooled regression trên 47–49 nền kinh tế châu Á và Thái Bình Dương (N=84,910–91,982 doanh nghiệp, 102 country-year waves), mở rộng từ pool 17 nước (Đỗ &amp; Phan, 2026 — VEFR).</w:t>
      </w:r>
    </w:p>
    <w:p>
      <w:pPr>
        <w:numPr>
          <w:ilvl w:val="0"/>
          <w:numId w:val="1012"/>
        </w:numPr>
        <w:pStyle w:val="Compact"/>
      </w:pPr>
      <w:r>
        <w:t xml:space="preserve">Kiểm định phi tuyến tổng hợp.</w:t>
      </w:r>
    </w:p>
    <w:p>
      <w:pPr>
        <w:numPr>
          <w:ilvl w:val="0"/>
          <w:numId w:val="1012"/>
        </w:numPr>
        <w:pStyle w:val="Compact"/>
      </w:pPr>
      <w:r>
        <w:t xml:space="preserve">Subgroup analysis theo sub-regime ICRV (Khanna &amp; Palepu, 2010).</w:t>
      </w:r>
    </w:p>
    <w:p>
      <w:pPr>
        <w:numPr>
          <w:ilvl w:val="0"/>
          <w:numId w:val="1012"/>
        </w:numPr>
        <w:pStyle w:val="Compact"/>
      </w:pPr>
      <w:r>
        <w:t xml:space="preserve">Three-way moderation: digital × institutional × top manager.</w:t>
      </w:r>
    </w:p>
    <w:bookmarkEnd w:id="43"/>
    <w:bookmarkStart w:id="44" w:name="Xcd297d43d047b8fe1f61628325df416acc8bdbb"/>
    <w:p>
      <w:pPr>
        <w:pStyle w:val="Heading3"/>
      </w:pPr>
      <w:r>
        <w:t xml:space="preserve">4.4 Phân tích moderation và boundary case</w:t>
      </w:r>
    </w:p>
    <w:p>
      <w:pPr>
        <w:numPr>
          <w:ilvl w:val="0"/>
          <w:numId w:val="1013"/>
        </w:numPr>
        <w:pStyle w:val="Compact"/>
      </w:pPr>
      <w:r>
        <w:t xml:space="preserve">Vai trò điều tiết của thể chế (institutional voids, business obstacles, sub-regime ICRV).</w:t>
      </w:r>
    </w:p>
    <w:p>
      <w:pPr>
        <w:numPr>
          <w:ilvl w:val="0"/>
          <w:numId w:val="1013"/>
        </w:numPr>
        <w:pStyle w:val="Compact"/>
      </w:pPr>
      <w:r>
        <w:t xml:space="preserve">Vai trò điều tiết của digital constructs (TCI vs DAI) — kiểm định non-overlapping property và digital shield effect mở rộng (Đỗ &amp; Phan, 2026 — VEFR).</w:t>
      </w:r>
    </w:p>
    <w:p>
      <w:pPr>
        <w:numPr>
          <w:ilvl w:val="0"/>
          <w:numId w:val="1013"/>
        </w:numPr>
        <w:pStyle w:val="Compact"/>
      </w:pPr>
      <w:r>
        <w:t xml:space="preserve">Vai trò điều tiết của top manager characteristics (experience, gender) (Hambrick &amp; Mason, 1984; Hsu et al., 2013).</w:t>
      </w:r>
    </w:p>
    <w:p>
      <w:pPr>
        <w:numPr>
          <w:ilvl w:val="0"/>
          <w:numId w:val="1013"/>
        </w:numPr>
        <w:pStyle w:val="Compact"/>
      </w:pPr>
      <w:r>
        <w:rPr>
          <w:bCs/>
          <w:b/>
        </w:rPr>
        <w:t xml:space="preserve">Boundary case Pacific SIDS adjacent</w:t>
      </w:r>
      <w:r>
        <w:t xml:space="preserve"> </w:t>
      </w:r>
      <w:r>
        <w:t xml:space="preserve">(9 nước, n=2.038 (toàn pool SIDS_small) / n=1.469 (mẫu phân tích sau lọc missing)): forced internationalization penalty (Đỗ &amp; Phan, 2026 — P8 manuscript). Kiribati 2025 (n=150) được bổ sung là SIDS cực đoan nhất (FSTS 1,03%, FDI 0,7%, website 18,7%).</w:t>
      </w:r>
    </w:p>
    <w:bookmarkEnd w:id="44"/>
    <w:bookmarkStart w:id="45" w:name="Xe9facf4b4e6dad27c411af3ee4112e67668cfd1"/>
    <w:p>
      <w:pPr>
        <w:pStyle w:val="Heading3"/>
      </w:pPr>
      <w:r>
        <w:t xml:space="preserve">4.5 Kiểm định độ vững và temporal heterogeneity</w:t>
      </w:r>
    </w:p>
    <w:p>
      <w:pPr>
        <w:numPr>
          <w:ilvl w:val="0"/>
          <w:numId w:val="1014"/>
        </w:numPr>
        <w:pStyle w:val="Compact"/>
      </w:pPr>
      <w:r>
        <w:t xml:space="preserve">Thay đổi thước đo performance.</w:t>
      </w:r>
    </w:p>
    <w:p>
      <w:pPr>
        <w:numPr>
          <w:ilvl w:val="0"/>
          <w:numId w:val="1014"/>
        </w:numPr>
        <w:pStyle w:val="Compact"/>
      </w:pPr>
      <w:r>
        <w:t xml:space="preserve">Mẫu phụ: SMEs, manufacturing only, exporters only.</w:t>
      </w:r>
    </w:p>
    <w:p>
      <w:pPr>
        <w:numPr>
          <w:ilvl w:val="0"/>
          <w:numId w:val="1014"/>
        </w:numPr>
        <w:pStyle w:val="Compact"/>
      </w:pPr>
      <w:r>
        <w:t xml:space="preserve">Kiểm định nonlinearity bằng Lind–Mehlum U-test (Lind &amp; Mehlum, 2010).</w:t>
      </w:r>
    </w:p>
    <w:p>
      <w:pPr>
        <w:numPr>
          <w:ilvl w:val="0"/>
          <w:numId w:val="1014"/>
        </w:numPr>
        <w:pStyle w:val="Compact"/>
      </w:pPr>
      <w:r>
        <w:rPr>
          <w:bCs/>
          <w:b/>
        </w:rPr>
        <w:t xml:space="preserve">Temporal heterogeneity China 2012 vs 2024</w:t>
      </w:r>
      <w:r>
        <w:t xml:space="preserve">: kiểm định stability của inverted-U turning point (49,4% FSTS năm 2012; 47,2% năm 2024 — Paternoster z = +0,82, p = .412, không bác bỏ bằng nhau) qua hơn một thập kỷ chuyển đổi số (Đỗ &amp; Phan, 2026 — IJOEM).</w:t>
      </w:r>
    </w:p>
    <w:p>
      <w:pPr>
        <w:numPr>
          <w:ilvl w:val="0"/>
          <w:numId w:val="1014"/>
        </w:numPr>
        <w:pStyle w:val="Compact"/>
      </w:pPr>
      <w:r>
        <w:t xml:space="preserve">Endogeneity discussion và đề xuất IV approach (nếu dữ liệu cho phép).</w:t>
      </w:r>
    </w:p>
    <w:p>
      <w:r>
        <w:pict>
          <v:rect style="width:0;height:1.5pt" o:hralign="center" o:hrstd="t" o:hr="t"/>
        </w:pict>
      </w:r>
    </w:p>
    <w:bookmarkEnd w:id="45"/>
    <w:bookmarkEnd w:id="46"/>
    <w:bookmarkStart w:id="52" w:name="chương-5-thảo-luận-và-kết-luận"/>
    <w:p>
      <w:pPr>
        <w:pStyle w:val="Heading2"/>
      </w:pPr>
      <w:r>
        <w:t xml:space="preserve">CHƯƠNG 5. THẢO LUẬN VÀ KẾT LUẬN</w:t>
      </w:r>
    </w:p>
    <w:p>
      <w:pPr>
        <w:pStyle w:val="FirstParagraph"/>
      </w:pPr>
      <w:r>
        <w:t xml:space="preserve">Chương 5 tích hợp các phát hiện từ Ch.4 vào khung lý thuyết đa tầng ở Ch.2, từ đó rút ra đóng góp, hàm ý và hướng nghiên cứu tiếp theo.</w:t>
      </w:r>
    </w:p>
    <w:bookmarkStart w:id="47" w:name="X909baf19ddc2403a008837b00a47fa0f0868eb7"/>
    <w:p>
      <w:pPr>
        <w:pStyle w:val="Heading3"/>
      </w:pPr>
      <w:r>
        <w:t xml:space="preserve">5.1 Thảo luận tích hợp</w:t>
      </w:r>
    </w:p>
    <w:p>
      <w:pPr>
        <w:numPr>
          <w:ilvl w:val="0"/>
          <w:numId w:val="1015"/>
        </w:numPr>
        <w:pStyle w:val="Compact"/>
      </w:pPr>
      <w:r>
        <w:t xml:space="preserve">Đối chiếu kết quả ba cấp (meta, country, multi-country) với hệ giả thuyết H1–H6.</w:t>
      </w:r>
    </w:p>
    <w:p>
      <w:pPr>
        <w:numPr>
          <w:ilvl w:val="0"/>
          <w:numId w:val="1015"/>
        </w:numPr>
        <w:pStyle w:val="Compact"/>
      </w:pPr>
      <w:r>
        <w:t xml:space="preserve">Trả lời RQ1–RQ4.</w:t>
      </w:r>
    </w:p>
    <w:p>
      <w:pPr>
        <w:numPr>
          <w:ilvl w:val="0"/>
          <w:numId w:val="1015"/>
        </w:numPr>
        <w:pStyle w:val="Compact"/>
      </w:pPr>
      <w:r>
        <w:t xml:space="preserve">Làm rõ điểm hội tụ và điểm khác biệt giữa bằng chứng meta và bằng chứng châu Á (cộng boundary case Pacific SIDS).</w:t>
      </w:r>
    </w:p>
    <w:bookmarkEnd w:id="47"/>
    <w:bookmarkStart w:id="48" w:name="X4b528dd371e1ee318b8da51b730d2d8f4ebfa6c"/>
    <w:p>
      <w:pPr>
        <w:pStyle w:val="Heading3"/>
      </w:pPr>
      <w:r>
        <w:t xml:space="preserve">5.2 Đóng góp lý thuyết</w:t>
      </w:r>
    </w:p>
    <w:p>
      <w:pPr>
        <w:numPr>
          <w:ilvl w:val="0"/>
          <w:numId w:val="1016"/>
        </w:numPr>
        <w:pStyle w:val="Compact"/>
      </w:pPr>
      <w:r>
        <w:t xml:space="preserve">Khung tích hợp đa tầng cho I–P relationship.</w:t>
      </w:r>
    </w:p>
    <w:p>
      <w:pPr>
        <w:numPr>
          <w:ilvl w:val="0"/>
          <w:numId w:val="1016"/>
        </w:numPr>
        <w:pStyle w:val="Compact"/>
      </w:pPr>
      <w:r>
        <w:t xml:space="preserve">Tái định vị Uppsala cho kỷ nguyên AI (Banalieva &amp; Dhanaraj, 2019; Yang et al., 2025).</w:t>
      </w:r>
    </w:p>
    <w:p>
      <w:pPr>
        <w:numPr>
          <w:ilvl w:val="0"/>
          <w:numId w:val="1016"/>
        </w:numPr>
        <w:pStyle w:val="Compact"/>
      </w:pPr>
      <w:r>
        <w:t xml:space="preserve">Phân tách technological capability vs digital adoption.</w:t>
      </w:r>
    </w:p>
    <w:p>
      <w:pPr>
        <w:numPr>
          <w:ilvl w:val="0"/>
          <w:numId w:val="1016"/>
        </w:numPr>
        <w:pStyle w:val="Compact"/>
      </w:pPr>
      <w:r>
        <w:t xml:space="preserve">Bằng chứng moderator hierarchy: institutional → capability → managerial.</w:t>
      </w:r>
    </w:p>
    <w:p>
      <w:pPr>
        <w:numPr>
          <w:ilvl w:val="0"/>
          <w:numId w:val="1016"/>
        </w:numPr>
        <w:pStyle w:val="Compact"/>
      </w:pPr>
      <w:r>
        <w:t xml:space="preserve">Bằng chứng "digital shield effect" mở rộng từ 17 nước (Đỗ &amp; Phan, 2026 — VEFR).</w:t>
      </w:r>
    </w:p>
    <w:bookmarkEnd w:id="48"/>
    <w:bookmarkStart w:id="49" w:name="Xf5030cadfa1756304157346d144e6a48e78824d"/>
    <w:p>
      <w:pPr>
        <w:pStyle w:val="Heading3"/>
      </w:pPr>
      <w:r>
        <w:t xml:space="preserve">5.3 Hàm ý quản trị và chính sách</w:t>
      </w:r>
    </w:p>
    <w:p>
      <w:pPr>
        <w:numPr>
          <w:ilvl w:val="0"/>
          <w:numId w:val="1017"/>
        </w:numPr>
        <w:pStyle w:val="Compact"/>
      </w:pPr>
      <w:r>
        <w:t xml:space="preserve">Doanh nghiệp: ngưỡng tối ưu ~47,8% FSTS (China context, Đỗ &amp; Phan, 2026 — JFAR), đầu tư digital, lựa chọn nhà quản trị.</w:t>
      </w:r>
    </w:p>
    <w:p>
      <w:pPr>
        <w:numPr>
          <w:ilvl w:val="0"/>
          <w:numId w:val="1017"/>
        </w:numPr>
        <w:pStyle w:val="Compact"/>
      </w:pPr>
      <w:r>
        <w:t xml:space="preserve">Nhà hoạch định chính sách: cải cách thể chế và hỗ trợ chuyển đổi số có chọn lọc.</w:t>
      </w:r>
    </w:p>
    <w:bookmarkEnd w:id="49"/>
    <w:bookmarkStart w:id="50" w:name="Xfc1c5e78a7e080089faa2d1cfebca876605dbb8"/>
    <w:p>
      <w:pPr>
        <w:pStyle w:val="Heading3"/>
      </w:pPr>
      <w:r>
        <w:t xml:space="preserve">5.4 Hạn chế</w:t>
      </w:r>
    </w:p>
    <w:p>
      <w:pPr>
        <w:numPr>
          <w:ilvl w:val="0"/>
          <w:numId w:val="1018"/>
        </w:numPr>
        <w:pStyle w:val="Compact"/>
      </w:pPr>
      <w:r>
        <w:t xml:space="preserve">Dữ liệu WBES không phải panel; giới hạn suy luận nhân quả.</w:t>
      </w:r>
    </w:p>
    <w:p>
      <w:pPr>
        <w:numPr>
          <w:ilvl w:val="0"/>
          <w:numId w:val="1018"/>
        </w:numPr>
        <w:pStyle w:val="Compact"/>
      </w:pPr>
      <w:r>
        <w:t xml:space="preserve">Không bao gồm Nhật Bản.</w:t>
      </w:r>
    </w:p>
    <w:p>
      <w:pPr>
        <w:numPr>
          <w:ilvl w:val="0"/>
          <w:numId w:val="1018"/>
        </w:numPr>
        <w:pStyle w:val="Compact"/>
      </w:pPr>
      <w:r>
        <w:t xml:space="preserve">WBES không đo trực tiếp AI capability; digital constructs phải dùng proxies (Verhoef et al., 2021).</w:t>
      </w:r>
    </w:p>
    <w:bookmarkEnd w:id="50"/>
    <w:bookmarkStart w:id="51" w:name="X7f9e26588526f8e563cf34a2d7e9257041ac8c1"/>
    <w:p>
      <w:pPr>
        <w:pStyle w:val="Heading3"/>
      </w:pPr>
      <w:r>
        <w:t xml:space="preserve">5.5 Hướng nghiên cứu tiếp theo</w:t>
      </w:r>
    </w:p>
    <w:p>
      <w:pPr>
        <w:numPr>
          <w:ilvl w:val="0"/>
          <w:numId w:val="1019"/>
        </w:numPr>
        <w:pStyle w:val="Compact"/>
      </w:pPr>
      <w:r>
        <w:t xml:space="preserve">Causal identification (instrumental variables, natural experiments).</w:t>
      </w:r>
    </w:p>
    <w:p>
      <w:pPr>
        <w:numPr>
          <w:ilvl w:val="0"/>
          <w:numId w:val="1019"/>
        </w:numPr>
        <w:pStyle w:val="Compact"/>
      </w:pPr>
      <w:r>
        <w:t xml:space="preserve">Longitudinal panel nếu dữ liệu cho phép.</w:t>
      </w:r>
    </w:p>
    <w:p>
      <w:pPr>
        <w:numPr>
          <w:ilvl w:val="0"/>
          <w:numId w:val="1019"/>
        </w:numPr>
        <w:pStyle w:val="Compact"/>
      </w:pPr>
      <w:r>
        <w:t xml:space="preserve">Regime-based comparison sâu hơn theo sub-regime ICRV.</w:t>
      </w:r>
    </w:p>
    <w:p>
      <w:pPr>
        <w:numPr>
          <w:ilvl w:val="0"/>
          <w:numId w:val="1019"/>
        </w:numPr>
        <w:pStyle w:val="Compact"/>
      </w:pPr>
      <w:r>
        <w:t xml:space="preserve">Digital capability đo trực tiếp hơn thay vì proxies.</w:t>
      </w:r>
    </w:p>
    <w:p>
      <w:r>
        <w:pict>
          <v:rect style="width:0;height:1.5pt" o:hralign="center" o:hrstd="t" o:hr="t"/>
        </w:pict>
      </w:r>
    </w:p>
    <w:bookmarkEnd w:id="51"/>
    <w:bookmarkEnd w:id="52"/>
    <w:bookmarkStart w:id="53" w:name="quy-chuẩn-trình-bày-ctu"/>
    <w:p>
      <w:pPr>
        <w:pStyle w:val="Heading2"/>
      </w:pPr>
      <w:r>
        <w:t xml:space="preserve">Quy chuẩn trình bày CTU</w:t>
      </w:r>
    </w:p>
    <w:p>
      <w:pPr>
        <w:numPr>
          <w:ilvl w:val="0"/>
          <w:numId w:val="1020"/>
        </w:numPr>
        <w:pStyle w:val="Compact"/>
      </w:pPr>
      <w:r>
        <w:t xml:space="preserve">Khổ A4, font Times New Roman cỡ 13, giãn dòng 1.2.</w:t>
      </w:r>
    </w:p>
    <w:p>
      <w:pPr>
        <w:numPr>
          <w:ilvl w:val="0"/>
          <w:numId w:val="1020"/>
        </w:numPr>
        <w:pStyle w:val="Compact"/>
      </w:pPr>
      <w:r>
        <w:t xml:space="preserve">Lề trái 3 cm, các lề còn lại 2 cm.</w:t>
      </w:r>
    </w:p>
    <w:p>
      <w:pPr>
        <w:numPr>
          <w:ilvl w:val="0"/>
          <w:numId w:val="1020"/>
        </w:numPr>
        <w:pStyle w:val="Compact"/>
      </w:pPr>
      <w:r>
        <w:t xml:space="preserve">Đánh số mục tối đa 3 cấp.</w:t>
      </w:r>
    </w:p>
    <w:p>
      <w:pPr>
        <w:numPr>
          <w:ilvl w:val="0"/>
          <w:numId w:val="1020"/>
        </w:numPr>
        <w:pStyle w:val="Compact"/>
      </w:pPr>
      <w:r>
        <w:t xml:space="preserve">Bảng/hình/phương trình đánh số gắn với số chương.</w:t>
      </w:r>
    </w:p>
    <w:p>
      <w:pPr>
        <w:numPr>
          <w:ilvl w:val="0"/>
          <w:numId w:val="1020"/>
        </w:numPr>
        <w:pStyle w:val="Compact"/>
      </w:pPr>
      <w:r>
        <w:t xml:space="preserve">Tài liệu tham khảo theo APA 7th — chi tiết trong</w:t>
      </w:r>
      <w:r>
        <w:t xml:space="preserve"> </w:t>
      </w:r>
      <w:r>
        <w:rPr>
          <w:rStyle w:val="VerbatimChar"/>
        </w:rPr>
        <w:t xml:space="preserve">04_references_apa7.md</w:t>
      </w:r>
      <w:r>
        <w:t xml:space="preserve">.</w:t>
      </w:r>
    </w:p>
    <w:bookmarkEnd w:id="53"/>
    <w:bookmarkEnd w:id="54"/>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360"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360"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360"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360"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360"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360" w:lineRule="auto"/>
      <w:jc w:val="both"/>
    </w:pPr>
    <w:rPr>
      <w:rFonts w:ascii="Times New Roman" w:eastAsia="Times New Roman" w:hAnsi="Times New Roman"/>
      <w:color w:val="000000"/>
      <w:sz w:val="26"/>
    </w:rPr>
  </w:style>
  <w:style w:styleId="Date" w:type="paragraph">
    <w:name w:val="Date"/>
    <w:next w:val="BodyText"/>
    <w:qFormat/>
    <w:pPr>
      <w:keepNext/>
      <w:keepLines/>
      <w:spacing w:line="360"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360"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360"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360"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360"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360"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360"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360"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360"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360"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360"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360"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360"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360"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360"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360"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360" w:lineRule="auto"/>
      <w:jc w:val="both"/>
    </w:pPr>
    <w:rPr>
      <w:rFonts w:ascii="Times New Roman" w:eastAsia="Times New Roman" w:hAnsi="Times New Roman"/>
      <w:b/>
      <w:color w:val="000000"/>
      <w:sz w:val="26"/>
    </w:rPr>
  </w:style>
  <w:style w:customStyle="1" w:styleId="Definition" w:type="paragraph">
    <w:name w:val="Definition"/>
    <w:basedOn w:val="Normal"/>
    <w:pPr>
      <w:spacing w:line="360"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360"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360" w:lineRule="auto"/>
      <w:jc w:val="both"/>
    </w:pPr>
    <w:rPr>
      <w:rFonts w:ascii="Times New Roman" w:eastAsia="Times New Roman" w:hAnsi="Times New Roman"/>
      <w:color w:val="000000"/>
      <w:sz w:val="26"/>
    </w:rPr>
  </w:style>
  <w:style w:customStyle="1" w:styleId="ImageCaption" w:type="paragraph">
    <w:name w:val="Image Caption"/>
    <w:basedOn w:val="Caption"/>
    <w:pPr>
      <w:spacing w:line="360" w:lineRule="auto"/>
      <w:jc w:val="both"/>
    </w:pPr>
    <w:rPr>
      <w:rFonts w:ascii="Times New Roman" w:eastAsia="Times New Roman" w:hAnsi="Times New Roman"/>
      <w:color w:val="000000"/>
      <w:sz w:val="26"/>
    </w:rPr>
  </w:style>
  <w:style w:customStyle="1" w:styleId="Figure" w:type="paragraph">
    <w:name w:val="Figure"/>
    <w:basedOn w:val="Normal"/>
    <w:pPr>
      <w:spacing w:line="360"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360"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360"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2026-05-24T12:13:19Z</dcterms:created>
  <dcterms:modified xsi:type="dcterms:W3CDTF">2026-05-24T12:13:19Z</dcterms:modified>
</cp:coreProperties>
</file>

<file path=docProps/custom.xml><?xml version="1.0" encoding="utf-8"?>
<Properties xmlns="http://schemas.openxmlformats.org/officeDocument/2006/custom-properties" xmlns:vt="http://schemas.openxmlformats.org/officeDocument/2006/docPropsVTypes"/>
</file>