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0"/>
    <w:bookmarkStart w:id="25" w:name="Xc3d6549fb67845f31a5a24f65669fdeb3bd3911"/>
    <w:p>
      <w:pPr>
        <w:pStyle w:val="Heading2"/>
      </w:pPr>
      <w:r>
        <w:t xml:space="preserve">4.1 Thực trạng quốc tế hóa và hiệu quả hoạt động kinh doanh tại châu Á</w:t>
      </w:r>
    </w:p>
    <w:bookmarkStart w:id="21" w:name="Xd494b1d34c58141b179120912d2f55e522d9b8f"/>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 đo bằng ln(doanh thu/lao động) —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 sd ≈ 1,03) và nhóm tài nguyên dẫn dắt (Saudi Arabia, Qatar, Kuwait — sd ≈ 0,49) xấp xỉ 2,1 lần, phản ánh hai cơ chế tăng trưởng và phân phối hoàn toàn khác nhau. Phân nhóm con tài nguyên dẫn dắt có độ phân tán năng suất thấp nhất toàn bộ pool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1"/>
    <w:bookmarkStart w:id="22" w:name="X41765b9ba7c4d5303f63bdb143f647f62623bb9"/>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2"/>
    <w:bookmarkStart w:id="23" w:name="Xf0ef4e438191e4e642220a9a98292a3888bc29e"/>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 "nhảy vọt số" (digital leapfrogging) ở SIDS: tỷ lệ website 58,9% vượt cả nhóm Emerging (49,2%) dù GNI thấp hơn đáng kể —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 xác nhận đây là vấn đề đo lường chứ không phải quan hệ nhân quả thực.</w:t>
      </w:r>
    </w:p>
    <w:bookmarkEnd w:id="23"/>
    <w:bookmarkStart w:id="24" w:name="Xc12f69eaa9c8f054bc697622f7fe23deacdba9a"/>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Frontier và Emerging; (ii) thiếu hụt lao động có kỹ năng; (iii) cạnh tranh từ doanh nghiệp phi chính thức; và (iv) nguồn cung điện không đáng tin cậy. Bốn rào cản này hình thành "institutional voids" (Khanna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4"/>
    <w:bookmarkEnd w:id="25"/>
    <w:bookmarkStart w:id="30" w:name="X765431cc2ba8ea17b9f26c144a52de84c0b8508"/>
    <w:p>
      <w:pPr>
        <w:pStyle w:val="Heading2"/>
      </w:pPr>
      <w:r>
        <w:t xml:space="preserve">4.2 Kết quả tổng hợp định lượng — Meta-analysis ba tầng (P6)</w:t>
      </w:r>
    </w:p>
    <w:bookmarkStart w:id="26" w:name="Xff5979a63504f14407b0d85f43a6c8324938958"/>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259</m:t>
        </m:r>
      </m:oMath>
      <w:r>
        <w:t xml:space="preserve"> </w:t>
      </w:r>
      <w:r>
        <w:t xml:space="preserve">nghiên cứu,</w:t>
      </w:r>
      <w:r>
        <w:t xml:space="preserve"> </w:t>
      </w:r>
      <m:oMath>
        <m:r>
          <m:t>K</m:t>
        </m:r>
        <m:r>
          <m:rPr>
            <m:sty m:val="p"/>
          </m:rPr>
          <m:t>=</m:t>
        </m:r>
        <m:r>
          <m:t>309</m:t>
        </m:r>
      </m:oMath>
      <w:r>
        <w:t xml:space="preserve"> </w:t>
      </w:r>
      <w:r>
        <w:t xml:space="preserve">effect sizes từ 49 nền kinh tế,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Do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6"/>
    <w:bookmarkStart w:id="27" w:name="Xebb799d3ec18bcd19862bc38ac017784274d9d9"/>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61</m:t>
        </m:r>
        <m:r>
          <m:rPr>
            <m:sty m:val="p"/>
          </m:rPr>
          <m:t>,</m:t>
        </m:r>
        <m:r>
          <m:t>2</m:t>
        </m:r>
        <m:r>
          <m:rPr>
            <m:sty m:val="p"/>
          </m:rPr>
          <m:t>%</m:t>
        </m:r>
      </m:oMath>
      <w:r>
        <w:t xml:space="preserve">, cho thấy mức dị biệt đáng kể trong tập hợp 259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30</m:t>
        </m:r>
        <m:r>
          <m:rPr>
            <m:sty m:val="p"/>
          </m:rPr>
          <m:t>,</m:t>
        </m:r>
        <m:r>
          <m:t>6</m:t>
        </m:r>
        <m:r>
          <m:rPr>
            <m:sty m:val="p"/>
          </m:rPr>
          <m:t>%</m:t>
        </m:r>
      </m:oMath>
      <w:r>
        <w:t xml:space="preserve"> </w:t>
      </w:r>
      <w:r>
        <w:t xml:space="preserve">tổng phương sai.</w:t>
      </w:r>
    </w:p>
    <w:p>
      <w:pPr>
        <w:numPr>
          <w:ilvl w:val="0"/>
          <w:numId w:val="1001"/>
        </w:numPr>
        <w:pStyle w:val="Compact"/>
      </w:pPr>
      <w:r>
        <w:rPr>
          <w:bCs/>
          <w:b/>
        </w:rPr>
        <w:t xml:space="preserve">Tầng 3</w:t>
      </w:r>
      <w:r>
        <w:t xml:space="preserve"> </w:t>
      </w:r>
      <w:r>
        <w:t xml:space="preserve">(between-study, tức dị biệt giữa các nghiên cứu): cũng chiếm</w:t>
      </w:r>
      <w:r>
        <w:t xml:space="preserve"> </w:t>
      </w:r>
      <m:oMath>
        <m:r>
          <m:t>30</m:t>
        </m:r>
        <m:r>
          <m:rPr>
            <m:sty m:val="p"/>
          </m:rPr>
          <m:t>,</m:t>
        </m:r>
        <m:r>
          <m:t>6</m:t>
        </m:r>
        <m:r>
          <m:rPr>
            <m:sty m:val="p"/>
          </m:rPr>
          <m:t>%</m:t>
        </m:r>
      </m:oMath>
      <w:r>
        <w:t xml:space="preserve"> </w:t>
      </w:r>
      <w:r>
        <w:t xml:space="preserve">— phân bổ đều nhau.</w:t>
      </w:r>
    </w:p>
    <w:p>
      <w:pPr>
        <w:pStyle w:val="FirstParagraph"/>
      </w:pPr>
      <w:r>
        <w:t xml:space="preserve">Phát hiện này có hàm ý lý thuyết sâu sắc: heterogeneity trong I→P literature phân bổ</w:t>
      </w:r>
      <w:r>
        <w:t xml:space="preserve"> </w:t>
      </w:r>
      <w:r>
        <w:rPr>
          <w:bCs/>
          <w:b/>
        </w:rPr>
        <w:t xml:space="preserve">đều giữa trong và giữa các nghiên cứu</w:t>
      </w:r>
      <w:r>
        <w:t xml:space="preserve">, cho thấy cả lựa chọn đo lường (bên trong nghiên cứu) lẫn bối cảnh quốc gia thực chất (giữa các nghiên cứu) đều đóng góp bằng nhau. Điều này gợi ý rằng publication bias — không chỉ sự khác biệt thể chế hay số hoá — là nguồn gốc chủ yếu của heterogeneity quan sát được.</w:t>
      </w:r>
    </w:p>
    <w:bookmarkEnd w:id="27"/>
    <w:bookmarkStart w:id="28" w:name="X611e09194b09194f16433d5c7d869ad7daf26e1"/>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10</m:t>
        </m:r>
        <m:r>
          <m:rPr>
            <m:sty m:val="p"/>
          </m:rPr>
          <m:t>,</m:t>
        </m:r>
        <m:r>
          <m:t>16</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038</m:t>
        </m:r>
      </m:oMath>
      <w:r>
        <w:t xml:space="preserve">. Điều này xác nhận rằng chế độ thể chế — được phân loại thành sáu nhóm từ Advanced Innovation-Driven (Nhóm I: Singapore, Hong Kong, Đài Loan, Hàn Quốc) đến SIDS Thái Bình Dương (Nhóm VI) — là moderator có ý nghĩa thống kê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038</m:t>
        </m:r>
      </m:oMath>
      <w:r>
        <w:t xml:space="preserve">), tuy nhiên gradient đơn điệu E1a/E1b chưa xác nhận được do</w:t>
      </w:r>
      <w:r>
        <w:t xml:space="preserve"> </w:t>
      </w:r>
      <m:oMath>
        <m:r>
          <m:t>k</m:t>
        </m:r>
      </m:oMath>
      <w:r>
        <w:t xml:space="preserve"> </w:t>
      </w:r>
      <w:r>
        <w:t xml:space="preserve">thấp tại Frontier (</w:t>
      </w:r>
      <m:oMath>
        <m:r>
          <m:t>k</m:t>
        </m:r>
        <m:r>
          <m:rPr>
            <m:sty m:val="p"/>
          </m:rPr>
          <m:t>=</m:t>
        </m:r>
        <m:r>
          <m:t>4</m:t>
        </m:r>
      </m:oMath>
      <w:r>
        <w:t xml:space="preserve">) và SIDS (</w:t>
      </w:r>
      <m:oMath>
        <m:r>
          <m:t>k</m:t>
        </m:r>
        <m:r>
          <m:rPr>
            <m:sty m:val="p"/>
          </m:rPr>
          <m:t>=</m:t>
        </m:r>
        <m:r>
          <m:t>3</m:t>
        </m:r>
      </m:oMath>
      <w:r>
        <w:t xml:space="preserve">).</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 môi trường thể chế chất lượng cao tạo điều kiện để doanh nghiệp chuyển hóa quốc tế hóa thành hiệu quả dễ dàng hơn (North, 1990; Marano et al., 2016).</w:t>
      </w:r>
    </w:p>
    <w:bookmarkEnd w:id="28"/>
    <w:bookmarkStart w:id="29" w:name="X6516e6905b75b0313f9350803a09f8115a11764"/>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9"/>
    <w:bookmarkEnd w:id="30"/>
    <w:bookmarkStart w:id="34" w:name="X240e194458f5111df8410ba3e5077585e24446e"/>
    <w:p>
      <w:pPr>
        <w:pStyle w:val="Heading2"/>
      </w:pPr>
      <w:r>
        <w:t xml:space="preserve">4.3 Kết quả bối cảnh thể chế tiên tiến — Đổi mới: Singapore (P4)</w:t>
      </w:r>
    </w:p>
    <w:bookmarkStart w:id="31" w:name="X679a53d2d7d81af6dc70c43fd1f038f5d3cee36"/>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doanh nghiệp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82%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1"/>
    <w:bookmarkStart w:id="32" w:name="X4e892af5ca440364b8d37c3a20faa47e2037652"/>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2"/>
    <w:bookmarkStart w:id="33" w:name="X62c0545ea3f9a0c507d1157469fca0ebf1d479e"/>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 trong kiểm định khuếch đại H3:</w:t>
      </w:r>
      <w:r>
        <w:t xml:space="preserve"> </w:t>
      </w:r>
      <m:oMath>
        <m:r>
          <m:t>n</m:t>
        </m:r>
        <m:r>
          <m:rPr>
            <m:sty m:val="p"/>
          </m:rPr>
          <m:t>≈</m:t>
        </m:r>
        <m:r>
          <m:t>84</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33"/>
    <w:bookmarkEnd w:id="34"/>
    <w:bookmarkStart w:id="38" w:name="X94814fc7a5dc9750a15cc4bbe9ebfefe5f75317"/>
    <w:p>
      <w:pPr>
        <w:pStyle w:val="Heading2"/>
      </w:pPr>
      <w:r>
        <w:t xml:space="preserve">4.4 Kết quả bối cảnh thể chế trung bình cao: Trung Quốc, 2012–2024 (P5)</w:t>
      </w:r>
    </w:p>
    <w:bookmarkStart w:id="35" w:name="Xb60e8e08616c949564cfeefd501a6d5841b6507"/>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5"/>
    <w:bookmarkStart w:id="36" w:name="Xa0deb7d8913573d019b75740971fb67375bd22e"/>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36"/>
    <w:bookmarkStart w:id="37" w:name="X71f14a0a5696ef1da89ff288e5ba29857e3b764"/>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7"/>
    <w:bookmarkEnd w:id="38"/>
    <w:bookmarkStart w:id="43" w:name="Xbcfd430554f00dbefbbe6cf2f35944b447a87b7"/>
    <w:p>
      <w:pPr>
        <w:pStyle w:val="Heading2"/>
      </w:pPr>
      <w:r>
        <w:t xml:space="preserve">4.5 Kết quả bối cảnh chuyển đổi bậc thấp—trung: Việt Nam (P3)</w:t>
      </w:r>
    </w:p>
    <w:bookmarkStart w:id="39" w:name="X3454574aade39a3defa8c8bbeff40a0b08588bb"/>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9"/>
    <w:bookmarkStart w:id="40" w:name="X804630c1165edd6cffbd7129602e5c7644f12f7"/>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82%)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40"/>
    <w:bookmarkStart w:id="41" w:name="X61eaf74d7adbfccac462ff4ef2ca9383cc5f370"/>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41"/>
    <w:bookmarkStart w:id="42" w:name="Xf74d16bb8b5ef71c31f95c8c6bafd31bd18e385"/>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2"/>
    <w:bookmarkEnd w:id="43"/>
    <w:bookmarkStart w:id="47" w:name="X55199701f1cb1e5a36a24137550ac95e848a636"/>
    <w:p>
      <w:pPr>
        <w:pStyle w:val="Heading2"/>
      </w:pPr>
      <w:r>
        <w:t xml:space="preserve">4.6 Kết quả kiểm định toàn mẫu đa bối cảnh châu Á (P7)</w:t>
      </w:r>
    </w:p>
    <w:bookmarkStart w:id="44" w:name="X4afadfb0b2cc4943ce00f31457981e8c10f3a3d"/>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4"/>
    <w:bookmarkStart w:id="45" w:name="Xb1032e0e3de2851ef84ba79e46d037a1936fae6"/>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nhất quán với kết quả meta-analysis trong P6 (</w:t>
      </w:r>
      <m:oMath>
        <m:sSub>
          <m:e>
            <m:r>
              <m:t>Q</m:t>
            </m:r>
          </m:e>
          <m:sub>
            <m:r>
              <m:t>M</m:t>
            </m:r>
          </m:sub>
        </m:sSub>
        <m:r>
          <m:rPr>
            <m:sty m:val="p"/>
          </m:rPr>
          <m:t>=</m:t>
        </m:r>
        <m:r>
          <m:t>10</m:t>
        </m:r>
        <m:r>
          <m:rPr>
            <m:sty m:val="p"/>
          </m:rPr>
          <m:t>,</m:t>
        </m:r>
        <m:r>
          <m:t>16</m:t>
        </m:r>
      </m:oMath>
      <w:r>
        <w:t xml:space="preserve">,</w:t>
      </w:r>
      <w:r>
        <w:t xml:space="preserve"> </w:t>
      </w:r>
      <m:oMath>
        <m:r>
          <m:t>p</m:t>
        </m:r>
        <m:r>
          <m:rPr>
            <m:sty m:val="p"/>
          </m:rPr>
          <m:t>=</m:t>
        </m:r>
        <m:r>
          <m:rPr>
            <m:sty m:val="p"/>
          </m:rPr>
          <m:t>,</m:t>
        </m:r>
        <m:r>
          <m:t>038</m:t>
        </m:r>
      </m:oMath>
      <w:r>
        <w:t xml:space="preserve">). Hai nguồn bằng chứng độc lập — meta-analytic và primary empirical — cùng chỉ ra gradient ICRV, tạo ra independent confirmation có giá trị.</w:t>
      </w:r>
    </w:p>
    <w:bookmarkEnd w:id="45"/>
    <w:bookmarkStart w:id="46" w:name="X5a095d2d2756e364c0fa5703e6aa5c62834bd73"/>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6"/>
    <w:bookmarkEnd w:id="47"/>
    <w:bookmarkStart w:id="51" w:name="X148edf673f29f3cdc512225d99b03a9e67e1c42"/>
    <w:p>
      <w:pPr>
        <w:pStyle w:val="Heading2"/>
      </w:pPr>
      <w:r>
        <w:t xml:space="preserve">4.7 Kết quả trường hợp biên SIDS — Các nền kinh tế đảo nhỏ đang phát triển (P8)</w:t>
      </w:r>
    </w:p>
    <w:bookmarkStart w:id="48" w:name="Xe52dd8a4967ed07d68452ad9b61fc702a699611"/>
    <w:p>
      <w:pPr>
        <w:pStyle w:val="Heading3"/>
      </w:pPr>
      <w:r>
        <w:t xml:space="preserve">4.7.1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8"/>
    <w:bookmarkStart w:id="49" w:name="Xda8912ddf3b9c40c39597e70818ba6d2fa29362"/>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49"/>
    <w:bookmarkStart w:id="50" w:name="X9bd5b3fa82a3bf10893bad805f5c2ae8e352ac8"/>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50"/>
    <w:bookmarkEnd w:id="51"/>
    <w:bookmarkStart w:id="52" w:name="X5f84eb56afd02fae22daa44ef7dc0d03f77fdb7"/>
    <w:p>
      <w:pPr>
        <w:pStyle w:val="Heading2"/>
      </w:pPr>
      <w:r>
        <w:t xml:space="preserve">4.8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10</m:t>
              </m:r>
              <m:r>
                <m:rPr>
                  <m:sty m:val="p"/>
                </m:rPr>
                <m:t>,</m:t>
              </m:r>
              <m:sSup>
                <m:e>
                  <m:r>
                    <m:t>16</m:t>
                  </m:r>
                </m:e>
                <m:sup>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,038) từ P6 MARA xác nhận dị biệt giữa chế độ; gradient định hướng (E1a/E1b) chưa xác nhận do</w:t>
            </w:r>
            <w:r>
              <w:t xml:space="preserve"> </w:t>
            </w:r>
            <w:r>
              <w:rPr>
                <w:iCs/>
                <w:i/>
              </w:rPr>
              <w:t xml:space="preserve">k</w:t>
            </w:r>
            <w:r>
              <w:t xml:space="preserve"> </w:t>
            </w:r>
            <w:r>
              <w:t xml:space="preserve">= 4 tại Frontier và</w:t>
            </w:r>
            <w:r>
              <w:t xml:space="preserve"> </w:t>
            </w:r>
            <w:r>
              <w:rPr>
                <w:iCs/>
                <w:i/>
              </w:rPr>
              <w:t xml:space="preserve">k</w:t>
            </w:r>
            <w:r>
              <w:t xml:space="preserve"> </w:t>
            </w:r>
            <w:r>
              <w:t xml:space="preserve">= 3 tại SIDS;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2"/>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w:t>
      </w:r>
      <w:r>
        <w:t xml:space="preserve"> </w:t>
      </w:r>
      <w:hyperlink r:id="rId53">
        <w:r>
          <w:rPr>
            <w:rStyle w:val="Hyperlink"/>
          </w:rPr>
          <w:t xml:space="preserve">https://www.enterprisesurveys.org</w:t>
        </w:r>
      </w:hyperlink>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2026-05-24T12:13:20Z</dcterms:created>
  <dcterms:modified xsi:type="dcterms:W3CDTF">2026-05-24T12:13:20Z</dcterms:modified>
</cp:coreProperties>
</file>

<file path=docProps/custom.xml><?xml version="1.0" encoding="utf-8"?>
<Properties xmlns="http://schemas.openxmlformats.org/officeDocument/2006/custom-properties" xmlns:vt="http://schemas.openxmlformats.org/officeDocument/2006/docPropsVTypes"/>
</file>