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259 studies with</w:t>
      </w:r>
      <w:r>
        <w:t xml:space="preserve"> </w:t>
      </w:r>
      <w:r>
        <w:rPr>
          <w:iCs/>
          <w:i/>
        </w:rPr>
        <w:t xml:space="preserve">K</w:t>
      </w:r>
      <w:r>
        <w:t xml:space="preserve"> </w:t>
      </w:r>
      <w:r>
        <w:t xml:space="preserve">= 309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61.2% (within-study 30.6%; between-study 30.6%),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10.16,</w:t>
      </w:r>
      <w:r>
        <w:t xml:space="preserve"> </w:t>
      </w:r>
      <w:r>
        <w:rPr>
          <w:iCs/>
          <w:i/>
        </w:rPr>
        <w:t xml:space="preserve">df</w:t>
      </w:r>
      <w:r>
        <w:t xml:space="preserve"> </w:t>
      </w:r>
      <w:r>
        <w:t xml:space="preserve">= 4,</w:t>
      </w:r>
      <w:r>
        <w:t xml:space="preserve"> </w:t>
      </w:r>
      <w:r>
        <w:rPr>
          <w:iCs/>
          <w:i/>
        </w:rPr>
        <w:t xml:space="preserve">p</w:t>
      </w:r>
      <w:r>
        <w:t xml:space="preserve"> </w:t>
      </w:r>
      <w:r>
        <w:t xml:space="preserve">= .038)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1.11,</w:t>
      </w:r>
      <w:r>
        <w:t xml:space="preserve"> </w:t>
      </w:r>
      <w:r>
        <w:rPr>
          <w:iCs/>
          <w:i/>
        </w:rPr>
        <w:t xml:space="preserve">p</w:t>
      </w:r>
      <w:r>
        <w:t xml:space="preserve"> </w:t>
      </w:r>
      <w:r>
        <w:t xml:space="preserve">= .575, respectively) in the current</w:t>
      </w:r>
      <w:r>
        <w:t xml:space="preserve"> </w:t>
      </w:r>
      <w:r>
        <w:rPr>
          <w:iCs/>
          <w:i/>
        </w:rPr>
        <w:t xml:space="preserve">k</w:t>
      </w:r>
      <w:r>
        <w:t xml:space="preserve"> </w:t>
      </w:r>
      <w:r>
        <w:t xml:space="preserve">= 259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[0.019, 0.051])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259 studies from 49 economies globally, and the first to formally test ICRV, cDAI, and DPL phase as moderators. The ICRV between-regime Q_M test confirms H1 (Q_M = 10.16,</w:t>
      </w:r>
      <w:r>
        <w:t xml:space="preserve"> </w:t>
      </w:r>
      <w:r>
        <w:rPr>
          <w:iCs/>
          <w:i/>
        </w:rPr>
        <w:t xml:space="preserve">p</w:t>
      </w:r>
      <w:r>
        <w:t xml:space="preserve"> </w:t>
      </w:r>
      <w:r>
        <w:t xml:space="preserve">= .038),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259,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259,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259,</w:t>
      </w:r>
      <w:r>
        <w:t xml:space="preserve"> </w:t>
      </w:r>
      <w:r>
        <w:rPr>
          <w:iCs/>
          <w:i/>
        </w:rPr>
        <w:t xml:space="preserve">K</w:t>
      </w:r>
      <w:r>
        <w:t xml:space="preserve"> </w:t>
      </w:r>
      <w:r>
        <w:t xml:space="preserve">= 309)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10.16,</w:t>
      </w:r>
      <w:r>
        <w:t xml:space="preserve"> </w:t>
      </w:r>
      <w:r>
        <w:rPr>
          <w:iCs/>
          <w:i/>
        </w:rPr>
        <w:t xml:space="preserve">p</w:t>
      </w:r>
      <w:r>
        <w:t xml:space="preserve"> </w:t>
      </w:r>
      <w:r>
        <w:t xml:space="preserve">= .038);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1.11,</w:t>
      </w:r>
      <w:r>
        <w:t xml:space="preserve"> </w:t>
      </w:r>
      <w:r>
        <w:rPr>
          <w:iCs/>
          <w:i/>
        </w:rPr>
        <w:t xml:space="preserve">p</w:t>
      </w:r>
      <w:r>
        <w:t xml:space="preserve"> </w:t>
      </w:r>
      <w:r>
        <w:t xml:space="preserve">= .575)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61.2%) remains unresolved by the tested moderators, suggesting that future research should test alternative theoretical contingencies or that between-study heterogeneity shows approximately equal within-paper (Level 2, 30.6%) and between-country (Level 3, 30.6%) contributions.</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259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259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259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259 studies from 49 economies, K = 309 effects, r̄ = 0.074, 95% CI [0.060, 0.088]). Dashed arrows represent hypothesised moderating relationships. Three study-level constructs were tested as moderators: (1) ICRV Regime (H1) — hypothesised between-regime Q_M statistically significant; H1 confirmed (Q_M = 10.16, p = .038);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1.11 (p = .575), H2 not supported. The three-level model nests K = 309 effects within k = 259 studies (σ²_within = 0.00076, I²_(2) = 30.6%) within between-study heterogeneity (σ²_between = 0.00076, I²_(3) = 30.6%); total I² = 61.2%. Publication bias (H4 confirmed): Egger's b₀ = 0.077 (p &lt; .001),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259 coded studies;</w:t>
      </w:r>
      <w:r>
        <w:t xml:space="preserve"> </w:t>
      </w:r>
      <w:r>
        <w:rPr>
          <w:iCs/>
          <w:i/>
        </w:rPr>
        <w:t xml:space="preserve">K</w:t>
      </w:r>
      <w:r>
        <w:t xml:space="preserve"> </w:t>
      </w:r>
      <w:r>
        <w:t xml:space="preserve">= 309 effect sizes) assembled from backward citation screening and hand-search constitutes the baseline; all counts will be updated to confirmed figures after Scopus search and extraction are completed.</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259 studies (coded),</w:t>
      </w:r>
      <w:r>
        <w:t xml:space="preserve"> </w:t>
      </w:r>
      <w:r>
        <w:rPr>
          <w:iCs/>
          <w:i/>
        </w:rPr>
        <w:t xml:space="preserve">K</w:t>
      </w:r>
      <w:r>
        <w:t xml:space="preserve"> </w:t>
      </w:r>
      <w:r>
        <w:t xml:space="preserve">= 309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309 effect sizes, k = 259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309</w:t>
            </w:r>
          </w:p>
        </w:tc>
        <w:tc>
          <w:tcPr/>
          <w:p>
            <w:pPr>
              <w:pStyle w:val="Compact"/>
              <w:jc w:val="left"/>
            </w:pPr>
            <w:r>
              <w:rPr>
                <w:bCs/>
                <w:b/>
              </w:rPr>
              <w:t xml:space="preserve">259</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K=309 rows, k=259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259 studies, K = 309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0.00076</w:t>
            </w:r>
          </w:p>
        </w:tc>
      </w:tr>
      <w:tr>
        <w:tc>
          <w:tcPr/>
          <w:p>
            <w:pPr>
              <w:pStyle w:val="Compact"/>
              <w:jc w:val="left"/>
            </w:pPr>
            <w:r>
              <w:t xml:space="preserve">σ²_(3) between-study</w:t>
            </w:r>
          </w:p>
        </w:tc>
        <w:tc>
          <w:tcPr/>
          <w:p>
            <w:pPr>
              <w:pStyle w:val="Compact"/>
              <w:jc w:val="left"/>
            </w:pPr>
            <w:r>
              <w:t xml:space="preserve">0.00076</w:t>
            </w:r>
          </w:p>
        </w:tc>
      </w:tr>
      <w:tr>
        <w:tc>
          <w:tcPr/>
          <w:p>
            <w:pPr>
              <w:pStyle w:val="Compact"/>
              <w:jc w:val="left"/>
            </w:pPr>
            <w:r>
              <w:rPr>
                <w:iCs/>
                <w:i/>
              </w:rPr>
              <w:t xml:space="preserve">I</w:t>
            </w:r>
            <w:r>
              <w:t xml:space="preserve">²_(2) within-study</w:t>
            </w:r>
          </w:p>
        </w:tc>
        <w:tc>
          <w:tcPr/>
          <w:p>
            <w:pPr>
              <w:pStyle w:val="Compact"/>
              <w:jc w:val="left"/>
            </w:pPr>
            <w:r>
              <w:t xml:space="preserve">30.6%</w:t>
            </w:r>
          </w:p>
        </w:tc>
      </w:tr>
      <w:tr>
        <w:tc>
          <w:tcPr/>
          <w:p>
            <w:pPr>
              <w:pStyle w:val="Compact"/>
              <w:jc w:val="left"/>
            </w:pPr>
            <w:r>
              <w:rPr>
                <w:iCs/>
                <w:i/>
              </w:rPr>
              <w:t xml:space="preserve">I</w:t>
            </w:r>
            <w:r>
              <w:t xml:space="preserve">²_(3) between-study</w:t>
            </w:r>
          </w:p>
        </w:tc>
        <w:tc>
          <w:tcPr/>
          <w:p>
            <w:pPr>
              <w:pStyle w:val="Compact"/>
              <w:jc w:val="left"/>
            </w:pPr>
            <w:r>
              <w:t xml:space="preserve">30.6%</w:t>
            </w:r>
          </w:p>
        </w:tc>
      </w:tr>
      <w:tr>
        <w:tc>
          <w:tcPr/>
          <w:p>
            <w:pPr>
              <w:pStyle w:val="Compact"/>
              <w:jc w:val="left"/>
            </w:pPr>
            <w:r>
              <w:rPr>
                <w:iCs/>
                <w:i/>
              </w:rPr>
              <w:t xml:space="preserve">I</w:t>
            </w:r>
            <w:r>
              <w:t xml:space="preserve">²_total</w:t>
            </w:r>
          </w:p>
        </w:tc>
        <w:tc>
          <w:tcPr/>
          <w:p>
            <w:pPr>
              <w:pStyle w:val="Compact"/>
              <w:jc w:val="left"/>
            </w:pPr>
            <w:r>
              <w:t xml:space="preserve">61.2%</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2,696.16 (</w:t>
            </w:r>
            <w:r>
              <w:rPr>
                <w:iCs/>
                <w:i/>
              </w:rPr>
              <w:t xml:space="preserve">df</w:t>
            </w:r>
            <w:r>
              <w:t xml:space="preserve"> </w:t>
            </w:r>
            <w:r>
              <w:t xml:space="preserve">= 308,</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approximately equal within-study (Level 2,</w:t>
      </w:r>
      <w:r>
        <w:t xml:space="preserve"> </w:t>
      </w:r>
      <w:r>
        <w:rPr>
          <w:iCs/>
          <w:i/>
        </w:rPr>
        <w:t xml:space="preserve">I</w:t>
      </w:r>
      <w:r>
        <w:t xml:space="preserve">²_(2) = 30.6%) and between-study (Level 3,</w:t>
      </w:r>
      <w:r>
        <w:t xml:space="preserve"> </w:t>
      </w:r>
      <w:r>
        <w:rPr>
          <w:iCs/>
          <w:i/>
        </w:rPr>
        <w:t xml:space="preserve">I</w:t>
      </w:r>
      <w:r>
        <w:t xml:space="preserve">²_(3) = 30.6%) variance contributions — both methodological choices within papers and cross-country contextual factors contribute equally to heterogeneity. Total</w:t>
      </w:r>
      <w:r>
        <w:t xml:space="preserve"> </w:t>
      </w:r>
      <w:r>
        <w:rPr>
          <w:iCs/>
          <w:i/>
        </w:rPr>
        <w:t xml:space="preserve">I</w:t>
      </w:r>
      <w:r>
        <w:t xml:space="preserve">² = 61.2%, indicating substantial heterogeneity beyond sampling error — the motivation for moderator analysis, though the moderator analyses in §§4.3–4.5 do not resolve this heterogeneity significantly.</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10.16 (</w:t>
      </w:r>
      <w:r>
        <w:rPr>
          <w:iCs/>
          <w:i/>
        </w:rPr>
        <w:t xml:space="preserve">df</w:t>
      </w:r>
      <w:r>
        <w:t xml:space="preserve"> </w:t>
      </w:r>
      <w:r>
        <w:t xml:space="preserve">= 4,</w:t>
      </w:r>
      <w:r>
        <w:t xml:space="preserve"> </w:t>
      </w:r>
      <w:r>
        <w:rPr>
          <w:iCs/>
          <w:i/>
        </w:rPr>
        <w:t xml:space="preserve">p</w:t>
      </w:r>
      <w:r>
        <w:t xml:space="preserve"> </w:t>
      </w:r>
      <w:r>
        <w:t xml:space="preserve">= .038). H1</w:t>
      </w:r>
      <w:r>
        <w:t xml:space="preserve"> </w:t>
      </w:r>
      <w:r>
        <w:rPr>
          <w:bCs/>
          <w:b/>
        </w:rPr>
        <w:t xml:space="preserve">confirmed</w:t>
      </w:r>
      <w:r>
        <w:t xml:space="preserve"> </w:t>
      </w:r>
      <w:r>
        <w:t xml:space="preserve">— the between-regime Q_M test is statistically significant as hypothesized. Exploratory Propositions E1a (Advanced largest) and E1b (Frontier smallest) are</w:t>
      </w:r>
      <w:r>
        <w:t xml:space="preserve"> </w:t>
      </w:r>
      <w:r>
        <w:rPr>
          <w:bCs/>
          <w:b/>
        </w:rPr>
        <w:t xml:space="preserve">not meta-analytically confirmed</w:t>
      </w:r>
      <w:r>
        <w:t xml:space="preserve">: pairwise differences reflect single-country vs. multi-country study composition rather than a monotone institutional gradient; see below.</w:t>
      </w:r>
    </w:p>
    <w:p>
      <w:pPr>
        <w:pStyle w:val="BodyText"/>
      </w:pPr>
      <w:r>
        <w:rPr>
          <w:bCs/>
          <w:b/>
        </w:rPr>
        <w:t xml:space="preserve">Table 4.2 — ICRV regime subgroup results</w:t>
      </w:r>
      <w:r>
        <w:t xml:space="preserve"> </w:t>
      </w:r>
      <w:r>
        <w:rPr>
          <w:iCs/>
          <w:i/>
        </w:rPr>
        <w:t xml:space="preserve">(actual MARA output, k=259/K=309; reference category = ICRV=0 Multi-country)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Contrast vs. MX</w:t>
            </w:r>
          </w:p>
        </w:tc>
        <w:tc>
          <w:tcPr/>
          <w:p>
            <w:pPr>
              <w:pStyle w:val="Compact"/>
              <w:jc w:val="left"/>
            </w:pPr>
            <w:r>
              <w:rPr>
                <w:iCs/>
                <w:i/>
              </w:rPr>
              <w:t xml:space="preserve">p</w:t>
            </w:r>
          </w:p>
        </w:tc>
      </w:tr>
      <w:tr>
        <w:tc>
          <w:tcPr/>
          <w:p>
            <w:pPr>
              <w:pStyle w:val="Compact"/>
              <w:jc w:val="left"/>
            </w:pPr>
            <w:r>
              <w:t xml:space="preserve">0 — Multi-country / Mixed (reference)</w:t>
            </w:r>
          </w:p>
        </w:tc>
        <w:tc>
          <w:tcPr/>
          <w:p>
            <w:pPr>
              <w:pStyle w:val="Compact"/>
              <w:jc w:val="left"/>
            </w:pPr>
            <w:r>
              <w:t xml:space="preserve">34</w:t>
            </w:r>
          </w:p>
        </w:tc>
        <w:tc>
          <w:tcPr/>
          <w:p>
            <w:pPr>
              <w:pStyle w:val="Compact"/>
              <w:jc w:val="left"/>
            </w:pPr>
            <w:r>
              <w:t xml:space="preserve">0.052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 — Advanced-Innovation (SG, HK, KR, JP, UK, US…)</w:t>
            </w:r>
          </w:p>
        </w:tc>
        <w:tc>
          <w:tcPr/>
          <w:p>
            <w:pPr>
              <w:pStyle w:val="Compact"/>
              <w:jc w:val="left"/>
            </w:pPr>
            <w:r>
              <w:t xml:space="preserve">175</w:t>
            </w:r>
          </w:p>
        </w:tc>
        <w:tc>
          <w:tcPr/>
          <w:p>
            <w:pPr>
              <w:pStyle w:val="Compact"/>
              <w:jc w:val="left"/>
            </w:pPr>
            <w:r>
              <w:t xml:space="preserve">0.078</w:t>
            </w:r>
          </w:p>
        </w:tc>
        <w:tc>
          <w:tcPr/>
          <w:p>
            <w:pPr>
              <w:pStyle w:val="Compact"/>
              <w:jc w:val="left"/>
            </w:pPr>
            <w:r>
              <w:t xml:space="preserve">b = +0.026</w:t>
            </w:r>
          </w:p>
        </w:tc>
        <w:tc>
          <w:tcPr/>
          <w:p>
            <w:pPr>
              <w:pStyle w:val="Compact"/>
              <w:jc w:val="left"/>
            </w:pPr>
            <w:r>
              <w:t xml:space="preserve">.019</w:t>
            </w:r>
          </w:p>
        </w:tc>
      </w:tr>
      <w:tr>
        <w:tc>
          <w:tcPr/>
          <w:p>
            <w:pPr>
              <w:pStyle w:val="Compact"/>
              <w:jc w:val="left"/>
            </w:pPr>
            <w:r>
              <w:t xml:space="preserve">2 — Upper-middle (CN, MY, TH, BR…)</w:t>
            </w:r>
          </w:p>
        </w:tc>
        <w:tc>
          <w:tcPr/>
          <w:p>
            <w:pPr>
              <w:pStyle w:val="Compact"/>
              <w:jc w:val="left"/>
            </w:pPr>
            <w:r>
              <w:t xml:space="preserve">93</w:t>
            </w:r>
          </w:p>
        </w:tc>
        <w:tc>
          <w:tcPr/>
          <w:p>
            <w:pPr>
              <w:pStyle w:val="Compact"/>
              <w:jc w:val="left"/>
            </w:pPr>
            <w:r>
              <w:t xml:space="preserve">0.068</w:t>
            </w:r>
          </w:p>
        </w:tc>
        <w:tc>
          <w:tcPr/>
          <w:p>
            <w:pPr>
              <w:pStyle w:val="Compact"/>
              <w:jc w:val="left"/>
            </w:pPr>
            <w:r>
              <w:t xml:space="preserve">b = +0.016</w:t>
            </w:r>
          </w:p>
        </w:tc>
        <w:tc>
          <w:tcPr/>
          <w:p>
            <w:pPr>
              <w:pStyle w:val="Compact"/>
              <w:jc w:val="left"/>
            </w:pPr>
            <w:r>
              <w:t xml:space="preserve">.032</w:t>
            </w:r>
          </w:p>
        </w:tc>
      </w:tr>
      <w:tr>
        <w:tc>
          <w:tcPr/>
          <w:p>
            <w:pPr>
              <w:pStyle w:val="Compact"/>
              <w:jc w:val="left"/>
            </w:pPr>
            <w:r>
              <w:t xml:space="preserve">3 — Emerging (VN, IN, ID, PH…)</w:t>
            </w:r>
          </w:p>
        </w:tc>
        <w:tc>
          <w:tcPr/>
          <w:p>
            <w:pPr>
              <w:pStyle w:val="Compact"/>
              <w:jc w:val="left"/>
            </w:pPr>
            <w:r>
              <w:t xml:space="preserve">3</w:t>
            </w:r>
          </w:p>
        </w:tc>
        <w:tc>
          <w:tcPr/>
          <w:p>
            <w:pPr>
              <w:pStyle w:val="Compact"/>
              <w:jc w:val="left"/>
            </w:pPr>
            <w:r>
              <w:t xml:space="preserve">0.104</w:t>
            </w:r>
          </w:p>
        </w:tc>
        <w:tc>
          <w:tcPr/>
          <w:p>
            <w:pPr>
              <w:pStyle w:val="Compact"/>
              <w:jc w:val="left"/>
            </w:pPr>
            <w:r>
              <w:t xml:space="preserve">b = +0.052</w:t>
            </w:r>
          </w:p>
        </w:tc>
        <w:tc>
          <w:tcPr/>
          <w:p>
            <w:pPr>
              <w:pStyle w:val="Compact"/>
              <w:jc w:val="left"/>
            </w:pPr>
            <w:r>
              <w:t xml:space="preserve">.081 (NS,</w:t>
            </w:r>
            <w:r>
              <w:t xml:space="preserve"> </w:t>
            </w:r>
            <w:r>
              <w:rPr>
                <w:iCs/>
                <w:i/>
              </w:rPr>
              <w:t xml:space="preserve">K</w:t>
            </w:r>
            <w:r>
              <w:t xml:space="preserve"> </w:t>
            </w:r>
            <w:r>
              <w:t xml:space="preserve">= 3)</w:t>
            </w:r>
          </w:p>
        </w:tc>
      </w:tr>
      <w:tr>
        <w:tc>
          <w:tcPr/>
          <w:p>
            <w:pPr>
              <w:pStyle w:val="Compact"/>
              <w:jc w:val="left"/>
            </w:pPr>
            <w:r>
              <w:t xml:space="preserve">6 — Frontier / LDC</w:t>
            </w:r>
          </w:p>
        </w:tc>
        <w:tc>
          <w:tcPr/>
          <w:p>
            <w:pPr>
              <w:pStyle w:val="Compact"/>
              <w:jc w:val="left"/>
            </w:pPr>
            <w:r>
              <w:t xml:space="preserve">4</w:t>
            </w:r>
          </w:p>
        </w:tc>
        <w:tc>
          <w:tcPr/>
          <w:p>
            <w:pPr>
              <w:pStyle w:val="Compact"/>
              <w:jc w:val="left"/>
            </w:pPr>
            <w:r>
              <w:t xml:space="preserve">0.253</w:t>
            </w:r>
          </w:p>
        </w:tc>
        <w:tc>
          <w:tcPr/>
          <w:p>
            <w:pPr>
              <w:pStyle w:val="Compact"/>
              <w:jc w:val="left"/>
            </w:pPr>
            <w:r>
              <w:t xml:space="preserve">b = +0.203</w:t>
            </w:r>
          </w:p>
        </w:tc>
        <w:tc>
          <w:tcPr/>
          <w:p>
            <w:pPr>
              <w:pStyle w:val="Compact"/>
              <w:jc w:val="left"/>
            </w:pPr>
            <w:r>
              <w:t xml:space="preserve">.074 (NS,</w:t>
            </w:r>
            <w:r>
              <w:t xml:space="preserve"> </w:t>
            </w:r>
            <w:r>
              <w:rPr>
                <w:iCs/>
                <w:i/>
              </w:rPr>
              <w:t xml:space="preserve">K</w:t>
            </w:r>
            <w:r>
              <w:t xml:space="preserve"> </w:t>
            </w:r>
            <w:r>
              <w:t xml:space="preserve">= 4)</w:t>
            </w:r>
          </w:p>
        </w:tc>
      </w:tr>
    </w:tbl>
    <w:p>
      <w:pPr>
        <w:pStyle w:val="BodyText"/>
      </w:pPr>
      <w:r>
        <w:drawing>
          <wp:inline>
            <wp:extent cx="5753100" cy="3430252"/>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10.16 is statistically significant (</w:t>
      </w:r>
      <w:r>
        <w:rPr>
          <w:iCs/>
          <w:i/>
        </w:rPr>
        <w:t xml:space="preserve">p</w:t>
      </w:r>
      <w:r>
        <w:t xml:space="preserve"> </w:t>
      </w:r>
      <w:r>
        <w:t xml:space="preserve">= .038). Pairwise contrasts against the Multi-country/Mixed reference (ICRV=0) reveal that Advanced-Innovation (b = +0.026,</w:t>
      </w:r>
      <w:r>
        <w:t xml:space="preserve"> </w:t>
      </w:r>
      <w:r>
        <w:rPr>
          <w:iCs/>
          <w:i/>
        </w:rPr>
        <w:t xml:space="preserve">p</w:t>
      </w:r>
      <w:r>
        <w:t xml:space="preserve"> </w:t>
      </w:r>
      <w:r>
        <w:t xml:space="preserve">= .019) and Upper-middle economies (b = +0.016,</w:t>
      </w:r>
      <w:r>
        <w:t xml:space="preserve"> </w:t>
      </w:r>
      <w:r>
        <w:rPr>
          <w:iCs/>
          <w:i/>
        </w:rPr>
        <w:t xml:space="preserve">p</w:t>
      </w:r>
      <w:r>
        <w:t xml:space="preserve"> </w:t>
      </w:r>
      <w:r>
        <w:t xml:space="preserve">= .032) show significantly higher I→P effects than multi-country pooled studies. Emerging (ICRV=3,</w:t>
      </w:r>
      <w:r>
        <w:t xml:space="preserve"> </w:t>
      </w:r>
      <w:r>
        <w:rPr>
          <w:iCs/>
          <w:i/>
        </w:rPr>
        <w:t xml:space="preserve">K</w:t>
      </w:r>
      <w:r>
        <w:t xml:space="preserve"> </w:t>
      </w:r>
      <w:r>
        <w:t xml:space="preserve">= 3) and Frontier/LDC (ICRV=6,</w:t>
      </w:r>
      <w:r>
        <w:t xml:space="preserve"> </w:t>
      </w:r>
      <w:r>
        <w:rPr>
          <w:iCs/>
          <w:i/>
        </w:rPr>
        <w:t xml:space="preserve">K</w:t>
      </w:r>
      <w:r>
        <w:t xml:space="preserve"> </w:t>
      </w:r>
      <w:r>
        <w:t xml:space="preserve">= 4) cells are too small to yield reliable estimates — their coefficients are directionally positive but do not reach significance (</w:t>
      </w:r>
      <w:r>
        <w:rPr>
          <w:iCs/>
          <w:i/>
        </w:rPr>
        <w:t xml:space="preserve">p</w:t>
      </w:r>
      <w:r>
        <w:t xml:space="preserve"> </w:t>
      </w:r>
      <w:r>
        <w:t xml:space="preserve">= .081 and</w:t>
      </w:r>
      <w:r>
        <w:t xml:space="preserve"> </w:t>
      </w:r>
      <w:r>
        <w:rPr>
          <w:iCs/>
          <w:i/>
        </w:rPr>
        <w:t xml:space="preserve">p</w:t>
      </w:r>
      <w:r>
        <w:t xml:space="preserve"> </w:t>
      </w:r>
      <w:r>
        <w:t xml:space="preserve">= .074, respectively). The Frontier group (</w:t>
      </w:r>
      <w:r>
        <w:rPr>
          <w:iCs/>
          <w:i/>
        </w:rPr>
        <w:t xml:space="preserve">K</w:t>
      </w:r>
      <w:r>
        <w:t xml:space="preserve"> </w:t>
      </w:r>
      <w:r>
        <w:t xml:space="preserve">= 4,</w:t>
      </w:r>
      <w:r>
        <w:t xml:space="preserve"> </w:t>
      </w:r>
      <w:r>
        <w:rPr>
          <w:iCs/>
          <w:i/>
        </w:rPr>
        <w:t xml:space="preserve">r̄</w:t>
      </w:r>
      <w:r>
        <w:t xml:space="preserve"> </w:t>
      </w:r>
      <w:r>
        <w:t xml:space="preserve">= 0.253)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w:t>
      </w:r>
    </w:p>
    <w:p>
      <w:pPr>
        <w:pStyle w:val="BodyText"/>
      </w:pPr>
      <w:r>
        <w:t xml:space="preserve">The Q_M significance reflects a systematic difference between single-country focused studies (ICRV=1 and ICRV=2,</w:t>
      </w:r>
      <w:r>
        <w:t xml:space="preserve"> </w:t>
      </w:r>
      <w:r>
        <w:rPr>
          <w:iCs/>
          <w:i/>
        </w:rPr>
        <w:t xml:space="preserve">r</w:t>
      </w:r>
      <w:r>
        <w:t xml:space="preserve"> </w:t>
      </w:r>
      <w:r>
        <w:t xml:space="preserve">≈ 0.068–0.078) and multi-country pooled studies (ICRV=0,</w:t>
      </w:r>
      <w:r>
        <w:t xml:space="preserve"> </w:t>
      </w:r>
      <w:r>
        <w:rPr>
          <w:iCs/>
          <w:i/>
        </w:rPr>
        <w:t xml:space="preserve">r̄</w:t>
      </w:r>
      <w:r>
        <w:t xml:space="preserve"> </w:t>
      </w:r>
      <w:r>
        <w:t xml:space="preserve">= 0.052). H1 (between-regime heterogeneity</w:t>
      </w:r>
      <w:r>
        <w:t xml:space="preserve"> </w:t>
      </w:r>
      <w:r>
        <w:rPr>
          <w:iCs/>
          <w:i/>
        </w:rPr>
        <w:t xml:space="preserve">Q</w:t>
      </w:r>
      <w:r>
        <w:t xml:space="preserve">_M significant) is confirmed, establishing that I→P effect sizes vary systematically across ICRV regime groups. However, E1a's predicted directional ordering (Advanced &gt; Emerging) and E1b's predicted Frontier floor are not statistically confirmable with current</w:t>
      </w:r>
      <w:r>
        <w:t xml:space="preserve"> </w:t>
      </w:r>
      <w:r>
        <w:rPr>
          <w:iCs/>
          <w:i/>
        </w:rPr>
        <w:t xml:space="preserve">K</w:t>
      </w:r>
      <w:r>
        <w:t xml:space="preserve"> </w:t>
      </w:r>
      <w:r>
        <w:t xml:space="preserve">per regime. The gradient-specific propositions require larger</w:t>
      </w:r>
      <w:r>
        <w:t xml:space="preserve"> </w:t>
      </w:r>
      <w:r>
        <w:rPr>
          <w:iCs/>
          <w:i/>
        </w:rPr>
        <w:t xml:space="preserve">K</w:t>
      </w:r>
      <w:r>
        <w:t xml:space="preserve"> </w:t>
      </w:r>
      <w:r>
        <w:t xml:space="preserve">per regime cell before they can be properly tested.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259 sample. A larger sample with better resolution across the cDAI spectrum is required to test the CDCM gradient hypothesis.</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1.11 (</w:t>
      </w:r>
      <w:r>
        <w:rPr>
          <w:iCs/>
          <w:i/>
        </w:rPr>
        <w:t xml:space="preserve">df</w:t>
      </w:r>
      <w:r>
        <w:t xml:space="preserve"> </w:t>
      </w:r>
      <w:r>
        <w:t xml:space="preserve">= 2,</w:t>
      </w:r>
      <w:r>
        <w:t xml:space="preserve"> </w:t>
      </w:r>
      <w:r>
        <w:rPr>
          <w:iCs/>
          <w:i/>
        </w:rPr>
        <w:t xml:space="preserve">p</w:t>
      </w:r>
      <w:r>
        <w:t xml:space="preserve"> </w:t>
      </w:r>
      <w:r>
        <w:t xml:space="preserve">= .575).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103</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120</w:t>
            </w:r>
          </w:p>
        </w:tc>
        <w:tc>
          <w:tcPr/>
          <w:p>
            <w:pPr>
              <w:pStyle w:val="Compact"/>
              <w:jc w:val="left"/>
            </w:pPr>
            <w:r>
              <w:t xml:space="preserve">0.069</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86</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259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₀ = 0.077 (</w:t>
      </w:r>
      <w:r>
        <w:rPr>
          <w:iCs/>
          <w:i/>
        </w:rPr>
        <w:t xml:space="preserve">SE</w:t>
      </w:r>
      <w:r>
        <w:t xml:space="preserve"> </w:t>
      </w:r>
      <w:r>
        <w:t xml:space="preserve">= 0.007,</w:t>
      </w:r>
      <w:r>
        <w:t xml:space="preserve"> </w:t>
      </w:r>
      <w:r>
        <w:rPr>
          <w:iCs/>
          <w:i/>
        </w:rPr>
        <w:t xml:space="preserve">p</w:t>
      </w:r>
      <w:r>
        <w:t xml:space="preserve"> </w:t>
      </w:r>
      <w:r>
        <w:t xml:space="preserve">&lt; .001) — statistically significant; funnel asymmetry is confirmed by Egger's precision-weighted regression test.</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[0.019,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1,305;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61.2%)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drawing>
          <wp:inline>
            <wp:extent cx="5753100" cy="4601444"/>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309</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309</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309</w:t>
            </w:r>
          </w:p>
        </w:tc>
        <w:tc>
          <w:tcPr/>
          <w:p>
            <w:pPr>
              <w:pStyle w:val="Compact"/>
              <w:jc w:val="left"/>
            </w:pPr>
            <w:r>
              <w:t xml:space="preserve">[0.071, 0.076]</w:t>
            </w:r>
          </w:p>
        </w:tc>
        <w:tc>
          <w:tcPr/>
          <w:p>
            <w:pPr>
              <w:pStyle w:val="Compact"/>
              <w:jc w:val="left"/>
            </w:pPr>
            <w:r>
              <w:t xml:space="preserve">—</w:t>
            </w:r>
          </w:p>
        </w:tc>
        <w:tc>
          <w:tcPr/>
          <w:p>
            <w:pPr>
              <w:pStyle w:val="Compact"/>
              <w:jc w:val="left"/>
            </w:pPr>
            <w:r>
              <w:t xml:space="preserve">0/309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0.076]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259,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 contexts (ICRV=1,</w:t>
      </w:r>
      <w:r>
        <w:rPr>
          <w:bCs/>
          <w:b/>
        </w:rPr>
        <w:t xml:space="preserve"> </w:t>
      </w:r>
      <w:r>
        <w:rPr>
          <w:iCs/>
          <w:i/>
          <w:bCs/>
          <w:b/>
        </w:rPr>
        <w:t xml:space="preserve">K</w:t>
      </w:r>
      <w:r>
        <w:rPr>
          <w:bCs/>
          <w:b/>
        </w:rPr>
        <w:t xml:space="preserve"> </w:t>
      </w:r>
      <w:r>
        <w:rPr>
          <w:bCs/>
          <w:b/>
        </w:rPr>
        <w:t xml:space="preserve">= 175;</w:t>
      </w:r>
      <w:r>
        <w:rPr>
          <w:bCs/>
          <w:b/>
        </w:rPr>
        <w:t xml:space="preserve"> </w:t>
      </w:r>
      <w:r>
        <w:rPr>
          <w:iCs/>
          <w:i/>
          <w:bCs/>
          <w:b/>
        </w:rPr>
        <w:t xml:space="preserve">r̄</w:t>
      </w:r>
      <w:r>
        <w:rPr>
          <w:bCs/>
          <w:b/>
        </w:rPr>
        <w:t xml:space="preserve"> </w:t>
      </w:r>
      <w:r>
        <w:rPr>
          <w:bCs/>
          <w:b/>
        </w:rPr>
        <w:t xml:space="preserve">= 0.078):</w:t>
      </w:r>
      <w:r>
        <w:t xml:space="preserve"> </w:t>
      </w:r>
      <w:r>
        <w:t xml:space="preserve">The Advanced-Innovation group mean (</w:t>
      </w:r>
      <w:r>
        <w:rPr>
          <w:iCs/>
          <w:i/>
        </w:rPr>
        <w:t xml:space="preserve">r̄</w:t>
      </w:r>
      <w:r>
        <w:t xml:space="preserve"> </w:t>
      </w:r>
      <w:r>
        <w:t xml:space="preserve">= 0.078) is among the highest reliable estimates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The contrast vs. the Multi-country reference is statistically significant (b = +0.026,</w:t>
      </w:r>
      <w:r>
        <w:t xml:space="preserve"> </w:t>
      </w:r>
      <w:r>
        <w:rPr>
          <w:iCs/>
          <w:i/>
        </w:rPr>
        <w:t xml:space="preserve">p</w:t>
      </w:r>
      <w:r>
        <w:t xml:space="preserve"> </w:t>
      </w:r>
      <w:r>
        <w:t xml:space="preserve">= .019).</w:t>
      </w:r>
    </w:p>
    <w:p>
      <w:pPr>
        <w:pStyle w:val="BodyText"/>
      </w:pPr>
      <w:r>
        <w:rPr>
          <w:bCs/>
          <w:b/>
        </w:rPr>
        <w:t xml:space="preserve">Emerging contexts (ICRV=3,</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0.104):</w:t>
      </w:r>
      <w:r>
        <w:t xml:space="preserve"> </w:t>
      </w:r>
      <w:r>
        <w:t xml:space="preserve">The Emerging group cell is too small for reliable inference (</w:t>
      </w:r>
      <w:r>
        <w:rPr>
          <w:iCs/>
          <w:i/>
        </w:rPr>
        <w:t xml:space="preserve">K</w:t>
      </w:r>
      <w:r>
        <w:t xml:space="preserve"> </w:t>
      </w:r>
      <w:r>
        <w:t xml:space="preserve">= 3). The point estimate is directionally positive but the contrast vs. the Multi-country reference does not reach significance (</w:t>
      </w:r>
      <w:r>
        <w:rPr>
          <w:iCs/>
          <w:i/>
        </w:rPr>
        <w:t xml:space="preserve">p</w:t>
      </w:r>
      <w:r>
        <w:t xml:space="preserve"> </w:t>
      </w:r>
      <w:r>
        <w:t xml:space="preserve">= .081).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(ICRV=6,</w:t>
      </w:r>
      <w:r>
        <w:rPr>
          <w:bCs/>
          <w:b/>
        </w:rPr>
        <w:t xml:space="preserve"> </w:t>
      </w:r>
      <w:r>
        <w:rPr>
          <w:iCs/>
          <w:i/>
          <w:bCs/>
          <w:b/>
        </w:rPr>
        <w:t xml:space="preserve">K</w:t>
      </w:r>
      <w:r>
        <w:rPr>
          <w:bCs/>
          <w:b/>
        </w:rPr>
        <w:t xml:space="preserve"> </w:t>
      </w:r>
      <w:r>
        <w:rPr>
          <w:bCs/>
          <w:b/>
        </w:rPr>
        <w:t xml:space="preserve">= 4;</w:t>
      </w:r>
      <w:r>
        <w:rPr>
          <w:bCs/>
          <w:b/>
        </w:rPr>
        <w:t xml:space="preserve"> </w:t>
      </w:r>
      <w:r>
        <w:rPr>
          <w:iCs/>
          <w:i/>
          <w:bCs/>
          <w:b/>
        </w:rPr>
        <w:t xml:space="preserve">r̄</w:t>
      </w:r>
      <w:r>
        <w:rPr>
          <w:bCs/>
          <w:b/>
        </w:rPr>
        <w:t xml:space="preserve"> </w:t>
      </w:r>
      <w:r>
        <w:rPr>
          <w:bCs/>
          <w:b/>
        </w:rPr>
        <w:t xml:space="preserve">= 0.253):</w:t>
      </w:r>
      <w:r>
        <w:t xml:space="preserve"> </w:t>
      </w:r>
      <w:r>
        <w:t xml:space="preserve">The</w:t>
      </w:r>
      <w:r>
        <w:t xml:space="preserve"> </w:t>
      </w:r>
      <w:r>
        <w:rPr>
          <w:iCs/>
          <w:i/>
        </w:rPr>
        <w:t xml:space="preserve">K</w:t>
      </w:r>
      <w:r>
        <w:t xml:space="preserve"> </w:t>
      </w:r>
      <w:r>
        <w:t xml:space="preserve">= 4 Frontier estimate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four effects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10.16,</w:t>
      </w:r>
      <w:r>
        <w:t xml:space="preserve"> </w:t>
      </w:r>
      <w:r>
        <w:rPr>
          <w:iCs/>
          <w:i/>
        </w:rPr>
        <w:t xml:space="preserve">p</w:t>
      </w:r>
      <w:r>
        <w:t xml:space="preserve"> </w:t>
      </w:r>
      <w:r>
        <w:t xml:space="preserve">= .038)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259 studies from 49 economies (</w:t>
      </w:r>
      <w:r>
        <w:rPr>
          <w:iCs/>
          <w:i/>
        </w:rPr>
        <w:t xml:space="preserve">K</w:t>
      </w:r>
      <w:r>
        <w:t xml:space="preserve"> </w:t>
      </w:r>
      <w:r>
        <w:t xml:space="preserve">= 309 effects) is the most comprehensive quantitative synthesis of I→P evidence to apply three-level modeling, extending the ICBEF 2025 Asia-Pacific baseline (</w:t>
      </w:r>
      <w:r>
        <w:rPr>
          <w:iCs/>
          <w:i/>
        </w:rPr>
        <w:t xml:space="preserve">k</w:t>
      </w:r>
      <w:r>
        <w:t xml:space="preserve"> </w:t>
      </w:r>
      <w:r>
        <w:t xml:space="preserve">= 113) by 146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10.16,</w:t>
      </w:r>
      <w:r>
        <w:t xml:space="preserve"> </w:t>
      </w:r>
      <w:r>
        <w:rPr>
          <w:iCs/>
          <w:i/>
        </w:rPr>
        <w:t xml:space="preserve">p</w:t>
      </w:r>
      <w:r>
        <w:t xml:space="preserve"> </w:t>
      </w:r>
      <w:r>
        <w:t xml:space="preserve">= .038),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259 sample lacks sufficient between-regime variation (particularly Emerging,</w:t>
      </w:r>
      <w:r>
        <w:t xml:space="preserve"> </w:t>
      </w:r>
      <w:r>
        <w:rPr>
          <w:iCs/>
          <w:i/>
        </w:rPr>
        <w:t xml:space="preserve">K</w:t>
      </w:r>
      <w:r>
        <w:t xml:space="preserve"> </w:t>
      </w:r>
      <w:r>
        <w:t xml:space="preserve">= 3; Frontier,</w:t>
      </w:r>
      <w:r>
        <w:t xml:space="preserve"> </w:t>
      </w:r>
      <w:r>
        <w:rPr>
          <w:iCs/>
          <w:i/>
        </w:rPr>
        <w:t xml:space="preserve">K</w:t>
      </w:r>
      <w:r>
        <w:t xml:space="preserve"> </w:t>
      </w:r>
      <w:r>
        <w:t xml:space="preserve">= 4; SIDS,</w:t>
      </w:r>
      <w:r>
        <w:t xml:space="preserve"> </w:t>
      </w:r>
      <w:r>
        <w:rPr>
          <w:iCs/>
          <w:i/>
        </w:rPr>
        <w:t xml:space="preserve">K</w:t>
      </w:r>
      <w:r>
        <w:t xml:space="preserve"> </w:t>
      </w:r>
      <w:r>
        <w:t xml:space="preserve">= 0) to detect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259 studies from 49 economies (</w:t>
      </w:r>
      <w:r>
        <w:rPr>
          <w:iCs/>
          <w:i/>
        </w:rPr>
        <w:t xml:space="preserve">K</w:t>
      </w:r>
      <w:r>
        <w:t xml:space="preserve"> </w:t>
      </w:r>
      <w:r>
        <w:t xml:space="preserve">= 309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61.2%)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10.16,</w:t>
      </w:r>
      <w:r>
        <w:t xml:space="preserve"> </w:t>
      </w:r>
      <w:r>
        <w:rPr>
          <w:iCs/>
          <w:i/>
        </w:rPr>
        <w:t xml:space="preserve">p</w:t>
      </w:r>
      <w:r>
        <w:t xml:space="preserve"> </w:t>
      </w:r>
      <w:r>
        <w:t xml:space="preserve">= .038), establishing that I→P effect sizes vary systematically across institutional regimes. However, the directional gradient (E1a: Advanced largest; E1b: Frontier smallest) is not meta-analytically confirmable with sparse regime cells (Emerging</w:t>
      </w:r>
      <w:r>
        <w:t xml:space="preserve"> </w:t>
      </w:r>
      <w:r>
        <w:rPr>
          <w:iCs/>
          <w:i/>
        </w:rPr>
        <w:t xml:space="preserve">K</w:t>
      </w:r>
      <w:r>
        <w:t xml:space="preserve"> </w:t>
      </w:r>
      <w:r>
        <w:t xml:space="preserve">= 3; Frontier</w:t>
      </w:r>
      <w:r>
        <w:t xml:space="preserve"> </w:t>
      </w:r>
      <w:r>
        <w:rPr>
          <w:iCs/>
          <w:i/>
        </w:rPr>
        <w:t xml:space="preserve">K</w:t>
      </w:r>
      <w:r>
        <w:t xml:space="preserve"> </w:t>
      </w:r>
      <w:r>
        <w:t xml:space="preserve">= 4),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1.11,</w:t>
      </w:r>
      <w:r>
        <w:t xml:space="preserve"> </w:t>
      </w:r>
      <w:r>
        <w:rPr>
          <w:iCs/>
          <w:i/>
        </w:rPr>
        <w:t xml:space="preserve">p</w:t>
      </w:r>
      <w:r>
        <w:t xml:space="preserve"> </w:t>
      </w:r>
      <w:r>
        <w:t xml:space="preserve">= .575)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259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[0.019,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61.2%) remains largely unresolved, with approximately equal within-study (Level 2, 30.6%) and between-study (Level 3, 30.6%) variance contributions, suggesting that both methodological choices within papers and cross-country institutional differences contribute equally to heterogeneity.</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259 working database; this may reflect insufficient regime-level</w:t>
      </w:r>
      <w:r>
        <w:t xml:space="preserve"> </w:t>
      </w:r>
      <w:r>
        <w:rPr>
          <w:iCs/>
          <w:i/>
        </w:rPr>
        <w:t xml:space="preserve">k</w:t>
      </w:r>
      <w:r>
        <w:t xml:space="preserve"> </w:t>
      </w:r>
      <w:r>
        <w:t xml:space="preserve">(Emerging:</w:t>
      </w:r>
      <w:r>
        <w:t xml:space="preserve"> </w:t>
      </w:r>
      <w:r>
        <w:rPr>
          <w:iCs/>
          <w:i/>
        </w:rPr>
        <w:t xml:space="preserve">K</w:t>
      </w:r>
      <w:r>
        <w:t xml:space="preserve"> </w:t>
      </w:r>
      <w:r>
        <w:t xml:space="preserve">= 3; Frontier:</w:t>
      </w:r>
      <w:r>
        <w:t xml:space="preserve"> </w:t>
      </w:r>
      <w:r>
        <w:rPr>
          <w:iCs/>
          <w:i/>
        </w:rPr>
        <w:t xml:space="preserve">K</w:t>
      </w:r>
      <w:r>
        <w:t xml:space="preserve"> </w:t>
      </w:r>
      <w:r>
        <w:t xml:space="preserve">= 4;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4,</w:t>
      </w:r>
      <w:r>
        <w:t xml:space="preserve"> </w:t>
      </w:r>
      <w:r>
        <w:rPr>
          <w:iCs/>
          <w:i/>
        </w:rPr>
        <w:t xml:space="preserve">r̄</w:t>
      </w:r>
      <w:r>
        <w:t xml:space="preserve"> </w:t>
      </w:r>
      <w:r>
        <w:t xml:space="preserve">= 0.253, including one outlier Pouresmaeili et al. 2018) yields an unreliable estimate;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259 (prior DB: k = 238; updated 23/05/2026)</w:t>
      </w:r>
      <w:r>
        <w:br/>
      </w:r>
      <w:r>
        <w:rPr>
          <w:rStyle w:val="VerbatimChar"/>
        </w:rPr>
        <w:t xml:space="preserve">Effect sizes coded:                  K = 309 (prior DB: K = 288; updated 23/05/2026)</w:t>
      </w:r>
      <w:r>
        <w:br/>
      </w:r>
      <w:r>
        <w:br/>
      </w:r>
      <w:r>
        <w:rPr>
          <w:rStyle w:val="VerbatimChar"/>
        </w:rPr>
        <w:t xml:space="preserve">Note: k=259 / K=309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k=259)</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61.2%</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30.6%</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30.6%</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259</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309</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0.00076</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0.00076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(61.2% vs. 87.92%) reflects the expanded</w:t>
      </w:r>
      <w:r>
        <w:t xml:space="preserve"> </w:t>
      </w:r>
      <w:r>
        <w:rPr>
          <w:iCs/>
          <w:i/>
        </w:rPr>
        <w:t xml:space="preserve">k</w:t>
      </w:r>
      <w:r>
        <w:t xml:space="preserve"> </w:t>
      </w:r>
      <w:r>
        <w:t xml:space="preserve">= 259 sample and the three-level structure that partitions variance across levels correctly. The narrower 95% CI reflects the precision gain from 259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2026-05-24T12:13:22Z</dcterms:created>
  <dcterms:modified xsi:type="dcterms:W3CDTF">2026-05-24T12:13:22Z</dcterms:modified>
</cp:coreProperties>
</file>

<file path=docProps/custom.xml><?xml version="1.0" encoding="utf-8"?>
<Properties xmlns="http://schemas.openxmlformats.org/officeDocument/2006/custom-properties" xmlns:vt="http://schemas.openxmlformats.org/officeDocument/2006/docPropsVTypes"/>
</file>