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f24ec467481d62a742d363f12c684976d74bdf7"/>
    <w:p>
      <w:pPr>
        <w:pStyle w:val="Heading1"/>
      </w:pPr>
      <w:r>
        <w:t xml:space="preserve">Internationalization and Firm Performance across 49 Asian and Pacific Economies: Institutional Regimes, Digital Capabilities, and Managerial Characteristics as Contingency Factors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We examine whether the internationalization–performance (I–P) relationship holds across a large and institutionally diverse set of Asian and Pacific economies and identify the conditions under which firms convert export intensity into productive performance. Using microdata from 91,982 firms across 49 economies and 102 country-year waves of the World Bank Enterprise Survey (2003–2025), spanning all six Institutional Capability and Resource Vulnerability (ICRV) regime groups, we estimate a hierarchical set of OLS models with HC1 robust standard errors. We find robust support for an inverted-U I–P relationship with a turning point at approximately 36% of sales from exports (Lind–Mehlum test p &lt; .001; confirmed in M11 at TP=34.6%, p=.002). Technological capability (TCI) raises the performance level without reliably reshaping the curve. Digital adoption (DAI) both raises the performance level and significantly reshapes the I–P curve: firms with higher DAI experience compressed ascending-limb returns at low FSTS and attenuated performance decline at high FSTS (FSTS×DAI p &lt; .01; FSTS²×DAI p &lt; .01 in M8–M9). Institutional regime (ICRV) moderates both slope and curvature. Managerial experience and female top management improve performance; experience additionally moderates the curve shape in the full specification. These findings offer a parsimonious resolution to Asian I–P heterogeneity: the relationship is universally inverted-U, but regime quality and digital capability jointly determine where the turning point falls.</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prior studies report positive relationships (Pangarkar, 2008; Korea), inverted-U curves (Chiao et al., 2006; Taiwan), or null and negative effects (Mondal et al., 2022; India). The standard explanation invokes context as a moderator (Marano et al., 2016; Kirca et al., 2012), but empirical tests simultaneously across institutionally diverse Asian economies remain rare.</w:t>
      </w:r>
    </w:p>
    <w:p>
      <w:pPr>
        <w:pStyle w:val="BodyText"/>
      </w:pPr>
      <w:r>
        <w:t xml:space="preserve">This paper addresses that gap. We pool 91,982 firm-observations from 49 Asian and Pacific economies spanning 2003–2025, harmonised from the World Bank Enterprise Survey (WBES). Our sample spans all six ICRV regime groups — from advanced innovation-driven economies (Singapore, Korea, Taiwan, HongKong, Israel, Cyprus) to Pacific Small Island Developing States (Vanuatu, Solomon Islands, Fiji, Tonga, Samoa, Kiribati, Papua New Guinea, Timor-Leste) and Gulf advanced-resource economies (Bahrain, Kuwait, Qatar, Brunei, Saudi Arabia, Oman) — classified through the Institutional Capability and Resource Vulnerability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turning point at approximately 36% foreign sales intensity across all specifications (N = 84,910–29,840), robust even in the full three-way moderation model (M11: TP=34.6%, LM p=.002). Second, we document that digital adoption (DAI) is the primary capability moderator that reshapes the I–P curve, generating significant curve compression effects (FSTS×DAI p&lt;.001) that emerge even without controlling for manager characteristics. Technological capability (TCI) raises the performance level but does not reliably reshape the ascending limb across this sample. Third, we document that institutional regime (ICRV group) systematically moderates both the slope and curvature of the I–P function, with DAI×ICRV interactions (p=.012) indicating that digital capabilities deliver stronger per-unit performance returns in weaker institutional environments.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(~82%),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 measured through website presence and electronic-payment share —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X0acb0ebe9609c9b4cd27b2f0dbe81194406b82a"/>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 DAI×ICRV interaction therefore tests whether digital capabilities' curve-reshaping potency (established in H3) varies systematically across the institutional spectrum —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X5eb800a903106e48a684e9ea9de39ed619b9df8"/>
    <w:p>
      <w:pPr>
        <w:pStyle w:val="Heading2"/>
      </w:pPr>
      <w:r>
        <w:t xml:space="preserve">3. Data and Methods</w:t>
      </w:r>
    </w:p>
    <w:bookmarkStart w:id="30" w:name="X180323993af082d7b264d69830cacecf330a102"/>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49 Asian and Pacific economies across 102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dataset contains 91,982 firm-observations (before applying outcome and FSTS non-missing requirements). Oman's available data (2003 vintage) predates the digital-capability variables used in M6–M11; it contributes to M2 but drops from M3+ due to missing controls.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30"/>
    <w:bookmarkStart w:id="31"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X88d3b635b18ee197bee6ec760e4576787847be1"/>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2"/>
    <w:bookmarkStart w:id="33" w:name="X7306ee6cc650c2a8c74023d786fd3b6ffa0ad4b"/>
    <w:p>
      <w:pPr>
        <w:pStyle w:val="Heading3"/>
      </w:pPr>
      <w:r>
        <w:t xml:space="preserve">3.4 Sample Sizes</w:t>
      </w:r>
    </w:p>
    <w:p>
      <w:pPr>
        <w:pStyle w:val="FirstParagraph"/>
      </w:pPr>
      <w:r>
        <w:t xml:space="preserve">The analytic sample for M2 (outcome + FSTS non-missing) is N = 84,910. Adding controls reduces the sample to N = 38,342 (M3); country-year FE model M5 uses the same sample. TCI-moderation models (M6, M7) use N ≈ 38,051; adding DAI (M8) N ≈ 37,940; manager models (M9) N ≈ 35,568; ICRV-moderation (M10) N ≈ 31,928; full three-way (M11) N ≈ 29,840.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2" w:name="X121719332867ee227f0a04b486098cee978c6e6"/>
    <w:p>
      <w:pPr>
        <w:pStyle w:val="Heading2"/>
      </w:pPr>
      <w:r>
        <w:t xml:space="preserve">4. Results</w:t>
      </w:r>
    </w:p>
    <w:bookmarkStart w:id="35" w:name="X1a3b7383b8b125b3d271986dbdfbc78bb7f954a"/>
    <w:p>
      <w:pPr>
        <w:pStyle w:val="Heading3"/>
      </w:pPr>
      <w:r>
        <w:t xml:space="preserve">4.1 Descriptive Statistics and Correlations</w:t>
      </w:r>
    </w:p>
    <w:p>
      <w:pPr>
        <w:pStyle w:val="FirstParagraph"/>
      </w:pPr>
      <w:r>
        <w:t xml:space="preserve">The full analytic sample spans 49 economies and 102 country-year waves. The mean FSTS across firms is approximately 12% (median ≈ 0), reflecting the fact that most WBES firms are domestically oriented; exporters (FSTS &gt; 0) represent approximately 18% of the sample. Labour productivity ranges from ln(LP) ≈ 10 (Tajikistan, Timor-Leste) to ln(LP) ≈ 20 (Vietnam, Indonesia —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Xdbf83b4a83d0a9c63e43fc4d25cefed1772f7cd"/>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+1.316 (p &lt; .001) and β₂ = −1.810 (p &lt; .001), consistent with an inverted-U. Following Haans, Pieters, and He (2016), all four formal conditions for a genuine inverted-U are satisfied in M2: (C1) β₁ = +1.316 (p &lt; .001), confirming a positive ascending limb; (C2) β₂ = −1.810 (p &lt; .001), confirming concavity; (C3) the turning point TP* ≈ 36.4% lies well within the observed FSTS range [0%, 100%]; and (C4) the marginal effect of internationalization is positive at the lower data boundary (FSTS ≈ 0%, slope ≈ +1.32) and negative at the upper boundary (FSTS ≈ 100%, slope ≈ −2.30), with opposite signs confirmed by the Lind–Mehlum (2010) u-test (joint p &lt; .001). The inverted-U remains significant when controls are added (M3: TP = 33.8%, LM p &lt; .001) and when country-year fixed effects absorb all unobserved time-varying country heterogeneity (M5: TP = 40.0%, LM p &lt; .001, adjR² = .677). The consistency of the turning point across M2, M3, and M5 — ranging from 33.8% to 40.0% — provides strong evidence that the inverted-U is not an artefact of omitted country-level confounders. Crucially, the inverted-U is also confirmed in the full three-way moderation model M11 (TP = 34.6%, LM p = .002),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49 Asian and Pacific economies, with a turning point of approximately 36% foreign sales intensity.</w:t>
      </w:r>
    </w:p>
    <w:bookmarkEnd w:id="36"/>
    <w:bookmarkStart w:id="37" w:name="X9595a9bb339e08d65399a059096afa9ae72a457"/>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 from .015 to .024. The interaction model M7 adds FSTS×TCI and FSTS²×TCI. Results show:</w:t>
      </w:r>
    </w:p>
    <w:p>
      <w:pPr>
        <w:numPr>
          <w:ilvl w:val="0"/>
          <w:numId w:val="1001"/>
        </w:numPr>
        <w:pStyle w:val="Compact"/>
      </w:pPr>
      <w:r>
        <w:t xml:space="preserve">TCI main effect: β = +0.344 (p &lt; .001) — higher TCI raises baseline performance</w:t>
      </w:r>
    </w:p>
    <w:p>
      <w:pPr>
        <w:numPr>
          <w:ilvl w:val="0"/>
          <w:numId w:val="1001"/>
        </w:numPr>
        <w:pStyle w:val="Compact"/>
      </w:pPr>
      <w:r>
        <w:t xml:space="preserve">FSTS×TCI: β = −0.144 (NS) — the ascending limb interaction is not 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 across M7–M9. The inverted-U remains confirmed in M7 (TP = 33.9%, LM p &lt; .001). A one-SD increase in TCI raises labour productivity by exp(0.344) − 1 ≈ 41% at mean FSTS —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49-economy sample, attenuating individual-country patterns documented in P3/P5.</w:t>
      </w:r>
    </w:p>
    <w:bookmarkEnd w:id="37"/>
    <w:bookmarkStart w:id="38" w:name="X151158cb9bb4ce58412a9381bb2aaa4f708d4d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+0.155, p &lt; .001), consistent with approximately a 17% performance premium for digitally active firms (exp(0.155) − 1 ≈ 17%). Strikingly, both DAI interaction terms are statistically significant in M8: FSTS×DAI = −0.614 (p &lt; .001, ***) and FSTS²×DAI = +0.766 (p = .001, **). The interaction pattern — negative FSTS×DAI and positive FSTS²×DAI —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−0.780 (p &lt; .001, ***) and FSTS²×DAI = +0.994 (p &lt; .001, ***). The inverted-U is maintained in both specifications (M8: TP = 33.8%; M9: TP = 36.1%).</w:t>
      </w:r>
    </w:p>
    <w:p>
      <w:pPr>
        <w:pStyle w:val="BodyText"/>
      </w:pPr>
      <w:r>
        <w:rPr>
          <w:bCs/>
          <w:b/>
        </w:rPr>
        <w:t xml:space="preserve">H3 is supported.</w:t>
      </w:r>
      <w:r>
        <w:t xml:space="preserve"> </w:t>
      </w:r>
      <w:r>
        <w:t xml:space="preserve">DAI raises firm performance by approximately 16% and significantly reshapes the I–P curve — compressing the ascending limb and attenuating the performance decline at high FSTS — even before controlling for managerial characteristics. This is the primary capability-moderating finding of the study.</w:t>
      </w:r>
    </w:p>
    <w:bookmarkEnd w:id="38"/>
    <w:bookmarkStart w:id="39" w:name="X8c2848f12d916aaecc7d070f2d4e848d015e61e"/>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 +0.185, p &lt; .001) both raise firm performance independently of FSTS in M9. The experience effect implies approximately 0.7% higher labour productivity per additional year of sectoral experience; the female top manager effect implies approximately a 20% performance premium (exp(0.185) − 1 ≈ 20%). The FSTS×manager_experience interaction is not significant in M9 (β = −0.012, p = .133), but reaches p = .053 in M11 (β = −0.019, †) — suggesting that, in the full specification, more experienced managers navigate the high-FSTS coordination challenges more effectively (negative interaction = smaller performance decline above the turning point).</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marginally present in M11 but absent in M9; we interpret this as a secondary finding requiring replication.</w:t>
      </w:r>
    </w:p>
    <w:bookmarkEnd w:id="39"/>
    <w:bookmarkStart w:id="40" w:name="Xa3f0408b049fb96786efb222e5b901022bb2da2"/>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+0.729, p &lt; .001) indicates that — controlling for TCI, DAI, and firm characteristics — each step up the ICRV scale (from Group I to VI, i.e., from stronger to weaker institutions) is associated with approximately a 107% higher labour productivity level (exp(0.729) − 1 ≈ 107%).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+1.636, p &lt; .001) and FSTS²×ICRV (β = −2.501, p &lt; .001). These indicate that the ascending slope of the I–P curve is steeper in weaker-institution economies (higher ICRV group), but so is the descending slope — meaning that the inverted-U peak occurs at lower export intensities in stronger-institution economies (lower ICRV number), and is more pronounced in weaker-institution economies. Decomposing by ICRV group: for Group I economies (Advanced innovation-driven), the estimated turning point is approximately 28%; for Group V–VI (Frontier/SIDS), the estimated turning point is approximately 55%. This pattern is consistent with firms in institutionally advanced economies recouping internationalization costs at lower export intensities, while firms in institutionally weaker environments require greater export commitment to reach the performance peak.</w:t>
      </w:r>
    </w:p>
    <w:p>
      <w:pPr>
        <w:pStyle w:val="BodyText"/>
      </w:pPr>
      <w:r>
        <w:rPr>
          <w:bCs/>
          <w:b/>
        </w:rPr>
        <w:t xml:space="preserve">H5 is supported.</w:t>
      </w:r>
      <w:r>
        <w:t xml:space="preserve"> </w:t>
      </w:r>
      <w:r>
        <w:t xml:space="preserve">The ICRV institutional regime systematically moderates both the slope and curvature of the I–P function, with stronger institutions associated with earlier (lower FSTS) performance peaks.</w:t>
      </w:r>
    </w:p>
    <w:bookmarkEnd w:id="40"/>
    <w:bookmarkStart w:id="41" w:name="Xa51c5497f5122fc9a49f126906c933c8949a1b3"/>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34.6%, LM p = .002), establishing that the inverted-U shape holds even in the most demanding specification. The DAI×ICRV interaction (β = +0.060, p = .012, *) is statistically significant, consistent with the CDCM prediction that digital capabilities provide stronger per-unit performance effects in weaker institutional environments. The three-way FSTS×DAI×ICRV term (β = −0.001, NS) is not significant, indicating that the DAI curve-reshaping effect documented in M8/M9 does not systematically vary across the ICRV regime gradient in this specification.</w:t>
      </w:r>
    </w:p>
    <w:p>
      <w:pPr>
        <w:pStyle w:val="BodyText"/>
      </w:pPr>
      <w:r>
        <w:t xml:space="preserve">AdjR² = .067 in M11 (vs. .049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 DAI×ICRV main interaction is statistically significant (p = .012), supporting regime-contingent digital effects. The three-way FSTS curve-reshaping via DAI×ICRV does not reach statistical significance — the WBES DAI measure's limited dimensionality (Tier 1–2 only) likely constrains detection of the full CDCM-predicted interaction.</w:t>
      </w:r>
    </w:p>
    <w:p>
      <w:r>
        <w:pict>
          <v:rect style="width:0;height:1.5pt" o:hralign="center" o:hrstd="t" o:hr="t"/>
        </w:pict>
      </w:r>
    </w:p>
    <w:bookmarkEnd w:id="41"/>
    <w:bookmarkEnd w:id="42"/>
    <w:bookmarkStart w:id="48" w:name="X735612638e4e736e4693e459c258977262c0dfc"/>
    <w:p>
      <w:pPr>
        <w:pStyle w:val="Heading2"/>
      </w:pPr>
      <w:r>
        <w:t xml:space="preserve">5. Discussion</w:t>
      </w:r>
    </w:p>
    <w:bookmarkStart w:id="43" w:name="Xdb3d0d0ea2b17533512dc509acb289540c6f5bb"/>
    <w:p>
      <w:pPr>
        <w:pStyle w:val="Heading3"/>
      </w:pPr>
      <w:r>
        <w:t xml:space="preserve">5.1 Resolution of Cross-Study Heterogeneity</w:t>
      </w:r>
    </w:p>
    <w:p>
      <w:pPr>
        <w:pStyle w:val="FirstParagraph"/>
      </w:pPr>
      <w:r>
        <w:t xml:space="preserve">The central finding — an inverted-U with a turning point at approximately 36% foreign sales intensity, robust across 49 economies and six ICRV groups — offers a parsimonious resolution to apparent inconsistencies in the Asian I–P literature. Studies finding positive linear effects (Pangarkar, 2008: Singapore; Cho et al., 2023: Korea) are working with samples centred well below the 36% turning point; their firms are on the ascending limb. Studies finding null or negative results (Mondal et al., 2022: India family firms) may be capturing firms above the turning point in a high-WBES-wave year. Our ICRV moderation result provides a further refinement: the turning point itself varies from approximately 28% (Group I) to 55% (Group V–VI), so studies in institutionally advanced economies are likely to find earlier-peaking effects than studies in frontier economies.</w:t>
      </w:r>
    </w:p>
    <w:bookmarkEnd w:id="43"/>
    <w:bookmarkStart w:id="44" w:name="X3e958d55d5690299d9deebec25f8bb524b314c6"/>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49-economy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4"/>
    <w:bookmarkStart w:id="45" w:name="X6dd7d6eceb2ff81026d810222fc30c1f86e05e5"/>
    <w:p>
      <w:pPr>
        <w:pStyle w:val="Heading3"/>
      </w:pPr>
      <w:r>
        <w:t xml:space="preserve">5.3 Digital Adoption and Institutional Complementarity</w:t>
      </w:r>
    </w:p>
    <w:p>
      <w:pPr>
        <w:pStyle w:val="FirstParagraph"/>
      </w:pPr>
      <w:r>
        <w:t xml:space="preserve">The capability-complementarity curve reshaping found for DAI in M9 — and the significant DAI×ICRV interaction (β = +0.060, p = .012) in M11 —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5"/>
    <w:bookmarkStart w:id="46" w:name="X84f38018b3434e120970b4f2e30dde187cbc62e"/>
    <w:p>
      <w:pPr>
        <w:pStyle w:val="Heading3"/>
      </w:pPr>
      <w:r>
        <w:t xml:space="preserve">5.4 Managerial Heterogeneity</w:t>
      </w:r>
    </w:p>
    <w:p>
      <w:pPr>
        <w:pStyle w:val="FirstParagraph"/>
      </w:pPr>
      <w:r>
        <w:t xml:space="preserve">The consistent and significant performance premium for female top managers (approximately 17–20%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internationalization more efficiently.</w:t>
      </w:r>
    </w:p>
    <w:p>
      <w:pPr>
        <w:pStyle w:val="BodyText"/>
      </w:pPr>
      <w:r>
        <w:t xml:space="preserve">Two recent World Bank studies corroborate the premium from a supply-side perspective. In Vietnam — one of our largest ICRV Group IV contributors, with a female-to-male labour force participation ratio of 88.61% (World Bank Prosperity Data360, 2025) —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6"/>
    <w:bookmarkStart w:id="47" w:name="Xde7edcb3f604b7ff7a62d585547252a5b42f172"/>
    <w:p>
      <w:pPr>
        <w:pStyle w:val="Heading3"/>
      </w:pPr>
      <w:r>
        <w:t xml:space="preserve">5.5 Limitations</w:t>
      </w:r>
    </w:p>
    <w:p>
      <w:pPr>
        <w:pStyle w:val="FirstParagraph"/>
      </w:pPr>
      <w:r>
        <w:t xml:space="preserve">Three inferential constraints bound these findings. First, WBES is a cross-sectional design: the term "performance" throughout refers to a contemporaneous association between FSTS and labour productivity in a given survey year, not a panel-tracked causal effect. The IV strategy used in P3 Vietnam to address selection into exporting is not available at scale across 49 economies. Second, the DAI measure is limited to Tier 1 (website) and Tier 2 (e-payment) capabilities in most WBES waves; the richer digital capability dimensions captured in more recent BEE-schema waves are not yet available for the majority of economies. Third, the dataset now covers all 49 ICRV-mapped economies across six regime groups; however, Oman's available wave (2003) predates the digital-capability variables, limiting its contribution to baseline models only. Future waves of the Oman WBES would sharpen Group II estimates.</w:t>
      </w:r>
    </w:p>
    <w:p>
      <w:r>
        <w:pict>
          <v:rect style="width:0;height:1.5pt" o:hralign="center" o:hrstd="t" o:hr="t"/>
        </w:pict>
      </w:r>
    </w:p>
    <w:bookmarkEnd w:id="47"/>
    <w:bookmarkEnd w:id="48"/>
    <w:bookmarkStart w:id="49" w:name="X56025c6d9dbf7520f7a7df11f905cdd09f46e4a"/>
    <w:p>
      <w:pPr>
        <w:pStyle w:val="Heading2"/>
      </w:pPr>
      <w:r>
        <w:t xml:space="preserve">6. Conclusions</w:t>
      </w:r>
    </w:p>
    <w:p>
      <w:pPr>
        <w:pStyle w:val="FirstParagraph"/>
      </w:pPr>
      <w:r>
        <w:t xml:space="preserve">We find that the inverted-U I–P relationship holds robustly across a 49-economy, 102-wave WBES sample, with a turning point of approximately 36% foreign sales intensity. Three conclusions are policy-relevant. First, for firms in the ascending phase (FSTS &lt; 36%), intensifying internationalization is productivity-enhancing; the priority is removing barriers to export expansion. For firms beyond the turning point, the constraint is not market access but coordination capacity. Second, building technological capability raises the performance level across all FSTS levels without reliably reshaping the curve; policy should target capability building as a baseline performance lever rather than as a curve-shifting intervention. Third, digital adoption is both a universal performance enhancer and a primary curve reshaper: DAI compresses ascending-limb returns and attenuates descending-limb performance decline, with stronger returns in weaker institutional environments (DAI×ICRV, p = .012).</w:t>
      </w:r>
    </w:p>
    <w:p>
      <w:pPr>
        <w:pStyle w:val="BodyText"/>
      </w:pPr>
      <w:r>
        <w:t xml:space="preserve">The near-term policy context adds urgency to these findings. World Bank (2026b) macro monitoring data for Vietnam — the largest ICRV Group IV economy in the sample — show manufacturing PMI falling to 45.3 (contraction) in March 2026 as new export orders collapsed following the opening of a U.S. trade-representative investigation; merchandise imports had risen 27.8% year-on-year by the same month, partly driven by energy supply-chain disruption from the Strait of Hormuz conflict. These conditions are precisely those under which the right-side of the inverted-U becomes consequential: firms pushed above their optimal FSTS by earlier export commitments face amplified coordination and input-cost pressures. The ICRV moderation result — that Group IV firms face steeper descending-limb penalties — implies that Vietnamese exporters currently above the 36% FSTS turning point are among the most exposed to macro shocks. Policies promoting digital capability adoption (DAI) can buffer this descent by compressing the descending limb, consistent with our M8/M9 estimates.</w:t>
      </w:r>
    </w:p>
    <w:p>
      <w:pPr>
        <w:pStyle w:val="BodyText"/>
      </w:pPr>
      <w:r>
        <w:t xml:space="preserve">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9"/>
    <w:bookmarkStart w:id="74"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0">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1">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2">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3">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4">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5">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56">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57">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58">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9">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0">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1">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2">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3">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4">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5">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66">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7">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68">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69">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0">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1">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2">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3">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3">
        <w:r>
          <w:rPr>
            <w:rStyle w:val="Hyperlink"/>
          </w:rPr>
          <w:t xml:space="preserve">https://www.worldbank.org/ext/en/country/vietnam</w:t>
        </w:r>
      </w:hyperlink>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4"/>
    <w:bookmarkStart w:id="75"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(N=29,840, AdjR²=.067, TP=34.6%, LM p=.002): DAI×ICRV=+0.060*, three-way FSTS×DAI×ICRV=−0.001 (NS), mgr_experience=+0.009**, FSTS×mgr=−0.019†, mgr_female=+0.187***, female_owner=+0.128**.</w:t>
      </w:r>
    </w:p>
    <w:p>
      <w:r>
        <w:pict>
          <v:rect style="width:0;height:1.5pt" o:hralign="center" o:hrstd="t" o:hr="t"/>
        </w:pict>
      </w:r>
    </w:p>
    <w:bookmarkEnd w:id="75"/>
    <w:bookmarkStart w:id="78"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College of Economics, Can Tho University,</w:t>
      </w:r>
      <w:r>
        <w:rPr>
          <w:iCs/>
          <w:i/>
        </w:rPr>
        <w:t xml:space="preserve"> </w:t>
      </w:r>
      <w:hyperlink r:id="rId76">
        <w:r>
          <w:rPr>
            <w:rStyle w:val="Hyperlink"/>
            <w:iCs/>
            <w:i/>
          </w:rPr>
          <w:t xml:space="preserve">patu@ctu.edu.vn</w:t>
        </w:r>
      </w:hyperlink>
      <w:r>
        <w:rPr>
          <w:iCs/>
          <w:i/>
        </w:rPr>
        <w:t xml:space="preserve">, ORCID: 0000-0003-0667-3137</w:t>
      </w:r>
      <w:r>
        <w:br/>
      </w:r>
      <w:r>
        <w:rPr>
          <w:iCs/>
          <w:i/>
        </w:rPr>
        <w:t xml:space="preserve">First author: Do Thuy Huong, Vinh Long University of Technology Education,</w:t>
      </w:r>
      <w:r>
        <w:rPr>
          <w:iCs/>
          <w:i/>
        </w:rPr>
        <w:t xml:space="preserve"> </w:t>
      </w:r>
      <w:hyperlink r:id="rId77">
        <w:r>
          <w:rPr>
            <w:rStyle w:val="Hyperlink"/>
            <w:iCs/>
            <w:i/>
          </w:rPr>
          <w:t xml:space="preserve">huongdt@vlute.edu.vn</w:t>
        </w:r>
      </w:hyperlink>
      <w:r>
        <w:rPr>
          <w:iCs/>
          <w:i/>
        </w:rPr>
        <w:t xml:space="preserve">, ORCID: 0000-0002-7711-2487</w:t>
      </w:r>
    </w:p>
    <w:bookmarkEnd w:id="78"/>
    <w:bookmarkEnd w:id="7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4" Target="https://doi.org/10.1002/gsj.1028"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9"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8"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6" Target="https://doi.org/10.1080/00031305.2000.10474549"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7"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3" Target="https://www.worldbank.org/ext/en/country/vietnam" TargetMode="External" /><Relationship Type="http://schemas.openxmlformats.org/officeDocument/2006/relationships/hyperlink" Id="rId77" Target="mailto:huongdt@vlute.edu.vn" TargetMode="External" /><Relationship Type="http://schemas.openxmlformats.org/officeDocument/2006/relationships/hyperlink" Id="rId76"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02/gsj.1028"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9"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8"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6" Target="https://doi.org/10.1080/00031305.2000.10474549"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7"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3" Target="https://www.worldbank.org/ext/en/country/vietnam" TargetMode="External" /><Relationship Type="http://schemas.openxmlformats.org/officeDocument/2006/relationships/hyperlink" Id="rId77" Target="mailto:huongdt@vlute.edu.vn" TargetMode="External" /><Relationship Type="http://schemas.openxmlformats.org/officeDocument/2006/relationships/hyperlink" Id="rId76"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2026-05-24T12:13:22Z</dcterms:created>
  <dcterms:modified xsi:type="dcterms:W3CDTF">2026-05-24T12:13:22Z</dcterms:modified>
</cp:coreProperties>
</file>

<file path=docProps/custom.xml><?xml version="1.0" encoding="utf-8"?>
<Properties xmlns="http://schemas.openxmlformats.org/officeDocument/2006/custom-properties" xmlns:vt="http://schemas.openxmlformats.org/officeDocument/2006/docPropsVTypes"/>
</file>