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r>
        <w:t xml:space="preserve"> </w:t>
      </w:r>
      <w:r>
        <w:t xml:space="preserve"># CHƯƠNG 2: TỔNG QUAN TÀI LIỆU</w:t>
      </w:r>
    </w:p>
    <w:p>
      <w:pPr>
        <w:pStyle w:val="BodyText"/>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End w:id="31"/>
    <w:bookmarkStart w:id="37"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2"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2"/>
    <w:bookmarkStart w:id="33"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33"/>
    <w:bookmarkStart w:id="34"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34"/>
    <w:bookmarkStart w:id="35"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35"/>
    <w:bookmarkStart w:id="36"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36"/>
    <w:bookmarkEnd w:id="37"/>
    <w:bookmarkStart w:id="43"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38"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38"/>
    <w:bookmarkStart w:id="39"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39"/>
    <w:bookmarkStart w:id="40"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0"/>
    <w:bookmarkStart w:id="41"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1"/>
    <w:bookmarkStart w:id="42"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2"/>
    <w:bookmarkEnd w:id="43"/>
    <w:bookmarkStart w:id="47"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44"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44"/>
    <w:bookmarkStart w:id="45"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45"/>
    <w:bookmarkStart w:id="46"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46"/>
    <w:bookmarkEnd w:id="47"/>
    <w:bookmarkStart w:id="52"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48"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48"/>
    <w:bookmarkStart w:id="49"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49"/>
    <w:bookmarkStart w:id="50"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0"/>
    <w:bookmarkStart w:id="51"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1"/>
    <w:bookmarkEnd w:id="52"/>
    <w:bookmarkStart w:id="60" w:name="X571aebe6b94c63b04e26a653f6b78348d98b3f9"/>
    <w:p>
      <w:pPr>
        <w:pStyle w:val="Heading2"/>
      </w:pPr>
      <w:r>
        <w:t xml:space="preserve">2.5 Khoảng trống nghiên cứu và khung khái niệm, giả thuyết của luận án</w:t>
      </w:r>
    </w:p>
    <w:bookmarkStart w:id="53"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53"/>
    <w:bookmarkStart w:id="57"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55" name="Picture"/>
            <a:graphic>
              <a:graphicData uri="http://schemas.openxmlformats.org/drawingml/2006/picture">
                <pic:pic>
                  <pic:nvPicPr>
                    <pic:cNvPr descr="figures/figure_conceptual_model_unified.png" id="56" name="Picture"/>
                    <pic:cNvPicPr>
                      <a:picLocks noChangeArrowheads="1" noChangeAspect="1"/>
                    </pic:cNvPicPr>
                  </pic:nvPicPr>
                  <pic:blipFill>
                    <a:blip r:embed="rId54"/>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57"/>
    <w:bookmarkStart w:id="58"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8"/>
    <w:bookmarkStart w:id="59"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9"/>
    <w:bookmarkEnd w:id="60"/>
    <w:bookmarkStart w:id="6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1"/>
    <w:bookmarkEnd w:id="62"/>
    <w:bookmarkStart w:id="63" w:name="chương-3-phương-pháp-nghiên-cứu"/>
    <w:p>
      <w:pPr>
        <w:pStyle w:val="Heading1"/>
      </w:pPr>
      <w:r>
        <w:t xml:space="preserve">CHƯƠNG 3: PHƯƠNG PHÁP NGHIÊN CỨU</w:t>
      </w:r>
    </w:p>
    <w:bookmarkEnd w:id="63"/>
    <w:p>
      <w:r>
        <w:pict>
          <v:rect style="width:0;height:1.5pt" o:hralign="center" o:hrstd="t" o:hr="t"/>
        </w:pict>
      </w:r>
    </w:p>
    <w:bookmarkStart w:id="66" w:name="thiết-kế-nghiên-cứu-tổng-thể"/>
    <w:p>
      <w:pPr>
        <w:pStyle w:val="Heading2"/>
      </w:pPr>
      <w:r>
        <w:t xml:space="preserve">3.1 Thiết kế nghiên cứu tổng thể</w:t>
      </w:r>
    </w:p>
    <w:bookmarkStart w:id="64"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4"/>
    <w:bookmarkStart w:id="6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5"/>
    <w:bookmarkEnd w:id="66"/>
    <w:bookmarkStart w:id="71" w:name="giai-đoạn-1-phân-tích-tổng-hợp-1982-2026"/>
    <w:p>
      <w:pPr>
        <w:pStyle w:val="Heading2"/>
      </w:pPr>
      <w:r>
        <w:t xml:space="preserve">3.2 Giai đoạn 1: Phân tích tổng hợp 1982-2026</w:t>
      </w:r>
    </w:p>
    <w:bookmarkStart w:id="67"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67"/>
    <w:bookmarkStart w:id="6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68"/>
    <w:bookmarkStart w:id="6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69"/>
    <w:bookmarkStart w:id="70" w:name="Xaf1604a6b1879e72a06558e5e5346d4255108c6"/>
    <w:p>
      <w:pPr>
        <w:pStyle w:val="Heading3"/>
      </w:pPr>
      <w:r>
        <w:t xml:space="preserve">3.2.4 Công cụ trích xuất dữ liệu M-AIDA và chuỗi quy đổi hiệu ứng</w:t>
      </w:r>
    </w:p>
    <w:p>
      <w:pPr>
        <w:pStyle w:val="FirstParagraph"/>
      </w:pPr>
      <w:r>
        <w:rPr>
          <w:bCs/>
          <w:b/>
        </w:rPr>
        <w:t xml:space="preserve">Cơ sở lý luận.</w:t>
      </w:r>
      <w:r>
        <w:t xml:space="preserve"> </w:t>
      </w:r>
      <w:r>
        <w:t xml:space="preserve">Trích xuất dữ liệu là một trong những khâu tốn công và dễ sai sót của tổng quan hệ thống: rà soát phương pháp luận của Mathes và cộng sự (2017) ghi nhận tỷ lệ lỗi trích xuất có thể lên tới 50%, và những lỗi này có thể tác động đến ước lượng độ lớn hiệu ứng, qua đó ảnh hưởng đến độ tin cậy của kết luận phân tích tổng hợp. Nhằm giảm gánh nặng thủ công và sai số đó, một hướng phương pháp luận về</w:t>
      </w:r>
      <w:r>
        <w:t xml:space="preserve"> </w:t>
      </w:r>
      <w:r>
        <w:rPr>
          <w:bCs/>
          <w:b/>
        </w:rPr>
        <w:t xml:space="preserve">tự động hóa tổng quan hệ thống (systematic review automation)</w:t>
      </w:r>
      <w:r>
        <w:t xml:space="preserve"> </w:t>
      </w:r>
      <w:r>
        <w:t xml:space="preserve">đã hình thành và dần được hệ thống hóa (Tsafnat et al., 2014; Marshall &amp; Wallace, 2019), trong đó tự động hóa khâu trích xuất dữ liệu được khảo sát riêng như một hướng khả thi (Jonnalagadda et al., 2015). Các hướng dẫn phương pháp luận nhấn mạnh rằng tự động hóa chỉ nên đóng vai</w:t>
      </w:r>
      <w:r>
        <w:t xml:space="preserve"> </w:t>
      </w:r>
      <w:r>
        <w:rPr>
          <w:bCs/>
          <w:b/>
        </w:rPr>
        <w:t xml:space="preserve">hỗ trợ</w:t>
      </w:r>
      <w:r>
        <w:t xml:space="preserve"> </w:t>
      </w:r>
      <w:r>
        <w:t xml:space="preserve">chứ không thay thế phán đoán của nhà nghiên cứu — tức nguyên lý</w:t>
      </w:r>
      <w:r>
        <w:t xml:space="preserve"> </w:t>
      </w:r>
      <w:r>
        <w:rPr>
          <w:bCs/>
          <w:b/>
        </w:rPr>
        <w:t xml:space="preserve">con người trong vòng lặp (human-in-the-loop)</w:t>
      </w:r>
      <w:r>
        <w:t xml:space="preserve">. Bằng chứng gần đây ủng hộ cách tiếp cận này: nghiên cứu thử nghiệm (proof-of-concept) của Gartlehner và cộng sự (2024) bước đầu cho thấy một mô hình ngôn ngữ lớn (Claude) có thể hỗ trợ trích xuất dữ liệu cho tổng hợp bằng chứng với độ chính xác hứa hẹn, đồng thời nhấn mạnh rằng chính</w:t>
      </w:r>
      <w:r>
        <w:t xml:space="preserve"> </w:t>
      </w:r>
      <w:r>
        <w:rPr>
          <w:bCs/>
          <w:b/>
        </w:rPr>
        <w:t xml:space="preserve">sự cộng hưởng giữa chuyên môn của con người và mô hình ngôn ngữ lớn</w:t>
      </w:r>
      <w:r>
        <w:t xml:space="preserve"> </w:t>
      </w:r>
      <w:r>
        <w:t xml:space="preserve">mới là yếu tố nâng cao chất lượng và hiệu suất trích xuất. Thiết kế của M-AIDA được xây dựng nhất quán với các khuyến nghị này.</w:t>
      </w:r>
    </w:p>
    <w:p>
      <w:pPr>
        <w:pStyle w:val="BodyText"/>
      </w:pPr>
      <w:r>
        <w:t xml:space="preserve">Trên nền tảng đó, luận án phát triển và sử dụng</w:t>
      </w:r>
      <w:r>
        <w:t xml:space="preserve"> </w:t>
      </w:r>
      <w:r>
        <w:rPr>
          <w:bCs/>
          <w:b/>
        </w:rPr>
        <w:t xml:space="preserve">M-AIDA (Meta-Analysis Intelligent Data Assistant)</w:t>
      </w:r>
      <w:r>
        <w:t xml:space="preserve">, một công cụ trích xuất bán tự động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rà soát, hiệu chỉnh và xác nhận từng đại lượng, sau đó bản ghi mới được</w:t>
      </w:r>
      <w:r>
        <w:t xml:space="preserve"> </w:t>
      </w:r>
      <w:r>
        <w:rPr>
          <w:bCs/>
          <w:b/>
        </w:rPr>
        <w:t xml:space="preserve">khóa</w:t>
      </w:r>
      <w:r>
        <w:t xml:space="preserve"> </w:t>
      </w:r>
      <w:r>
        <w:t xml:space="preserve">kèm dấu thời gian, tạo vết kiểm toán cho từng quyết định trích xuất. Tự động hóa nhằm rút ngắn thời gian, còn con người giữ trách nhiệm cuối cùng về tính hợp lệ của từng số liệu; nhờ vậy, kết quả phân tích tổng hợp không phụ thuộc vào mức độ tự động hóa của phần mềm. Vì bước trích xuất bằng mô hình ngôn ngữ lớn không mang tính tất định — cùng một đầu vào có thể cho kết quả khác nhau — khả năng tái lập của nghiên cứu không dựa trên việc chạy lại công cụ mà dựa trên tập dữ liệu đã được kiểm chứng và khóa, công bố công khai trên OSF (https://osf.io/z37kn).</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70"/>
    <w:bookmarkEnd w:id="71"/>
    <w:bookmarkStart w:id="80" w:name="X2f2dc61cf51b22160123af8668c978f8ce43175"/>
    <w:p>
      <w:pPr>
        <w:pStyle w:val="Heading2"/>
      </w:pPr>
      <w:r>
        <w:t xml:space="preserve">3.3 Giai đoạn 2: Phân tích thực nghiệm đa quốc gia</w:t>
      </w:r>
    </w:p>
    <w:bookmarkStart w:id="72"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2"/>
    <w:bookmarkStart w:id="7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3"/>
    <w:bookmarkStart w:id="7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4"/>
    <w:bookmarkStart w:id="78" w:name="đo-lường-biến-điều-tiết"/>
    <w:p>
      <w:pPr>
        <w:pStyle w:val="Heading3"/>
      </w:pPr>
      <w:r>
        <w:t xml:space="preserve">3.3.4 Đo lường biến điều tiết</w:t>
      </w:r>
    </w:p>
    <w:bookmarkStart w:id="75"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5"/>
    <w:bookmarkStart w:id="76"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6"/>
    <w:bookmarkStart w:id="77"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77"/>
    <w:bookmarkEnd w:id="78"/>
    <w:bookmarkStart w:id="79"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79"/>
    <w:bookmarkEnd w:id="80"/>
    <w:bookmarkStart w:id="94" w:name="mô-hình-phân-tích"/>
    <w:p>
      <w:pPr>
        <w:pStyle w:val="Heading2"/>
      </w:pPr>
      <w:r>
        <w:t xml:space="preserve">3.4 Mô hình phân tích</w:t>
      </w:r>
    </w:p>
    <w:bookmarkStart w:id="81"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1"/>
    <w:bookmarkStart w:id="82"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2"/>
    <w:bookmarkStart w:id="8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3"/>
    <w:bookmarkStart w:id="86" w:name="mô-hình-điều-tiết-h2-h6"/>
    <w:p>
      <w:pPr>
        <w:pStyle w:val="Heading3"/>
      </w:pPr>
      <w:r>
        <w:t xml:space="preserve">3.4.4 Mô hình điều tiết (H2-H6)</w:t>
      </w:r>
    </w:p>
    <w:bookmarkStart w:id="84"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4"/>
    <w:bookmarkStart w:id="85"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5"/>
    <w:bookmarkEnd w:id="86"/>
    <w:bookmarkStart w:id="87"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87"/>
    <w:bookmarkStart w:id="8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88"/>
    <w:bookmarkStart w:id="8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89"/>
    <w:bookmarkStart w:id="9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0"/>
    <w:bookmarkStart w:id="91"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1"/>
    <w:bookmarkStart w:id="92"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2"/>
    <w:bookmarkStart w:id="93"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3"/>
    <w:bookmarkEnd w:id="94"/>
    <w:bookmarkStart w:id="100" w:name="kiểm-định-độ-vững"/>
    <w:p>
      <w:pPr>
        <w:pStyle w:val="Heading2"/>
      </w:pPr>
      <w:r>
        <w:t xml:space="preserve">3.5 Kiểm định độ vững</w:t>
      </w:r>
    </w:p>
    <w:bookmarkStart w:id="95"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5"/>
    <w:bookmarkStart w:id="96"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6"/>
    <w:bookmarkStart w:id="97"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97"/>
    <w:bookmarkStart w:id="98"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98"/>
    <w:bookmarkStart w:id="99"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99"/>
    <w:bookmarkEnd w:id="100"/>
    <w:bookmarkStart w:id="10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1"/>
    <w:bookmarkStart w:id="10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 CHƯƠNG 4: KẾT QUẢ NGHIÊN CỨU</w:t>
      </w:r>
    </w:p>
    <w:p>
      <w:r>
        <w:pict>
          <v:rect style="width:0;height:1.5pt" o:hralign="center" o:hrstd="t" o:hr="t"/>
        </w:pict>
      </w:r>
    </w:p>
    <w:bookmarkEnd w:id="102"/>
    <w:bookmarkStart w:id="103"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3"/>
    <w:bookmarkStart w:id="108" w:name="thống-kê-mô-tả-và-bức-tranh-tổng-thể"/>
    <w:p>
      <w:pPr>
        <w:pStyle w:val="Heading2"/>
      </w:pPr>
      <w:r>
        <w:t xml:space="preserve">4.1 Thống kê mô tả và bức tranh tổng thể</w:t>
      </w:r>
    </w:p>
    <w:bookmarkStart w:id="104"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4"/>
    <w:bookmarkStart w:id="105"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5"/>
    <w:bookmarkStart w:id="106"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6"/>
    <w:bookmarkStart w:id="107"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07"/>
    <w:bookmarkEnd w:id="108"/>
    <w:bookmarkStart w:id="113" w:name="Xcac9e8aa89b90d2d4c5a3d7a7353386e79eb48b"/>
    <w:p>
      <w:pPr>
        <w:pStyle w:val="Heading2"/>
      </w:pPr>
      <w:r>
        <w:t xml:space="preserve">4.2 Kết quả phân tích tổng hợp ba tầng (phân tích tổng hợp)</w:t>
      </w:r>
    </w:p>
    <w:bookmarkStart w:id="109"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09"/>
    <w:bookmarkStart w:id="110"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0"/>
    <w:bookmarkStart w:id="111"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1"/>
    <w:bookmarkStart w:id="112"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2"/>
    <w:bookmarkEnd w:id="113"/>
    <w:bookmarkStart w:id="118" w:name="X2211c9df96706adf979c72912d0dfbc1dae7ce1"/>
    <w:p>
      <w:pPr>
        <w:pStyle w:val="Heading2"/>
      </w:pPr>
      <w:r>
        <w:t xml:space="preserve">4.3 Kết quả đa quốc gia trên 45 nền kinh tế (phân tích đa quốc gia 45 nền kinh tế)</w:t>
      </w:r>
    </w:p>
    <w:bookmarkStart w:id="114"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4"/>
    <w:bookmarkStart w:id="115"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15"/>
    <w:bookmarkStart w:id="116"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6"/>
    <w:bookmarkStart w:id="117"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17"/>
    <w:bookmarkEnd w:id="118"/>
    <w:bookmarkStart w:id="122"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19"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19"/>
    <w:bookmarkStart w:id="120"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0"/>
    <w:bookmarkStart w:id="121"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1"/>
    <w:bookmarkEnd w:id="122"/>
    <w:bookmarkStart w:id="126" w:name="X7dc1f4b6942ab8cbfe81c82f5ce732ad4c75229"/>
    <w:p>
      <w:pPr>
        <w:pStyle w:val="Heading2"/>
      </w:pPr>
      <w:r>
        <w:t xml:space="preserve">4.5 Trường hợp biên: quốc đảo nhỏ đang phát triển Thái Bình Dương (SIDS)</w:t>
      </w:r>
    </w:p>
    <w:bookmarkStart w:id="123"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3"/>
    <w:bookmarkStart w:id="124"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4"/>
    <w:bookmarkStart w:id="125"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5"/>
    <w:bookmarkEnd w:id="126"/>
    <w:bookmarkStart w:id="131" w:name="thảo-luận-tổng-hợp"/>
    <w:p>
      <w:pPr>
        <w:pStyle w:val="Heading2"/>
      </w:pPr>
      <w:r>
        <w:t xml:space="preserve">4.6 Thảo luận tổng hợp</w:t>
      </w:r>
    </w:p>
    <w:bookmarkStart w:id="127"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27"/>
    <w:bookmarkStart w:id="128"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28"/>
    <w:bookmarkStart w:id="129"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29"/>
    <w:bookmarkStart w:id="130"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0"/>
    <w:bookmarkEnd w:id="131"/>
    <w:bookmarkStart w:id="132"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tbl>
      <w:tblPr>
        <w:tblStyle w:val="Table"/>
        <w:tblW w:type="pct" w:w="278"/>
        <w:tblLook w:firstRow="0" w:lastRow="0" w:firstColumn="0" w:lastColumn="0" w:noHBand="0" w:noVBand="0" w:val="0000"/>
        <w:jc w:val="start"/>
      </w:tblPr>
      <w:tblGrid>
        <w:gridCol w:w="440"/>
      </w:tblGrid>
      <w:tr>
        <w:tc>
          <w:tcPr/>
          <w:p>
            <w:pPr>
              <w:pStyle w:val="Compact"/>
            </w:pPr>
          </w:p>
        </w:tc>
      </w:tr>
      <w:tr>
        <w:tc>
          <w:tcPr/>
          <w:p>
            <w:pPr>
              <w:pStyle w:val="Compact"/>
              <w:jc w:val="left"/>
            </w:pPr>
            <w:r>
              <w:t xml:space="preserve"># CHƯƠNG 5: KẾT LUẬN VÀ ĐỀ XUẤT</w:t>
            </w:r>
          </w:p>
        </w:tc>
      </w:tr>
      <w:tr>
        <w:tc>
          <w:tcPr/>
          <w:p>
            <w:pPr>
              <w:pStyle w:val="Compact"/>
            </w:pPr>
          </w:p>
        </w:tc>
      </w:tr>
    </w:tbl>
    <w:bookmarkEnd w:id="132"/>
    <w:bookmarkStart w:id="133"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3"/>
    <w:bookmarkStart w:id="139" w:name="Xff8cef3ed320f9cf6f3fba4ff558bfed3af19c6"/>
    <w:p>
      <w:pPr>
        <w:pStyle w:val="Heading2"/>
      </w:pPr>
      <w:r>
        <w:t xml:space="preserve">5.1 Bàn luận kết quả theo khung lý thuyết CDCM</w:t>
      </w:r>
    </w:p>
    <w:bookmarkStart w:id="134"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4"/>
    <w:bookmarkStart w:id="135"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35"/>
    <w:bookmarkStart w:id="136"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36"/>
    <w:bookmarkStart w:id="137"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37"/>
    <w:bookmarkStart w:id="138"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38"/>
    <w:bookmarkEnd w:id="139"/>
    <w:bookmarkStart w:id="143" w:name="so-sánh-với-nghiên-cứu-trước-đây"/>
    <w:p>
      <w:pPr>
        <w:pStyle w:val="Heading2"/>
      </w:pPr>
      <w:r>
        <w:t xml:space="preserve">5.2 So sánh với nghiên cứu trước đây</w:t>
      </w:r>
    </w:p>
    <w:bookmarkStart w:id="140"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0"/>
    <w:bookmarkStart w:id="141"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1"/>
    <w:bookmarkStart w:id="142"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2"/>
    <w:bookmarkEnd w:id="143"/>
    <w:bookmarkStart w:id="147" w:name="đóng-góp-lý-thuyết-1"/>
    <w:p>
      <w:pPr>
        <w:pStyle w:val="Heading2"/>
      </w:pPr>
      <w:r>
        <w:t xml:space="preserve">5.3 Đóng góp lý thuyết</w:t>
      </w:r>
    </w:p>
    <w:bookmarkStart w:id="14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4"/>
    <w:bookmarkStart w:id="145"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45"/>
    <w:bookmarkStart w:id="146"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46"/>
    <w:bookmarkEnd w:id="147"/>
    <w:bookmarkStart w:id="152" w:name="đề-xuất-chính-sách-và-quản-trị"/>
    <w:p>
      <w:pPr>
        <w:pStyle w:val="Heading2"/>
      </w:pPr>
      <w:r>
        <w:t xml:space="preserve">5.4 Đề xuất chính sách và quản trị</w:t>
      </w:r>
    </w:p>
    <w:bookmarkStart w:id="14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48"/>
    <w:bookmarkStart w:id="14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49"/>
    <w:bookmarkStart w:id="150"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0"/>
    <w:bookmarkStart w:id="151"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1"/>
    <w:bookmarkEnd w:id="152"/>
    <w:bookmarkStart w:id="157" w:name="hạn-chế-và-hướng-nghiên-cứu-tương-lai"/>
    <w:p>
      <w:pPr>
        <w:pStyle w:val="Heading2"/>
      </w:pPr>
      <w:r>
        <w:t xml:space="preserve">5.5 Hạn chế và hướng nghiên cứu tương lai</w:t>
      </w:r>
    </w:p>
    <w:bookmarkStart w:id="153"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3"/>
    <w:bookmarkStart w:id="154"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4"/>
    <w:bookmarkStart w:id="155"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55"/>
    <w:bookmarkStart w:id="156"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56"/>
    <w:bookmarkEnd w:id="157"/>
    <w:bookmarkStart w:id="162" w:name="kết-luận"/>
    <w:p>
      <w:pPr>
        <w:pStyle w:val="Heading2"/>
      </w:pPr>
      <w:r>
        <w:t xml:space="preserve">5.6 Kết luận</w:t>
      </w:r>
    </w:p>
    <w:bookmarkStart w:id="158"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58"/>
    <w:bookmarkStart w:id="15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59"/>
    <w:bookmarkStart w:id="16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0"/>
    <w:bookmarkStart w:id="161"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Tài liệu tham khảo — APA 7th</w:t>
            </w:r>
          </w:p>
        </w:tc>
      </w:tr>
      <w:tr>
        <w:tc>
          <w:tcPr/>
          <w:p>
            <w:pPr>
              <w:pStyle w:val="Compact"/>
              <w:jc w:val="left"/>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tc>
      </w:tr>
      <w:tr>
        <w:tc>
          <w:tcPr/>
          <w:p>
            <w:pPr>
              <w:pStyle w:val="Compact"/>
              <w:jc w:val="left"/>
            </w:pPr>
            <w:r>
              <w:t xml:space="preserve">&gt;</w:t>
            </w:r>
            <w:r>
              <w:t xml:space="preserve"> </w:t>
            </w:r>
            <w:r>
              <w:rPr>
                <w:bCs/>
                <w:b/>
              </w:rPr>
              <w:t xml:space="preserve">Phiên bản 2.0 (06/05/2026)</w:t>
            </w:r>
            <w:r>
              <w:t xml:space="preserve">: Bổ sung 11 entries học thuật mới (Section N) và 7 văn bản pháp lý Việt Nam (Section O).</w:t>
            </w:r>
            <w:r>
              <w:t xml:space="preserve"> </w:t>
            </w:r>
            <w:r>
              <w:t xml:space="preserve">&gt;</w:t>
            </w:r>
            <w:r>
              <w:t xml:space="preserve"> </w:t>
            </w:r>
            <w:r>
              <w:t xml:space="preserve">&gt;</w:t>
            </w:r>
            <w:r>
              <w:t xml:space="preserve"> </w:t>
            </w: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r>
              <w:t xml:space="preserve"> </w:t>
            </w:r>
            <w:r>
              <w:t xml:space="preserve">&gt;</w:t>
            </w:r>
            <w:r>
              <w:t xml:space="preserve"> </w:t>
            </w:r>
            <w:r>
              <w:t xml:space="preserve">&gt;</w:t>
            </w:r>
            <w:r>
              <w:t xml:space="preserve"> </w:t>
            </w: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r>
              <w:t xml:space="preserve"> </w:t>
            </w:r>
            <w:r>
              <w:t xml:space="preserve">&gt;</w:t>
            </w:r>
            <w:r>
              <w:t xml:space="preserve"> </w:t>
            </w:r>
            <w:r>
              <w:t xml:space="preserve">&gt;</w:t>
            </w:r>
            <w:r>
              <w:t xml:space="preserve"> </w:t>
            </w: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r>
              <w:t xml:space="preserve"> </w:t>
            </w:r>
            <w:r>
              <w:t xml:space="preserve">&gt;</w:t>
            </w:r>
            <w:r>
              <w:t xml:space="preserve"> </w:t>
            </w:r>
            <w:r>
              <w:t xml:space="preserve">&gt;</w:t>
            </w:r>
            <w:r>
              <w:t xml:space="preserve"> </w:t>
            </w: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r>
              <w:t xml:space="preserve"> </w:t>
            </w:r>
            <w:r>
              <w:t xml:space="preserve">&gt;</w:t>
            </w:r>
            <w:r>
              <w:t xml:space="preserve"> </w:t>
            </w:r>
            <w:r>
              <w:t xml:space="preserve">&gt;</w:t>
            </w:r>
            <w:r>
              <w:t xml:space="preserve"> </w:t>
            </w: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r>
              <w:t xml:space="preserve"> </w:t>
            </w:r>
            <w:r>
              <w:t xml:space="preserve">&gt;</w:t>
            </w:r>
            <w:r>
              <w:t xml:space="preserve"> </w:t>
            </w:r>
            <w:r>
              <w:t xml:space="preserve">&gt;</w:t>
            </w:r>
            <w:r>
              <w:t xml:space="preserve"> </w:t>
            </w: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r>
              <w:t xml:space="preserve"> </w:t>
            </w:r>
            <w:r>
              <w:t xml:space="preserve">&gt;</w:t>
            </w:r>
            <w:r>
              <w:t xml:space="preserve"> </w:t>
            </w:r>
            <w:r>
              <w:t xml:space="preserve">&gt;</w:t>
            </w:r>
            <w:r>
              <w:t xml:space="preserve"> </w:t>
            </w: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r>
              <w:t xml:space="preserve"> </w:t>
            </w:r>
            <w:r>
              <w:t xml:space="preserve">&gt;</w:t>
            </w:r>
            <w:r>
              <w:t xml:space="preserve"> </w:t>
            </w:r>
            <w:r>
              <w:t xml:space="preserve">&gt;</w:t>
            </w:r>
            <w:r>
              <w:t xml:space="preserve"> </w:t>
            </w: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r>
              <w:t xml:space="preserve"> </w:t>
            </w:r>
            <w:r>
              <w:t xml:space="preserve">&gt;</w:t>
            </w:r>
            <w:r>
              <w:t xml:space="preserve"> </w:t>
            </w:r>
            <w:r>
              <w:t xml:space="preserve">&gt;</w:t>
            </w:r>
            <w:r>
              <w:t xml:space="preserve"> </w:t>
            </w: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tc>
      </w:tr>
      <w:tr>
        <w:tc>
          <w:tcPr/>
          <w:p>
            <w:pPr>
              <w:pStyle w:val="Compact"/>
              <w:jc w:val="left"/>
            </w:pPr>
            <w:r>
              <w:t xml:space="preserve">&gt;</w:t>
            </w:r>
            <w:r>
              <w:t xml:space="preserve"> </w:t>
            </w: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tc>
      </w:tr>
      <w:tr>
        <w:tc>
          <w:tcPr/>
          <w:p>
            <w:pPr>
              <w:pStyle w:val="Compact"/>
              <w:jc w:val="left"/>
            </w:pPr>
            <w:r>
              <w:t xml:space="preserve">## A. Lý thuyết nền kinh doanh quốc tế (cập nhật v2.4 — bổ sung Bello &amp; Kostova 2012, Meyer et al. 2017, Dunning 1988, Williamson 2000)</w:t>
            </w:r>
          </w:p>
        </w:tc>
      </w:tr>
      <w:tr>
        <w:tc>
          <w:tcPr/>
          <w:p>
            <w:pPr>
              <w:pStyle w:val="Compact"/>
              <w:jc w:val="left"/>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tc>
      </w:tr>
      <w:tr>
        <w:tc>
          <w:tcPr/>
          <w:p>
            <w:pPr>
              <w:pStyle w:val="Compact"/>
              <w:jc w:val="lef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tc>
      </w:tr>
      <w:tr>
        <w:tc>
          <w:tcPr/>
          <w:p>
            <w:pPr>
              <w:pStyle w:val="Compact"/>
              <w:jc w:val="lef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tc>
      </w:tr>
      <w:tr>
        <w:tc>
          <w:tcPr/>
          <w:p>
            <w:pPr>
              <w:pStyle w:val="Compact"/>
              <w:jc w:val="lef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tc>
      </w:tr>
      <w:tr>
        <w:tc>
          <w:tcPr/>
          <w:p>
            <w:pPr>
              <w:pStyle w:val="Compact"/>
              <w:jc w:val="lef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tc>
      </w:tr>
      <w:tr>
        <w:tc>
          <w:tcPr/>
          <w:p>
            <w:pPr>
              <w:pStyle w:val="Compact"/>
              <w:jc w:val="left"/>
            </w:pPr>
            <w:r>
              <w:t xml:space="preserve">## B. Internationalization-Firm Performance: Foundational empirical</w:t>
            </w:r>
          </w:p>
        </w:tc>
      </w:tr>
      <w:tr>
        <w:tc>
          <w:tcPr/>
          <w:p>
            <w:pPr>
              <w:pStyle w:val="Compact"/>
              <w:jc w:val="left"/>
            </w:pPr>
            <w:r>
              <w:t xml:space="preserve">(Giữ nguyên từ v2.1 — Contractor et al. 2003, Gomes &amp; Ramaswamy 1999, Grant 1987, Hitt et al. 1997 và 2006, Kim et al. 1989, Lu &amp; Beamish 2004, Sullivan 1994. Tổng 8 entries.)</w:t>
            </w:r>
          </w:p>
        </w:tc>
      </w:tr>
      <w:tr>
        <w:tc>
          <w:tcPr/>
          <w:p>
            <w:pPr>
              <w:pStyle w:val="Compact"/>
              <w:jc w:val="left"/>
            </w:pPr>
            <w:r>
              <w:t xml:space="preserve">&gt;</w:t>
            </w:r>
            <w:r>
              <w:t xml:space="preserve"> </w:t>
            </w: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tc>
      </w:tr>
      <w:tr>
        <w:tc>
          <w:tcPr/>
          <w:p>
            <w:pPr>
              <w:pStyle w:val="Compact"/>
              <w:jc w:val="left"/>
            </w:pPr>
            <w:r>
              <w:t xml:space="preserve">## C. Meta-analyses về I-P relationship</w:t>
            </w:r>
          </w:p>
        </w:tc>
      </w:tr>
      <w:tr>
        <w:tc>
          <w:tcPr/>
          <w:p>
            <w:pPr>
              <w:pStyle w:val="Compact"/>
              <w:jc w:val="left"/>
            </w:pPr>
            <w:r>
              <w:t xml:space="preserve">(Giữ nguyên từ v2.1 — Arte &amp; Larimo 2022, Bausch &amp; Krist 2007, Kirca et al. 2012, Marano et al. 2016, Schwens et al. 2018, Wu, Fan &amp; Chen 2022. Tổng 6 entries.)</w:t>
            </w:r>
          </w:p>
        </w:tc>
      </w:tr>
      <w:tr>
        <w:tc>
          <w:tcPr/>
          <w:p>
            <w:pPr>
              <w:pStyle w:val="Compact"/>
              <w:jc w:val="left"/>
            </w:pPr>
            <w:r>
              <w:t xml:space="preserve">## D. Recent IB literature 2019-2025 (cập nhật v2.3 — bổ sung Xu 2024 GSJ + Kafouros 2023 GSJ)</w:t>
            </w:r>
          </w:p>
        </w:tc>
      </w:tr>
      <w:tr>
        <w:tc>
          <w:tcPr/>
          <w:p>
            <w:pPr>
              <w:pStyle w:val="Compact"/>
              <w:jc w:val="lef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tc>
      </w:tr>
      <w:tr>
        <w:tc>
          <w:tcPr/>
          <w:p>
            <w:pPr>
              <w:pStyle w:val="Compact"/>
              <w:jc w:val="lef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tc>
      </w:tr>
      <w:tr>
        <w:tc>
          <w:tcPr/>
          <w:p>
            <w:pPr>
              <w:pStyle w:val="Compact"/>
              <w:jc w:val="left"/>
            </w:pPr>
            <w:r>
              <w:t xml:space="preserve">Banalieva, E. R., &amp; Dhanaraj, C. (2019). Internalization theory for the digital economy.</w:t>
            </w:r>
            <w:r>
              <w:t xml:space="preserve"> </w:t>
            </w:r>
            <w:r>
              <w:rPr>
                <w:iCs/>
                <w:i/>
              </w:rPr>
              <w:t xml:space="preserve">Journal of International Business Studies, 50</w:t>
            </w:r>
            <w:r>
              <w:t xml:space="preserve">(8), 1372–1387.</w:t>
            </w:r>
          </w:p>
        </w:tc>
      </w:tr>
      <w:tr>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tc>
      </w:tr>
      <w:tr>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tc>
      </w:tr>
      <w:tr>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tc>
      </w:tr>
      <w:tr>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Stallkamp, M., &amp; Schotter, A. P. J. (2021). Platforms without borders?</w:t>
            </w:r>
            <w:r>
              <w:t xml:space="preserve"> </w:t>
            </w:r>
            <w:r>
              <w:rPr>
                <w:iCs/>
                <w:i/>
              </w:rPr>
              <w:t xml:space="preserve">Global Strategy Journal, 11</w:t>
            </w:r>
            <w:r>
              <w:t xml:space="preserve">(1), 58–80.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tc>
      </w:tr>
      <w:tr>
        <w:tc>
          <w:tcPr/>
          <w:p>
            <w:pPr>
              <w:pStyle w:val="Compact"/>
              <w:jc w:val="lef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tc>
      </w:tr>
      <w:tr>
        <w:tc>
          <w:tcPr/>
          <w:p>
            <w:pPr>
              <w:pStyle w:val="Compact"/>
              <w:jc w:val="left"/>
            </w:pPr>
            <w:r>
              <w:t xml:space="preserve">## E. Top management và leadership (cập nhật v2.3)</w:t>
            </w:r>
          </w:p>
        </w:tc>
      </w:tr>
      <w:tr>
        <w:tc>
          <w:tcPr/>
          <w:p>
            <w:pPr>
              <w:pStyle w:val="Compact"/>
              <w:jc w:val="left"/>
            </w:pPr>
            <w:r>
              <w:t xml:space="preserve">(Giữ nguyên từ v2.1 — Hsu et al. 2013, Post &amp; Byron 2015, Sambharya 1996.)</w:t>
            </w:r>
          </w:p>
        </w:tc>
      </w:tr>
      <w:tr>
        <w:tc>
          <w:tcPr/>
          <w:p>
            <w:pPr>
              <w:pStyle w:val="Compact"/>
              <w:jc w:val="lef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tc>
      </w:tr>
      <w:tr>
        <w:tc>
          <w:tcPr/>
          <w:p>
            <w:pPr>
              <w:pStyle w:val="Compact"/>
              <w:jc w:val="lef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tc>
      </w:tr>
      <w:tr>
        <w:tc>
          <w:tcPr/>
          <w:p>
            <w:pPr>
              <w:pStyle w:val="Compact"/>
              <w:jc w:val="left"/>
            </w:pPr>
            <w:r>
              <w:t xml:space="preserve">## F. China-specific research (cập nhật v2.2)</w:t>
            </w:r>
          </w:p>
        </w:tc>
      </w:tr>
      <w:tr>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tc>
      </w:tr>
      <w:tr>
        <w:tc>
          <w:tcPr/>
          <w:p>
            <w:pPr>
              <w:pStyle w:val="Compact"/>
              <w:jc w:val="left"/>
            </w:pPr>
            <w:r>
              <w:t xml:space="preserve">Liu, X., &amp; Zhang, H. (2024). How geopolitical risk affects firms’ internationalization performance: Evidence from China.</w:t>
            </w:r>
            <w:r>
              <w:t xml:space="preserve"> </w:t>
            </w:r>
            <w:r>
              <w:rPr>
                <w:iCs/>
                <w:i/>
              </w:rPr>
              <w:t xml:space="preserve">Heliyon, 10</w:t>
            </w:r>
            <w:r>
              <w:t xml:space="preserve">(6), e27512.</w:t>
            </w:r>
          </w:p>
        </w:tc>
      </w:tr>
      <w:tr>
        <w:tc>
          <w:tcPr/>
          <w:p>
            <w:pPr>
              <w:pStyle w:val="Compact"/>
              <w:jc w:val="lef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tc>
      </w:tr>
      <w:tr>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Zhang, Y., &amp; Wei, J. (2022). The impact of the internationalization of China’s new retail industry on corporate performance.</w:t>
            </w:r>
            <w:r>
              <w:t xml:space="preserve"> </w:t>
            </w:r>
            <w:r>
              <w:rPr>
                <w:iCs/>
                <w:i/>
              </w:rPr>
              <w:t xml:space="preserve">PLOS ONE, 17</w:t>
            </w:r>
            <w:r>
              <w:t xml:space="preserve">(2), e0262891.</w:t>
            </w:r>
          </w:p>
        </w:tc>
      </w:tr>
      <w:tr>
        <w:tc>
          <w:tcPr/>
          <w:p>
            <w:pPr>
              <w:pStyle w:val="Compact"/>
              <w:jc w:val="left"/>
            </w:pPr>
            <w:r>
              <w:t xml:space="preserve">## G. Asian/EMNE empirical (cập nhật v2.3)</w:t>
            </w:r>
          </w:p>
        </w:tc>
      </w:tr>
      <w:tr>
        <w:tc>
          <w:tcPr/>
          <w:p>
            <w:pPr>
              <w:pStyle w:val="Compact"/>
              <w:jc w:val="lef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tc>
      </w:tr>
      <w:tr>
        <w:tc>
          <w:tcPr/>
          <w:p>
            <w:pPr>
              <w:pStyle w:val="Compact"/>
              <w:jc w:val="lef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tc>
      </w:tr>
      <w:tr>
        <w:tc>
          <w:tcPr/>
          <w:p>
            <w:pPr>
              <w:pStyle w:val="Compact"/>
              <w:jc w:val="lef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tc>
      </w:tr>
      <w:tr>
        <w:tc>
          <w:tcPr/>
          <w:p>
            <w:pPr>
              <w:pStyle w:val="Compact"/>
              <w:jc w:val="lef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tc>
      </w:tr>
      <w:tr>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Mondal, A., Ray, S., &amp; Lahiri, S. (2022). Internationalization and performance of family firms.</w:t>
            </w:r>
            <w:r>
              <w:t xml:space="preserve"> </w:t>
            </w:r>
            <w:r>
              <w:rPr>
                <w:iCs/>
                <w:i/>
              </w:rPr>
              <w:t xml:space="preserve">Journal of Business Research, 138</w:t>
            </w:r>
            <w:r>
              <w:t xml:space="preserve">, 280–294.</w:t>
            </w:r>
          </w:p>
        </w:tc>
      </w:tr>
      <w:tr>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tc>
      </w:tr>
      <w:tr>
        <w:tc>
          <w:tcPr/>
          <w:p>
            <w:pPr>
              <w:pStyle w:val="Compact"/>
              <w:jc w:val="left"/>
            </w:pPr>
            <w:r>
              <w:t xml:space="preserve">## H. Firm performance đa chiều</w:t>
            </w:r>
          </w:p>
        </w:tc>
      </w:tr>
      <w:tr>
        <w:tc>
          <w:tcPr/>
          <w:p>
            <w:pPr>
              <w:pStyle w:val="Compact"/>
              <w:jc w:val="left"/>
            </w:pPr>
            <w:r>
              <w:t xml:space="preserve">(Giữ nguyên từ v2.1.)</w:t>
            </w:r>
          </w:p>
        </w:tc>
      </w:tr>
      <w:tr>
        <w:tc>
          <w:tcPr/>
          <w:p>
            <w:pPr>
              <w:pStyle w:val="Compact"/>
              <w:jc w:val="left"/>
            </w:pPr>
            <w:r>
              <w:t xml:space="preserve">## I. Productivity literature</w:t>
            </w:r>
          </w:p>
        </w:tc>
      </w:tr>
      <w:tr>
        <w:tc>
          <w:tcPr/>
          <w:p>
            <w:pPr>
              <w:pStyle w:val="Compact"/>
              <w:jc w:val="left"/>
            </w:pPr>
            <w:r>
              <w:t xml:space="preserve">(Giữ nguyên từ v2.1 — Bloom, Sadun &amp; Van Reenen 2012; Cusolito &amp; Maloney 2018; Hsieh &amp; Klenow 2009 và 2014.)</w:t>
            </w:r>
          </w:p>
        </w:tc>
      </w:tr>
      <w:tr>
        <w:tc>
          <w:tcPr/>
          <w:p>
            <w:pPr>
              <w:pStyle w:val="Compact"/>
              <w:jc w:val="left"/>
            </w:pPr>
            <w:r>
              <w:t xml:space="preserve">## J. Phương pháp meta-analysis và kinh tế lượng (cập nhật v2.4)</w:t>
            </w:r>
          </w:p>
        </w:tc>
      </w:tr>
      <w:tr>
        <w:tc>
          <w:tcPr/>
          <w:p>
            <w:pPr>
              <w:pStyle w:val="Compact"/>
              <w:jc w:val="left"/>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tc>
      </w:tr>
      <w:tr>
        <w:tc>
          <w:tcPr/>
          <w:p>
            <w:pPr>
              <w:pStyle w:val="Compact"/>
              <w:jc w:val="lef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tc>
      </w:tr>
      <w:tr>
        <w:tc>
          <w:tcPr/>
          <w:p>
            <w:pPr>
              <w:pStyle w:val="Compact"/>
              <w:jc w:val="left"/>
            </w:pPr>
            <w:r>
              <w:t xml:space="preserve">## K. WBES references và báo cáo Việt Nam (cập nhật v2.5 — bổ sung 4 entries từ batch upload 5 PDFs 07/05/2026)</w:t>
            </w:r>
          </w:p>
        </w:tc>
      </w:tr>
      <w:tr>
        <w:tc>
          <w:tcPr/>
          <w:p>
            <w:pPr>
              <w:pStyle w:val="Compact"/>
              <w:jc w:val="lef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tc>
      </w:tr>
      <w:tr>
        <w:tc>
          <w:tcPr/>
          <w:p>
            <w:pPr>
              <w:pStyle w:val="Compact"/>
              <w:jc w:val="lef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tc>
      </w:tr>
      <w:tr>
        <w:tc>
          <w:tcPr/>
          <w:p>
            <w:pPr>
              <w:pStyle w:val="Compact"/>
              <w:jc w:val="lef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tc>
      </w:tr>
      <w:tr>
        <w:tc>
          <w:tcPr/>
          <w:p>
            <w:pPr>
              <w:pStyle w:val="Compact"/>
              <w:jc w:val="left"/>
            </w:pPr>
            <w:r>
              <w:t xml:space="preserve">World Bank. (2019).</w:t>
            </w:r>
            <w:r>
              <w:t xml:space="preserve"> </w:t>
            </w:r>
            <w:r>
              <w:rPr>
                <w:iCs/>
                <w:i/>
              </w:rPr>
              <w:t xml:space="preserve">Understanding the questionnaire: Enterprise Survey questionnaire manual</w:t>
            </w:r>
            <w:r>
              <w:t xml:space="preserve">. World Bank Enterprise Surveys.</w:t>
            </w:r>
          </w:p>
        </w:tc>
      </w:tr>
      <w:tr>
        <w:tc>
          <w:tcPr/>
          <w:p>
            <w:pPr>
              <w:pStyle w:val="Compact"/>
              <w:jc w:val="left"/>
            </w:pPr>
            <w:r>
              <w:t xml:space="preserve">World Bank. (2023).</w:t>
            </w:r>
            <w:r>
              <w:t xml:space="preserve"> </w:t>
            </w:r>
            <w:r>
              <w:rPr>
                <w:iCs/>
                <w:i/>
              </w:rPr>
              <w:t xml:space="preserve">Vietnam 2023 Enterprise Surveys country profile</w:t>
            </w:r>
            <w:r>
              <w:t xml:space="preserve">. World Bank Enterprise Surveys.</w:t>
            </w:r>
          </w:p>
        </w:tc>
      </w:tr>
      <w:tr>
        <w:tc>
          <w:tcPr/>
          <w:p>
            <w:pPr>
              <w:pStyle w:val="Compact"/>
              <w:jc w:val="left"/>
            </w:pPr>
            <w:r>
              <w:t xml:space="preserve">World Bank. (2024).</w:t>
            </w:r>
            <w:r>
              <w:t xml:space="preserve"> </w:t>
            </w:r>
            <w:r>
              <w:rPr>
                <w:iCs/>
                <w:i/>
              </w:rPr>
              <w:t xml:space="preserve">Mongolia Economic Update: Towards diversified growth</w:t>
            </w:r>
            <w:r>
              <w:t xml:space="preserve">. World Bank.</w:t>
            </w:r>
          </w:p>
        </w:tc>
      </w:tr>
      <w:tr>
        <w:tc>
          <w:tcPr/>
          <w:p>
            <w:pPr>
              <w:pStyle w:val="Compact"/>
              <w:jc w:val="left"/>
            </w:pPr>
            <w:r>
              <w:t xml:space="preserve">World Bank. (2024, December).</w:t>
            </w:r>
            <w:r>
              <w:t xml:space="preserve"> </w:t>
            </w:r>
            <w:r>
              <w:rPr>
                <w:iCs/>
                <w:i/>
              </w:rPr>
              <w:t xml:space="preserve">Tonga 2024 Enterprise Surveys country profile</w:t>
            </w:r>
            <w:r>
              <w:t xml:space="preserve">. World Bank Enterprise Surveys.</w:t>
            </w:r>
          </w:p>
        </w:tc>
      </w:tr>
      <w:tr>
        <w:tc>
          <w:tcPr/>
          <w:p>
            <w:pPr>
              <w:pStyle w:val="Compact"/>
              <w:jc w:val="left"/>
            </w:pPr>
            <w:r>
              <w:t xml:space="preserve">World Bank. (2025, December).</w:t>
            </w:r>
            <w:r>
              <w:t xml:space="preserve"> </w:t>
            </w:r>
            <w:r>
              <w:rPr>
                <w:iCs/>
                <w:i/>
              </w:rPr>
              <w:t xml:space="preserve">Kiribati 2025 Enterprise Surveys country profile</w:t>
            </w:r>
            <w:r>
              <w:t xml:space="preserve">. World Bank Enterprise Surveys.</w:t>
            </w:r>
          </w:p>
        </w:tc>
      </w:tr>
      <w:tr>
        <w:tc>
          <w:tcPr/>
          <w:p>
            <w:pPr>
              <w:pStyle w:val="Compact"/>
              <w:jc w:val="left"/>
            </w:pPr>
            <w:r>
              <w:t xml:space="preserve">World Bank. (2026).</w:t>
            </w:r>
            <w:r>
              <w:t xml:space="preserve"> </w:t>
            </w:r>
            <w:r>
              <w:rPr>
                <w:iCs/>
                <w:i/>
              </w:rPr>
              <w:t xml:space="preserve">Indicator descriptions</w:t>
            </w:r>
            <w:r>
              <w:t xml:space="preserve">. World Bank Enterprise Surveys.</w:t>
            </w:r>
          </w:p>
        </w:tc>
      </w:tr>
      <w:tr>
        <w:tc>
          <w:tcPr/>
          <w:p>
            <w:pPr>
              <w:pStyle w:val="Compact"/>
              <w:jc w:val="lef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tc>
      </w:tr>
      <w:tr>
        <w:tc>
          <w:tcPr/>
          <w:p>
            <w:pPr>
              <w:pStyle w:val="Compact"/>
              <w:jc w:val="left"/>
            </w:pPr>
            <w:r>
              <w:t xml:space="preserve">International Finance Corporation. (2022, December).</w:t>
            </w:r>
            <w:r>
              <w:t xml:space="preserve"> </w:t>
            </w:r>
            <w:r>
              <w:rPr>
                <w:iCs/>
                <w:i/>
              </w:rPr>
              <w:t xml:space="preserve">Mind the gaps: Women in leadership in Viet Nam’s banking sector</w:t>
            </w:r>
            <w:r>
              <w:t xml:space="preserve">. IFC, World Bank Group.</w:t>
            </w:r>
          </w:p>
        </w:tc>
      </w:tr>
      <w:tr>
        <w:tc>
          <w:tcPr/>
          <w:p>
            <w:pPr>
              <w:pStyle w:val="Compact"/>
              <w:jc w:val="lef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tc>
      </w:tr>
      <w:tr>
        <w:tc>
          <w:tcPr/>
          <w:p>
            <w:pPr>
              <w:pStyle w:val="Compact"/>
              <w:jc w:val="left"/>
            </w:pPr>
            <w:r>
              <w:t xml:space="preserve">World Bank. (2025a, March).</w:t>
            </w:r>
            <w:r>
              <w:t xml:space="preserve"> </w:t>
            </w:r>
            <w:r>
              <w:rPr>
                <w:iCs/>
                <w:i/>
              </w:rPr>
              <w:t xml:space="preserve">Digital public infrastructure and development: A World Bank Group approach</w:t>
            </w:r>
            <w:r>
              <w:t xml:space="preserve">. World Bank Group.</w:t>
            </w:r>
          </w:p>
        </w:tc>
      </w:tr>
      <w:tr>
        <w:tc>
          <w:tcPr/>
          <w:p>
            <w:pPr>
              <w:pStyle w:val="Compact"/>
              <w:jc w:val="lef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tc>
      </w:tr>
      <w:tr>
        <w:tc>
          <w:tcPr/>
          <w:p>
            <w:pPr>
              <w:pStyle w:val="Compact"/>
              <w:jc w:val="lef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tc>
      </w:tr>
      <w:tr>
        <w:tc>
          <w:tcPr/>
          <w:p>
            <w:pPr>
              <w:pStyle w:val="Compact"/>
              <w:jc w:val="left"/>
            </w:pPr>
            <w:r>
              <w:t xml:space="preserve">World Bank. (2025d, December).</w:t>
            </w:r>
            <w:r>
              <w:t xml:space="preserve"> </w:t>
            </w:r>
            <w:r>
              <w:rPr>
                <w:iCs/>
                <w:i/>
              </w:rPr>
              <w:t xml:space="preserve">Korea global digital knowledge center</w:t>
            </w:r>
            <w:r>
              <w:t xml:space="preserve">. World Bank Group.</w:t>
            </w:r>
          </w:p>
        </w:tc>
      </w:tr>
      <w:tr>
        <w:tc>
          <w:tcPr/>
          <w:p>
            <w:pPr>
              <w:pStyle w:val="Compact"/>
              <w:jc w:val="left"/>
            </w:pPr>
            <w:r>
              <w:t xml:space="preserve">World Bank. (2026a).</w:t>
            </w:r>
            <w:r>
              <w:t xml:space="preserve"> </w:t>
            </w:r>
            <w:r>
              <w:rPr>
                <w:iCs/>
                <w:i/>
              </w:rPr>
              <w:t xml:space="preserve">ID4D &amp; G2Px annual report 2023: Putting people at the center of digital public infrastructure</w:t>
            </w:r>
            <w:r>
              <w:t xml:space="preserve">. World Bank Group.</w:t>
            </w:r>
          </w:p>
        </w:tc>
      </w:tr>
      <w:tr>
        <w:tc>
          <w:tcPr/>
          <w:p>
            <w:pPr>
              <w:pStyle w:val="Compact"/>
              <w:jc w:val="left"/>
            </w:pPr>
            <w:r>
              <w:t xml:space="preserve">World Bank. (2026b, April).</w:t>
            </w:r>
            <w:r>
              <w:t xml:space="preserve"> </w:t>
            </w:r>
            <w:r>
              <w:rPr>
                <w:iCs/>
                <w:i/>
              </w:rPr>
              <w:t xml:space="preserve">Viet Nam macro monitoring: April 2026</w:t>
            </w:r>
            <w:r>
              <w:t xml:space="preserve">. World Bank Group, Fiscal Policy and Growth Viet Nam Team.</w:t>
            </w:r>
          </w:p>
        </w:tc>
      </w:tr>
      <w:tr>
        <w:tc>
          <w:tcPr/>
          <w:p>
            <w:pPr>
              <w:pStyle w:val="Compact"/>
              <w:jc w:val="lef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tc>
      </w:tr>
      <w:tr>
        <w:tc>
          <w:tcPr/>
          <w:p>
            <w:pPr>
              <w:pStyle w:val="Compact"/>
              <w:jc w:val="lef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tc>
      </w:tr>
      <w:tr>
        <w:tc>
          <w:tcPr/>
          <w:p>
            <w:pPr>
              <w:pStyle w:val="Compact"/>
              <w:jc w:val="lef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tc>
      </w:tr>
      <w:tr>
        <w:tc>
          <w:tcPr/>
          <w:p>
            <w:pPr>
              <w:pStyle w:val="Compact"/>
              <w:jc w:val="left"/>
            </w:pPr>
            <w:r>
              <w:t xml:space="preserve">ADB. (2024).</w:t>
            </w:r>
            <w:r>
              <w:t xml:space="preserve"> </w:t>
            </w:r>
            <w:r>
              <w:rPr>
                <w:iCs/>
                <w:i/>
              </w:rPr>
              <w:t xml:space="preserve">Asian Development Outlook 2024 — Recovery and resilience in Asia</w:t>
            </w:r>
            <w:r>
              <w:t xml:space="preserve">. Asian Development Bank.</w:t>
            </w:r>
          </w:p>
        </w:tc>
      </w:tr>
      <w:tr>
        <w:tc>
          <w:tcPr/>
          <w:p>
            <w:pPr>
              <w:pStyle w:val="Compact"/>
              <w:jc w:val="lef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tc>
      </w:tr>
      <w:tr>
        <w:tc>
          <w:tcPr/>
          <w:p>
            <w:pPr>
              <w:pStyle w:val="Compact"/>
              <w:jc w:val="lef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tc>
      </w:tr>
      <w:tr>
        <w:tc>
          <w:tcPr/>
          <w:p>
            <w:pPr>
              <w:pStyle w:val="Compact"/>
              <w:jc w:val="lef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tc>
      </w:tr>
      <w:tr>
        <w:tc>
          <w:tcPr/>
          <w:p>
            <w:pPr>
              <w:pStyle w:val="Compact"/>
              <w:jc w:val="lef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tc>
      </w:tr>
      <w:tr>
        <w:tc>
          <w:tcPr/>
          <w:p>
            <w:pPr>
              <w:pStyle w:val="Compact"/>
              <w:jc w:val="lef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tc>
      </w:tr>
      <w:tr>
        <w:tc>
          <w:tcPr/>
          <w:p>
            <w:pPr>
              <w:pStyle w:val="Compact"/>
              <w:jc w:val="lef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tc>
      </w:tr>
      <w:tr>
        <w:tc>
          <w:tcPr/>
          <w:p>
            <w:pPr>
              <w:pStyle w:val="Compact"/>
              <w:jc w:val="left"/>
            </w:pPr>
            <w:r>
              <w:t xml:space="preserve">ADB. (2026, May).</w:t>
            </w:r>
            <w:r>
              <w:t xml:space="preserve"> </w:t>
            </w:r>
            <w:r>
              <w:rPr>
                <w:iCs/>
                <w:i/>
              </w:rPr>
              <w:t xml:space="preserve">Market Assessment of Critical Minerals in Mongolia</w:t>
            </w:r>
            <w:r>
              <w:t xml:space="preserve">. Asian Development Bank. https://doi.org/10.22617/TCS260157-2</w:t>
            </w:r>
          </w:p>
        </w:tc>
      </w:tr>
      <w:tr>
        <w:tc>
          <w:tcPr/>
          <w:p>
            <w:pPr>
              <w:pStyle w:val="Compact"/>
              <w:jc w:val="lef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tc>
      </w:tr>
      <w:tr>
        <w:tc>
          <w:tcPr/>
          <w:p>
            <w:pPr>
              <w:pStyle w:val="Compact"/>
              <w:jc w:val="left"/>
            </w:pPr>
            <w:r>
              <w:t xml:space="preserve">IMF. (2026, April).</w:t>
            </w:r>
            <w:r>
              <w:t xml:space="preserve"> </w:t>
            </w:r>
            <w:r>
              <w:rPr>
                <w:iCs/>
                <w:i/>
              </w:rPr>
              <w:t xml:space="preserve">World Economic Outlook April 2026: Global Economy in the Shadow of War</w:t>
            </w:r>
            <w:r>
              <w:t xml:space="preserve">. International Monetary Fund.</w:t>
            </w:r>
          </w:p>
        </w:tc>
      </w:tr>
      <w:tr>
        <w:tc>
          <w:tcPr/>
          <w:p>
            <w:pPr>
              <w:pStyle w:val="Compact"/>
              <w:jc w:val="left"/>
            </w:pPr>
            <w:r>
              <w:t xml:space="preserve">OECD. (2026, March).</w:t>
            </w:r>
            <w:r>
              <w:t xml:space="preserve"> </w:t>
            </w:r>
            <w:r>
              <w:rPr>
                <w:iCs/>
                <w:i/>
              </w:rPr>
              <w:t xml:space="preserve">OECD Economic Outlook, Volume 2026 Issue 1</w:t>
            </w:r>
            <w:r>
              <w:t xml:space="preserve">. Organisation for Economic Co-operation and Development.</w:t>
            </w:r>
          </w:p>
        </w:tc>
      </w:tr>
      <w:tr>
        <w:tc>
          <w:tcPr/>
          <w:p>
            <w:pPr>
              <w:pStyle w:val="Compact"/>
              <w:jc w:val="left"/>
            </w:pPr>
            <w:r>
              <w:t xml:space="preserve">OECD. (2026, April).</w:t>
            </w:r>
            <w:r>
              <w:t xml:space="preserve"> </w:t>
            </w:r>
            <w:r>
              <w:rPr>
                <w:iCs/>
                <w:i/>
              </w:rPr>
              <w:t xml:space="preserve">FDI in Figures, April 2026</w:t>
            </w:r>
            <w:r>
              <w:t xml:space="preserve">. Organisation for Economic Co-operation and Development.</w:t>
            </w:r>
          </w:p>
        </w:tc>
      </w:tr>
      <w:tr>
        <w:tc>
          <w:tcPr/>
          <w:p>
            <w:pPr>
              <w:pStyle w:val="Compact"/>
              <w:jc w:val="left"/>
            </w:pPr>
            <w:r>
              <w:t xml:space="preserve">UNCTAD. (2023).</w:t>
            </w:r>
            <w:r>
              <w:t xml:space="preserve"> </w:t>
            </w:r>
            <w:r>
              <w:rPr>
                <w:iCs/>
                <w:i/>
              </w:rPr>
              <w:t xml:space="preserve">World Investment Report 2023: Investing in sustainable energy for all</w:t>
            </w:r>
            <w:r>
              <w:t xml:space="preserve">. United Nations Conference on Trade and Development.</w:t>
            </w:r>
          </w:p>
        </w:tc>
      </w:tr>
      <w:tr>
        <w:tc>
          <w:tcPr/>
          <w:p>
            <w:pPr>
              <w:pStyle w:val="Compact"/>
              <w:jc w:val="left"/>
            </w:pPr>
            <w:r>
              <w:t xml:space="preserve">WIPO. (2024).</w:t>
            </w:r>
            <w:r>
              <w:t xml:space="preserve"> </w:t>
            </w:r>
            <w:r>
              <w:rPr>
                <w:iCs/>
                <w:i/>
              </w:rPr>
              <w:t xml:space="preserve">Global Innovation Index 2024: Unlocking the promise of social entrepreneurship</w:t>
            </w:r>
            <w:r>
              <w:t xml:space="preserve">. World Intellectual Property Organization.</w:t>
            </w:r>
          </w:p>
        </w:tc>
      </w:tr>
      <w:tr>
        <w:tc>
          <w:tcPr/>
          <w:p>
            <w:pPr>
              <w:pStyle w:val="Compact"/>
              <w:jc w:val="left"/>
            </w:pPr>
            <w:r>
              <w:t xml:space="preserve">## L. Tham khảo bổ sung 2024-2026 (cập nhật v2.4)</w:t>
            </w:r>
          </w:p>
        </w:tc>
      </w:tr>
      <w:tr>
        <w:tc>
          <w:tcPr/>
          <w:p>
            <w:pPr>
              <w:pStyle w:val="Compact"/>
              <w:jc w:val="lef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tc>
      </w:tr>
      <w:tr>
        <w:tc>
          <w:tcPr/>
          <w:p>
            <w:pPr>
              <w:pStyle w:val="Compact"/>
              <w:jc w:val="lef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tc>
      </w:tr>
      <w:tr>
        <w:tc>
          <w:tcPr/>
          <w:p>
            <w:pPr>
              <w:pStyle w:val="Compact"/>
              <w:jc w:val="lef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tc>
      </w:tr>
      <w:tr>
        <w:tc>
          <w:tcPr/>
          <w:p>
            <w:pPr>
              <w:pStyle w:val="Compact"/>
              <w:jc w:val="lef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tc>
      </w:tr>
      <w:tr>
        <w:tc>
          <w:tcPr/>
          <w:p>
            <w:pPr>
              <w:pStyle w:val="Compact"/>
              <w:jc w:val="left"/>
            </w:pPr>
            <w:r>
              <w:t xml:space="preserve">## M. Công trình của tác giả luận án (NCS Đỗ Thùy Hương)</w:t>
            </w:r>
          </w:p>
        </w:tc>
      </w:tr>
      <w:tr>
        <w:tc>
          <w:tcPr/>
          <w:p>
            <w:pPr>
              <w:pStyle w:val="Compact"/>
              <w:jc w:val="left"/>
            </w:pPr>
            <w:r>
              <w:t xml:space="preserve">(Giữ nguyên từ v2.1 — 4 đã xuất bản 2024-2026 + 4 đang chuẩn bị P3/P4/P5/P8.)</w:t>
            </w:r>
          </w:p>
        </w:tc>
      </w:tr>
      <w:tr>
        <w:tc>
          <w:tcPr/>
          <w:p>
            <w:pPr>
              <w:pStyle w:val="Compact"/>
              <w:jc w:val="left"/>
            </w:pPr>
            <w:r>
              <w:t xml:space="preserve">## N. Lý thuyết tài nguyên + thể chế kinh tế chính trị + boundary cases</w:t>
            </w:r>
          </w:p>
        </w:tc>
      </w:tr>
      <w:tr>
        <w:tc>
          <w:tcPr/>
          <w:p>
            <w:pPr>
              <w:pStyle w:val="Compact"/>
              <w:jc w:val="left"/>
            </w:pPr>
            <w:r>
              <w:t xml:space="preserve">(Giữ nguyên từ v2.0 — Auty 1993, Beblawi 1987, Gerelmaa &amp; Kotani 2016, Hertog 2010, Hvidt 2013, Sachs &amp; Warner 2001, Hall &amp; Soskice 2001, Bertram 2006, Briguglio 1995. Tổng 9 entries.)</w:t>
            </w:r>
          </w:p>
        </w:tc>
      </w:tr>
      <w:tr>
        <w:tc>
          <w:tcPr/>
          <w:p>
            <w:pPr>
              <w:pStyle w:val="Compact"/>
              <w:jc w:val="left"/>
            </w:pPr>
            <w:r>
              <w:t xml:space="preserve">## O. Văn bản pháp lý Việt Nam (cited trong CĐ1 Mục 7.3.3)</w:t>
            </w:r>
          </w:p>
        </w:tc>
      </w:tr>
      <w:tr>
        <w:tc>
          <w:tcPr/>
          <w:p>
            <w:pPr>
              <w:pStyle w:val="Compact"/>
              <w:jc w:val="left"/>
            </w:pPr>
            <w:r>
              <w:t xml:space="preserve">(Giữ nguyên từ v2.0 — 7 văn bản pháp lý + 8 hiệp định FTA.)</w:t>
            </w:r>
          </w:p>
        </w:tc>
      </w:tr>
      <w:tr>
        <w:tc>
          <w:tcPr/>
          <w:p>
            <w:pPr>
              <w:pStyle w:val="Compact"/>
              <w:jc w:val="left"/>
            </w:pPr>
            <w:r>
              <w:t xml:space="preserve">## P. World Bank Data360 Atlas 2026 và báo cáo AI-Finance (Mới v2.6)</w:t>
            </w:r>
          </w:p>
        </w:tc>
      </w:tr>
      <w:tr>
        <w:tc>
          <w:tcPr/>
          <w:p>
            <w:pPr>
              <w:pStyle w:val="Compact"/>
              <w:jc w:val="lef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tc>
      </w:tr>
      <w:tr>
        <w:tc>
          <w:tcPr/>
          <w:p>
            <w:pPr>
              <w:pStyle w:val="Compact"/>
              <w:jc w:val="lef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tc>
      </w:tr>
      <w:tr>
        <w:tc>
          <w:tcPr/>
          <w:p>
            <w:pPr>
              <w:pStyle w:val="Compact"/>
              <w:jc w:val="lef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tc>
      </w:tr>
      <w:tr>
        <w:tc>
          <w:tcPr/>
          <w:p>
            <w:pPr>
              <w:pStyle w:val="Compact"/>
              <w:jc w:val="lef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tc>
      </w:tr>
      <w:tr>
        <w:tc>
          <w:tcPr/>
          <w:p>
            <w:pPr>
              <w:pStyle w:val="Compact"/>
              <w:jc w:val="lef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tc>
      </w:tr>
    </w:tbl>
    <w:bookmarkEnd w:id="161"/>
    <w:bookmarkEnd w:id="162"/>
    <w:bookmarkStart w:id="163"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63"/>
    <w:bookmarkStart w:id="164"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64"/>
    <w:bookmarkStart w:id="165"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65"/>
    <w:bookmarkStart w:id="166"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66"/>
    <w:bookmarkStart w:id="170" w:name="hướng-dẫn-sử-dụng-cập-nhật-v2.5"/>
    <w:p>
      <w:pPr>
        <w:pStyle w:val="Heading2"/>
      </w:pPr>
      <w:r>
        <w:t xml:space="preserve">Hướng dẫn sử dụng (cập nhật v2.5)</w:t>
      </w:r>
    </w:p>
    <w:bookmarkStart w:id="167"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67"/>
    <w:bookmarkStart w:id="168"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68"/>
    <w:bookmarkStart w:id="169"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69"/>
    <w:bookmarkEnd w:id="170"/>
    <w:bookmarkStart w:id="171"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71"/>
    <w:bookmarkStart w:id="172"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72"/>
    <w:bookmarkStart w:id="173"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73"/>
    <w:bookmarkStart w:id="174"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74"/>
    <w:bookmarkStart w:id="178"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75"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75"/>
    <w:bookmarkStart w:id="176"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76"/>
    <w:bookmarkStart w:id="177"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77"/>
    <w:bookmarkEnd w:id="178"/>
    <w:bookmarkStart w:id="179" w:name="X585dca2bfaf381bcdd15563ede46d6322259192"/>
    <w:p>
      <w:pPr>
        <w:pStyle w:val="Heading2"/>
      </w:pPr>
      <w:r>
        <w:t xml:space="preserve">W. Cơ sở lý luận tự động hóa trích xuất tổng quan hệ thống (M-AIDA) — Bổ sung v3.2 (29/05/2026)</w:t>
      </w:r>
    </w:p>
    <w:p>
      <w:pPr>
        <w:pStyle w:val="BlockText"/>
      </w:pPr>
      <w:r>
        <w:t xml:space="preserve">Năm entries này làm nền tảng phương pháp luận cho Mục 3.2.4 (công cụ M-AIDA): biện minh cho việc dùng trích xuất bán tự động có người trong vòng lặp. Tất cả đã được xác minh DOI.</w:t>
      </w:r>
    </w:p>
    <w:p>
      <w:pPr>
        <w:pStyle w:val="FirstParagraph"/>
      </w:pPr>
      <w:r>
        <w:t xml:space="preserve">Gartlehner, G., Kahwati, L., Hilscher, R., Thomas, I., Kugley, S., Crotty, K., &amp; Viswanathan, M. (2024). Data extraction for evidence synthesis using a large language model: A proof-of-concept study.</w:t>
      </w:r>
      <w:r>
        <w:t xml:space="preserve"> </w:t>
      </w:r>
      <w:r>
        <w:rPr>
          <w:iCs/>
          <w:i/>
        </w:rPr>
        <w:t xml:space="preserve">Research Synthesis Methods, 15</w:t>
      </w:r>
      <w:r>
        <w:t xml:space="preserve">(4), 576–589. https://doi.org/10.1002/jrsm.1710</w:t>
      </w:r>
      <w:r>
        <w:t xml:space="preserve"> </w:t>
      </w:r>
      <w:r>
        <w:rPr>
          <w:iCs/>
          <w:i/>
        </w:rPr>
        <w:t xml:space="preserve">(Mới v3.2 — LLM Claude trích xuất đạt độ chính xác cao; nhấn mạnh cộng hưởng người–LLM, nền tảng cho thiết kế human-in-the-loop của M-AIDA.)</w:t>
      </w:r>
    </w:p>
    <w:p>
      <w:pPr>
        <w:pStyle w:val="BodyText"/>
      </w:pPr>
      <w:r>
        <w:t xml:space="preserve">Jonnalagadda, S. R., Goyal, P., &amp; Huffman, M. D. (2015). Automating data extraction in systematic reviews: A systematic review.</w:t>
      </w:r>
      <w:r>
        <w:t xml:space="preserve"> </w:t>
      </w:r>
      <w:r>
        <w:rPr>
          <w:iCs/>
          <w:i/>
        </w:rPr>
        <w:t xml:space="preserve">Systematic Reviews, 4</w:t>
      </w:r>
      <w:r>
        <w:t xml:space="preserve">(1), 78. https://doi.org/10.1186/s13643-015-0066-7</w:t>
      </w:r>
      <w:r>
        <w:t xml:space="preserve"> </w:t>
      </w:r>
      <w:r>
        <w:rPr>
          <w:iCs/>
          <w:i/>
        </w:rPr>
        <w:t xml:space="preserve">(Mới v3.2 — tổng quan riêng về tự động hóa khâu trích xuất dữ liệu.)</w:t>
      </w:r>
    </w:p>
    <w:p>
      <w:pPr>
        <w:pStyle w:val="BodyText"/>
      </w:pPr>
      <w:r>
        <w:t xml:space="preserve">Marshall, I. J., &amp; Wallace, B. C. (2019). Toward systematic review automation: A practical guide to using machine learning tools in research synthesis.</w:t>
      </w:r>
      <w:r>
        <w:t xml:space="preserve"> </w:t>
      </w:r>
      <w:r>
        <w:rPr>
          <w:iCs/>
          <w:i/>
        </w:rPr>
        <w:t xml:space="preserve">Systematic Reviews, 8</w:t>
      </w:r>
      <w:r>
        <w:t xml:space="preserve">(1), 163. https://doi.org/10.1186/s13643-019-1074-9</w:t>
      </w:r>
      <w:r>
        <w:t xml:space="preserve"> </w:t>
      </w:r>
      <w:r>
        <w:rPr>
          <w:iCs/>
          <w:i/>
        </w:rPr>
        <w:t xml:space="preserve">(Mới v3.2 — hướng dẫn thực hành dùng machine learning trong tổng hợp bằng chứng.)</w:t>
      </w:r>
    </w:p>
    <w:p>
      <w:pPr>
        <w:pStyle w:val="BodyText"/>
      </w:pPr>
      <w:r>
        <w:t xml:space="preserve">Mathes, T., Klaßen, P., &amp; Pieper, D. (2017). Frequency of data extraction errors and methods to increase data extraction quality: A methodological review.</w:t>
      </w:r>
      <w:r>
        <w:t xml:space="preserve"> </w:t>
      </w:r>
      <w:r>
        <w:rPr>
          <w:iCs/>
          <w:i/>
        </w:rPr>
        <w:t xml:space="preserve">BMC Medical Research Methodology, 17</w:t>
      </w:r>
      <w:r>
        <w:t xml:space="preserve">(1), 152. https://doi.org/10.1186/s12874-017-0431-4</w:t>
      </w:r>
      <w:r>
        <w:t xml:space="preserve"> </w:t>
      </w:r>
      <w:r>
        <w:rPr>
          <w:iCs/>
          <w:i/>
        </w:rPr>
        <w:t xml:space="preserve">(Mới v3.2 — tỷ lệ lỗi trích xuất thủ công lên tới 50%; biện minh nhu cầu công cụ + kiểm chứng.)</w:t>
      </w:r>
    </w:p>
    <w:p>
      <w:pPr>
        <w:pStyle w:val="BodyText"/>
      </w:pPr>
      <w:r>
        <w:t xml:space="preserve">Tsafnat, G., Glasziou, P., Choong, M. K., Dunn, A., Galgani, F., &amp; Coiera, E. (2014). Systematic review automation technologies.</w:t>
      </w:r>
      <w:r>
        <w:t xml:space="preserve"> </w:t>
      </w:r>
      <w:r>
        <w:rPr>
          <w:iCs/>
          <w:i/>
        </w:rPr>
        <w:t xml:space="preserve">Systematic Reviews, 3</w:t>
      </w:r>
      <w:r>
        <w:t xml:space="preserve">(1), 74. https://doi.org/10.1186/2046-4053-3-74</w:t>
      </w:r>
      <w:r>
        <w:t xml:space="preserve"> </w:t>
      </w:r>
      <w:r>
        <w:rPr>
          <w:iCs/>
          <w:i/>
        </w:rPr>
        <w:t xml:space="preserve">(Mới v3.2 — khảo sát nền tảng các công nghệ tự động hóa tổng quan hệ thống.)</w:t>
      </w:r>
    </w:p>
    <w:bookmarkEnd w:id="1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2026-05-29T03:37:44Z</dcterms:created>
  <dcterms:modified xsi:type="dcterms:W3CDTF">2026-05-29T03:37:44Z</dcterms:modified>
</cp:coreProperties>
</file>

<file path=docProps/custom.xml><?xml version="1.0" encoding="utf-8"?>
<Properties xmlns="http://schemas.openxmlformats.org/officeDocument/2006/custom-properties" xmlns:vt="http://schemas.openxmlformats.org/officeDocument/2006/docPropsVTypes"/>
</file>