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fd51129b6e0a16d1f43d86d86dc205941b6f479"/>
    <w:p>
      <w:pPr>
        <w:pStyle w:val="Heading1"/>
      </w:pPr>
      <w:r>
        <w:t xml:space="preserve">At the Upper Bound of the Institutional Gradient: Internationalization and Firm Performance in Japan’s Inaugural World Bank Enterprise Survey</w:t>
      </w:r>
    </w:p>
    <w:p>
      <w:pPr>
        <w:pStyle w:val="FirstParagraph"/>
      </w:pPr>
      <w:r>
        <w:rPr>
          <w:bCs/>
          <w:b/>
        </w:rPr>
        <w:t xml:space="preserve">Blinded manuscript — prepared for Asian Business &amp; Management (primary target; backups: Asia Pacific Journal of Management, Journal of Asian Business Studies)</w:t>
      </w:r>
    </w:p>
    <w:p>
      <w:r>
        <w:pict>
          <v:rect style="width:0;height:1.5pt" o:hralign="center" o:hrstd="t" o:hr="t"/>
        </w:pict>
      </w:r>
    </w:p>
    <w:bookmarkStart w:id="20" w:name="abstract"/>
    <w:p>
      <w:pPr>
        <w:pStyle w:val="Heading2"/>
      </w:pPr>
      <w:r>
        <w:t xml:space="preserve">Abstract</w:t>
      </w:r>
    </w:p>
    <w:p>
      <w:pPr>
        <w:pStyle w:val="FirstParagraph"/>
      </w:pPr>
      <w:r>
        <w:rPr>
          <w:bCs/>
          <w:b/>
        </w:rPr>
        <w:t xml:space="preserve">Purpose.</w:t>
      </w:r>
      <w:r>
        <w:t xml:space="preserve"> </w:t>
      </w:r>
      <w:r>
        <w:t xml:space="preserve">Japan entered the World Bank Enterprise Surveys (WBES) for the first time in 2025, closing the last major gap in comparable firm-level data for advanced Asia. We exploit this inaugural wave (N = 2,168 establishments) to test how the internationalization–performance (I–P) relationship behaves at the upper bound of the institutional gradient, where theory predicts the familiar inverted-U should flatten toward near-linearity.</w:t>
      </w:r>
      <w:r>
        <w:t xml:space="preserve"> </w:t>
      </w:r>
      <w:r>
        <w:rPr>
          <w:bCs/>
          <w:b/>
        </w:rPr>
        <w:t xml:space="preserve">Design/methodology/approach.</w:t>
      </w:r>
      <w:r>
        <w:t xml:space="preserve"> </w:t>
      </w:r>
      <w:r>
        <w:t xml:space="preserve">Labour productivity, ln(annual sales per permanent worker), winsorised at the 1st and 99th percentiles, is regressed on export intensity (FSTS, direct plus indirect exports over sales) and its square, with sector fixed effects and HC1 robust standard errors, in a hierarchical sequence adding ownership, firm age, manager gender, technological capability (TCI), and digital adoption (DAI).</w:t>
      </w:r>
      <w:r>
        <w:t xml:space="preserve"> </w:t>
      </w:r>
      <w:r>
        <w:rPr>
          <w:bCs/>
          <w:b/>
        </w:rPr>
        <w:t xml:space="preserve">Findings.</w:t>
      </w:r>
      <w:r>
        <w:t xml:space="preserve"> </w:t>
      </w:r>
      <w:r>
        <w:t xml:space="preserve">The linear export-intensity effect is positive and significant (β = +0.671, p &lt; .001). The quadratic term is never significant (M2: β₂ = −0.606, p = .323), and the algebraic turning point (90–108% of sales) lies outside the observable range: within the data, more internationalization is monotonically better. Technological capability (+0.100, p &lt; .001) and digital adoption (+0.110, p = .028) shift performance levels but do not reshape the curve, consistent with Tier-1 digital saturation in an economy where 83.8% of establishments operate a website. Two Japan-specific regularities emerge: a firm-longevity premium (ln-age: +0.073, p = .007) consistent with the</w:t>
      </w:r>
      <w:r>
        <w:t xml:space="preserve"> </w:t>
      </w:r>
      <w:r>
        <w:rPr>
          <w:iCs/>
          <w:i/>
        </w:rPr>
        <w:t xml:space="preserve">shinise</w:t>
      </w:r>
      <w:r>
        <w:t xml:space="preserve"> </w:t>
      </w:r>
      <w:r>
        <w:t xml:space="preserve">tradition, and a negative female-top-manager coefficient (−0.170, p = .010) in an economy where only 7.3% of establishments have a female top manager.</w:t>
      </w:r>
      <w:r>
        <w:t xml:space="preserve"> </w:t>
      </w:r>
      <w:r>
        <w:rPr>
          <w:bCs/>
          <w:b/>
        </w:rPr>
        <w:t xml:space="preserve">Originality/value.</w:t>
      </w:r>
      <w:r>
        <w:t xml:space="preserve"> </w:t>
      </w:r>
      <w:r>
        <w:t xml:space="preserve">This is the first firm-level I–P estimate for Japan on the WBES instrument and the first test of the upper-bound prediction of an institution-contingent I–P framework using an economy’s inaugural survey wave. The flattening of the curve at the strongest-institution regime mirrors independent evidence from Singapore and completes the three-zone pattern, inverted-U in transition regimes, near-linearity at the top, dissolution at the bottom, documented across 50 Asian and Pacific economies.</w:t>
      </w:r>
    </w:p>
    <w:p>
      <w:pPr>
        <w:pStyle w:val="BodyText"/>
      </w:pPr>
      <w:r>
        <w:rPr>
          <w:bCs/>
          <w:b/>
        </w:rPr>
        <w:t xml:space="preserve">Keywords:</w:t>
      </w:r>
      <w:r>
        <w:t xml:space="preserve"> </w:t>
      </w:r>
      <w:r>
        <w:t xml:space="preserve">internationalization–performance; export intensity; Japan; World Bank Enterprise Surveys; institutional context; digital adoption; technological capability.</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The relationship between internationalization and firm performance (I–P) is among the most intensively studied questions in international business, and among the least settled (Bausch &amp; Krist, 2007; Kirca et al., 2012; Marano et al., 2016). A growing body of evidence suggests that the shape of the relationship is not universal but conditional on the institutional regime in which the firm operates: an inverted-U with an intermediate turning point in transition economies (Lu &amp; Beamish, 2001, 2004; Contractor et al., 2003), near-linearity in the most advanced institutional contexts, and weak or even negative relationships in the most constrained ones. Yet the upper bound of this institutional gradient has been difficult to test on comparable data, for a simple reason: the world’s most advanced large economies were absent from the World Bank Enterprise Surveys (WBES), the only firm-level instrument harmonised across more than 150 economies.</w:t>
      </w:r>
    </w:p>
    <w:p>
      <w:pPr>
        <w:pStyle w:val="BodyText"/>
      </w:pPr>
      <w:r>
        <w:t xml:space="preserve">Japan’s entry into the WBES in 2025, the first time the programme has surveyed the world’s fourth-largest economy, closes that gap. The inaugural wave (N = 2,168 establishments, stratified by sector, size, and region) makes it possible, for the first time, to estimate the I–P relationship for Japan on exactly the same instrument, with exactly the same variable definitions, as fifty other Asian and Pacific economies.</w:t>
      </w:r>
    </w:p>
    <w:p>
      <w:pPr>
        <w:pStyle w:val="BodyText"/>
      </w:pPr>
      <w:r>
        <w:t xml:space="preserve">This paper asks a sharply defined question:</w:t>
      </w:r>
      <w:r>
        <w:t xml:space="preserve"> </w:t>
      </w:r>
      <w:r>
        <w:rPr>
          <w:bCs/>
          <w:b/>
        </w:rPr>
        <w:t xml:space="preserve">does the I–P relationship at the upper bound of the institutional gradient behave as institution-contingent theory predicts?</w:t>
      </w:r>
      <w:r>
        <w:t xml:space="preserve"> </w:t>
      </w:r>
      <w:r>
        <w:t xml:space="preserve">The prediction is specific. Where institutional quality is highest, transaction costs of cross-border activity are lowest and the supporting service ecosystem is densest, so the descending limb of the inverted-U, the zone where coordination costs overwhelm learning gains, should be pushed beyond the observable range of export intensity. Empirically, the quadratic term should be statistically indistinguishable from zero, the algebraic turning point should fall outside the data support, and the relationship within the observed range should be monotonically positive. This is what independent single-economy evidence found for Singapore (turning point ≈ 88.6%, not reliably located), and what a 50-economy pooled estimation finds for the Advanced innovation-driven regime as a group. Japan, the largest and oldest advanced economy in the region, provides the most demanding test of this prediction.</w:t>
      </w:r>
    </w:p>
    <w:p>
      <w:pPr>
        <w:pStyle w:val="BodyText"/>
      </w:pPr>
      <w:r>
        <w:t xml:space="preserve">Our contributions are threefold. First, we provide the first WBES-based I–P estimates for Japan, establishing baseline facts for an economy that has been systematically absent from comparative firm-level research. Second, we deliver a clean confirmation of the upper-bound prediction: the export-intensity effect is positive and significant in linear form (+0.671, p &lt; .001), the quadratic term is never significant, and the implied turning point (90–108% of sales) lies outside the observable range. Third, we document two Japan-specific regularities of independent interest, a longevity premium consistent with the</w:t>
      </w:r>
      <w:r>
        <w:t xml:space="preserve"> </w:t>
      </w:r>
      <w:r>
        <w:rPr>
          <w:iCs/>
          <w:i/>
        </w:rPr>
        <w:t xml:space="preserve">shinise</w:t>
      </w:r>
      <w:r>
        <w:t xml:space="preserve"> </w:t>
      </w:r>
      <w:r>
        <w:t xml:space="preserve">(long-established firm) tradition, and a pronounced negative female-top-manager coefficient in the economy with the region’s lowest female-leadership share, both of which qualify how upper-echelons effects travel across institutional contexts.</w:t>
      </w:r>
    </w:p>
    <w:bookmarkEnd w:id="21"/>
    <w:bookmarkStart w:id="25" w:name="theoretical-background-and-hypotheses"/>
    <w:p>
      <w:pPr>
        <w:pStyle w:val="Heading2"/>
      </w:pPr>
      <w:r>
        <w:t xml:space="preserve">2. Theoretical background and hypotheses</w:t>
      </w:r>
    </w:p>
    <w:bookmarkStart w:id="22" w:name="X055f0d4efc30cda37271786db52834f0a08e0d8"/>
    <w:p>
      <w:pPr>
        <w:pStyle w:val="Heading3"/>
      </w:pPr>
      <w:r>
        <w:t xml:space="preserve">2.1 The institution-contingent I–P relationship</w:t>
      </w:r>
    </w:p>
    <w:p>
      <w:pPr>
        <w:pStyle w:val="FirstParagraph"/>
      </w:pPr>
      <w:r>
        <w:t xml:space="preserve">Three mechanisms generate the inverted-U. On the ascending limb, exporting yields learning-by-internationalization, scale, and market-diversification gains (Johanson &amp; Vahlne, 1977; Lu &amp; Beamish, 2001). On the descending limb, coordination and liability-of-foreignness costs grow convexly with foreign exposure (Contractor et al., 2003; Hitt et al., 1997). The turning point is where marginal costs overtake marginal gains. Institutional quality enters both sides: strong institutions lower cross-border transaction costs (North, 1990; Khanna &amp; Palepu, 2010) and supply a dense ecosystem of trade finance, logistics, and legal services that substitutes for internal coordination. Both forces push the turning point outward; at the limit, the descending limb exits the observable range and the relationship appears linear.</w:t>
      </w:r>
    </w:p>
    <w:p>
      <w:pPr>
        <w:pStyle w:val="BodyText"/>
      </w:pPr>
      <w:r>
        <w:rPr>
          <w:bCs/>
          <w:b/>
        </w:rPr>
        <w:t xml:space="preserve">H1.</w:t>
      </w:r>
      <w:r>
        <w:t xml:space="preserve"> </w:t>
      </w:r>
      <w:r>
        <w:t xml:space="preserve">In Japan, export intensity has a positive and significant linear association with labour productivity; the quadratic term is not significant and the algebraic turning point lies outside the observed range of FSTS.</w:t>
      </w:r>
    </w:p>
    <w:bookmarkEnd w:id="22"/>
    <w:bookmarkStart w:id="23" w:name="Xe4bae5a1c0cd4bff61f5593a6ea5658f3d619ce"/>
    <w:p>
      <w:pPr>
        <w:pStyle w:val="Heading3"/>
      </w:pPr>
      <w:r>
        <w:t xml:space="preserve">2.2 Capabilities as level-shifters at the technological frontier</w:t>
      </w:r>
    </w:p>
    <w:p>
      <w:pPr>
        <w:pStyle w:val="FirstParagraph"/>
      </w:pPr>
      <w:r>
        <w:t xml:space="preserve">The resource-based view treats technological capability as a VRIN resource that raises productivity at every level of internationalization (Barney, 1991; Cohen &amp; Levinthal, 1990; Lall, 1992). In a frontier economy, however, capability differences should shift levels rather than reshape the export-performance curve, because the curve itself is already flat in the relevant range.</w:t>
      </w:r>
    </w:p>
    <w:p>
      <w:pPr>
        <w:pStyle w:val="BodyText"/>
      </w:pPr>
      <w:r>
        <w:rPr>
          <w:bCs/>
          <w:b/>
        </w:rPr>
        <w:t xml:space="preserve">H2.</w:t>
      </w:r>
      <w:r>
        <w:t xml:space="preserve"> </w:t>
      </w:r>
      <w:r>
        <w:t xml:space="preserve">Technological capability (TCI) has a positive level effect on productivity; its interactions with export intensity are not significant.</w:t>
      </w:r>
    </w:p>
    <w:bookmarkEnd w:id="23"/>
    <w:bookmarkStart w:id="24" w:name="digital-adoption-under-tier-1-saturation"/>
    <w:p>
      <w:pPr>
        <w:pStyle w:val="Heading3"/>
      </w:pPr>
      <w:r>
        <w:t xml:space="preserve">2.3 Digital adoption under Tier-1 saturation</w:t>
      </w:r>
    </w:p>
    <w:p>
      <w:pPr>
        <w:pStyle w:val="FirstParagraph"/>
      </w:pPr>
      <w:r>
        <w:t xml:space="preserve">Digital adoption measured as basic web presence is a Tier-1 indicator (Verhoef et al., 2021). Where adoption approaches saturation, the binary indicator loses discriminating power and its marginal premium compresses (a measurement-side</w:t>
      </w:r>
      <w:r>
        <w:t xml:space="preserve"> </w:t>
      </w:r>
      <w:r>
        <w:t xml:space="preserve">“</w:t>
      </w:r>
      <w:r>
        <w:t xml:space="preserve">digital saturation</w:t>
      </w:r>
      <w:r>
        <w:t xml:space="preserve">”</w:t>
      </w:r>
      <w:r>
        <w:t xml:space="preserve"> </w:t>
      </w:r>
      <w:r>
        <w:t xml:space="preserve">effect). Japan’s inaugural wave reports 83.8% website adoption, the highest in the 50-economy pool, so the DAI premium should be positive but modest, and curve-reshaping interactions absent.</w:t>
      </w:r>
    </w:p>
    <w:p>
      <w:pPr>
        <w:pStyle w:val="BodyText"/>
      </w:pPr>
      <w:r>
        <w:rPr>
          <w:bCs/>
          <w:b/>
        </w:rPr>
        <w:t xml:space="preserve">H3.</w:t>
      </w:r>
      <w:r>
        <w:t xml:space="preserve"> </w:t>
      </w:r>
      <w:r>
        <w:t xml:space="preserve">DAI has a positive but modest level effect; FSTS×DAI interactions are not significant.</w:t>
      </w:r>
    </w:p>
    <w:bookmarkEnd w:id="24"/>
    <w:bookmarkEnd w:id="25"/>
    <w:bookmarkStart w:id="29" w:name="data-and-methods"/>
    <w:p>
      <w:pPr>
        <w:pStyle w:val="Heading2"/>
      </w:pPr>
      <w:r>
        <w:t xml:space="preserve">3. Data and methods</w:t>
      </w:r>
    </w:p>
    <w:bookmarkStart w:id="26" w:name="data"/>
    <w:p>
      <w:pPr>
        <w:pStyle w:val="Heading3"/>
      </w:pPr>
      <w:r>
        <w:t xml:space="preserve">3.1 Data</w:t>
      </w:r>
    </w:p>
    <w:p>
      <w:pPr>
        <w:pStyle w:val="FirstParagraph"/>
      </w:pPr>
      <w:r>
        <w:t xml:space="preserve">We use the complete Japan 2025 WBES cross-section (N = 2,168 establishments; 339 harmonised variables; stratified random sampling by sector, size, and region). Non-response codes (−9, −8, −7) are recoded as missing. Summary statistics situate Japan against the other five Advanced innovation-driven economies of the regional pool (Hong Kong SAR, Israel, Korea, Singapore, Taiwan): within-wave productivity dispersion is the narrowest in the entire 50-economy pool (sd of ln productivity 0.89; P90/P10 = 8.3), website adoption the highest (83.8%), mean firm age the oldest (50.4 years versus 23.0), female top management the lowest (7.3% versus 27.5%), and establishment-level export intensity low (mean FSTS 4.1%; 16.5% exporters) despite high R&amp;D incidence (21.9%).</w:t>
      </w:r>
    </w:p>
    <w:bookmarkEnd w:id="26"/>
    <w:bookmarkStart w:id="27" w:name="variables"/>
    <w:p>
      <w:pPr>
        <w:pStyle w:val="Heading3"/>
      </w:pPr>
      <w:r>
        <w:t xml:space="preserve">3.2 Variables</w:t>
      </w:r>
    </w:p>
    <w:p>
      <w:pPr>
        <w:pStyle w:val="FirstParagraph"/>
      </w:pPr>
      <w:r>
        <w:t xml:space="preserve">The dependent variable is ln(annual sales / permanent full-time workers) from fields d2 and l1, winsorised at the 1st/99th percentiles; with a single economy and currency, levels are directly comparable within the sample (Combs et al., 2005; Richard et al., 2009; Cusolito &amp; Maloney, 2018). Export intensity FSTS = (d3b + d3c)/100, direct plus indirect exports as a share of sales, the standard WBES definition used in the companion 50-economy estimation; a direct-exports-only variant (d3c) is used for robustness, following the operationalisation debate on export channels (Hessels &amp; Terjesen, 2010; Peng &amp; Ilinitch, 1998; Sullivan, 1994; Lu &amp; Beamish, 2001). FSTS is mean-centred before squaring. TCI is the standardised mean of R&amp;D incidence (h8), internationally recognised certification (b8), and product innovation (h1); DAI is website presence (c22b). Controls: foreign ownership ≥ 10% (b2b), ln(firm age + 1) from b5, and female top manager (b7a). All models include sector fixed effects (13 strata) and HC1 robust standard errors.</w:t>
      </w:r>
    </w:p>
    <w:bookmarkEnd w:id="27"/>
    <w:bookmarkStart w:id="28" w:name="models"/>
    <w:p>
      <w:pPr>
        <w:pStyle w:val="Heading3"/>
      </w:pPr>
      <w:r>
        <w:t xml:space="preserve">3.3 Models</w:t>
      </w:r>
    </w:p>
    <w:p>
      <w:pPr>
        <w:pStyle w:val="FirstParagraph"/>
      </w:pPr>
      <w:r>
        <w:t xml:space="preserve">A hierarchical sequence: M1 linear FSTS; M2 adds FSTS²; M3 adds controls; M4 adds TCI and DAI; M5 adds FSTS×TCI and FSTS×DAI. The turning point is −β₁/(2β₂) plus the FSTS mean, evaluated only when β₂ &lt; 0; following Lind and Mehlum (2010), an inverted-U additionally requires the turning point to lie within the data support, which is the substantive test of H1.</w:t>
      </w:r>
    </w:p>
    <w:bookmarkEnd w:id="28"/>
    <w:bookmarkEnd w:id="29"/>
    <w:bookmarkStart w:id="31" w:name="results"/>
    <w:p>
      <w:pPr>
        <w:pStyle w:val="Heading2"/>
      </w:pPr>
      <w:r>
        <w:t xml:space="preserve">4. Results</w:t>
      </w:r>
    </w:p>
    <w:bookmarkStart w:id="30" w:name="Xa8e641da3c89e434ca98fd6771f57be58df79a5"/>
    <w:p>
      <w:pPr>
        <w:pStyle w:val="Heading3"/>
      </w:pPr>
      <w:r>
        <w:t xml:space="preserve">Table 1. Hierarchical estimates, Japan 2025 (DV: ln labour productivity)</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pPr>
          </w:p>
        </w:tc>
        <w:tc>
          <w:tcPr/>
          <w:p>
            <w:pPr>
              <w:pStyle w:val="Compact"/>
              <w:jc w:val="right"/>
            </w:pPr>
            <w:r>
              <w:t xml:space="preserve">M1</w:t>
            </w:r>
          </w:p>
        </w:tc>
        <w:tc>
          <w:tcPr/>
          <w:p>
            <w:pPr>
              <w:pStyle w:val="Compact"/>
              <w:jc w:val="right"/>
            </w:pPr>
            <w:r>
              <w:t xml:space="preserve">M2</w:t>
            </w:r>
          </w:p>
        </w:tc>
        <w:tc>
          <w:tcPr/>
          <w:p>
            <w:pPr>
              <w:pStyle w:val="Compact"/>
              <w:jc w:val="right"/>
            </w:pPr>
            <w:r>
              <w:t xml:space="preserve">M3</w:t>
            </w:r>
          </w:p>
        </w:tc>
        <w:tc>
          <w:tcPr/>
          <w:p>
            <w:pPr>
              <w:pStyle w:val="Compact"/>
              <w:jc w:val="right"/>
            </w:pPr>
            <w:r>
              <w:t xml:space="preserve">M4</w:t>
            </w:r>
          </w:p>
        </w:tc>
        <w:tc>
          <w:tcPr/>
          <w:p>
            <w:pPr>
              <w:pStyle w:val="Compact"/>
              <w:jc w:val="right"/>
            </w:pPr>
            <w:r>
              <w:t xml:space="preserve">M5</w:t>
            </w:r>
          </w:p>
        </w:tc>
      </w:tr>
      <w:tr>
        <w:tc>
          <w:tcPr/>
          <w:p>
            <w:pPr>
              <w:pStyle w:val="Compact"/>
              <w:jc w:val="left"/>
            </w:pPr>
            <w:r>
              <w:t xml:space="preserve">FSTS (centred)</w:t>
            </w:r>
          </w:p>
        </w:tc>
        <w:tc>
          <w:tcPr/>
          <w:p>
            <w:pPr>
              <w:pStyle w:val="Compact"/>
              <w:jc w:val="right"/>
            </w:pPr>
            <w:r>
              <w:t xml:space="preserve">+0.671*** (.000)</w:t>
            </w:r>
          </w:p>
        </w:tc>
        <w:tc>
          <w:tcPr/>
          <w:p>
            <w:pPr>
              <w:pStyle w:val="Compact"/>
              <w:jc w:val="right"/>
            </w:pPr>
            <w:r>
              <w:t xml:space="preserve">+1.042** (.002)</w:t>
            </w:r>
          </w:p>
        </w:tc>
        <w:tc>
          <w:tcPr/>
          <w:p>
            <w:pPr>
              <w:pStyle w:val="Compact"/>
              <w:jc w:val="right"/>
            </w:pPr>
            <w:r>
              <w:t xml:space="preserve">+0.872* (.010)</w:t>
            </w:r>
          </w:p>
        </w:tc>
        <w:tc>
          <w:tcPr/>
          <w:p>
            <w:pPr>
              <w:pStyle w:val="Compact"/>
              <w:jc w:val="right"/>
            </w:pPr>
            <w:r>
              <w:t xml:space="preserve">+0.476 (.163)</w:t>
            </w:r>
          </w:p>
        </w:tc>
        <w:tc>
          <w:tcPr/>
          <w:p>
            <w:pPr>
              <w:pStyle w:val="Compact"/>
              <w:jc w:val="right"/>
            </w:pPr>
            <w:r>
              <w:t xml:space="preserve">+0.486 (.372)</w:t>
            </w:r>
          </w:p>
        </w:tc>
      </w:tr>
      <w:tr>
        <w:tc>
          <w:tcPr/>
          <w:p>
            <w:pPr>
              <w:pStyle w:val="Compact"/>
              <w:jc w:val="left"/>
            </w:pPr>
            <w:r>
              <w:t xml:space="preserve">FSTS²</w:t>
            </w:r>
          </w:p>
        </w:tc>
        <w:tc>
          <w:tcPr/>
          <w:p>
            <w:pPr>
              <w:pStyle w:val="Compact"/>
            </w:pPr>
          </w:p>
        </w:tc>
        <w:tc>
          <w:tcPr/>
          <w:p>
            <w:pPr>
              <w:pStyle w:val="Compact"/>
              <w:jc w:val="right"/>
            </w:pPr>
            <w:r>
              <w:t xml:space="preserve">−0.606 (.323)</w:t>
            </w:r>
          </w:p>
        </w:tc>
        <w:tc>
          <w:tcPr/>
          <w:p>
            <w:pPr>
              <w:pStyle w:val="Compact"/>
              <w:jc w:val="right"/>
            </w:pPr>
            <w:r>
              <w:t xml:space="preserve">−0.419 (.502)</w:t>
            </w:r>
          </w:p>
        </w:tc>
        <w:tc>
          <w:tcPr/>
          <w:p>
            <w:pPr>
              <w:pStyle w:val="Compact"/>
              <w:jc w:val="right"/>
            </w:pPr>
            <w:r>
              <w:t xml:space="preserve">−0.009 (.989)</w:t>
            </w:r>
          </w:p>
        </w:tc>
        <w:tc>
          <w:tcPr/>
          <w:p>
            <w:pPr>
              <w:pStyle w:val="Compact"/>
              <w:jc w:val="right"/>
            </w:pPr>
            <w:r>
              <w:t xml:space="preserve">−0.034 (.956)</w:t>
            </w:r>
          </w:p>
        </w:tc>
      </w:tr>
      <w:tr>
        <w:tc>
          <w:tcPr/>
          <w:p>
            <w:pPr>
              <w:pStyle w:val="Compact"/>
              <w:jc w:val="left"/>
            </w:pPr>
            <w:r>
              <w:t xml:space="preserve">Foreign ownership ≥10%</w:t>
            </w:r>
          </w:p>
        </w:tc>
        <w:tc>
          <w:tcPr/>
          <w:p>
            <w:pPr>
              <w:pStyle w:val="Compact"/>
            </w:pPr>
          </w:p>
        </w:tc>
        <w:tc>
          <w:tcPr/>
          <w:p>
            <w:pPr>
              <w:pStyle w:val="Compact"/>
            </w:pPr>
          </w:p>
        </w:tc>
        <w:tc>
          <w:tcPr/>
          <w:p>
            <w:pPr>
              <w:pStyle w:val="Compact"/>
              <w:jc w:val="right"/>
            </w:pPr>
            <w:r>
              <w:t xml:space="preserve">+0.259† (.078)</w:t>
            </w:r>
          </w:p>
        </w:tc>
        <w:tc>
          <w:tcPr/>
          <w:p>
            <w:pPr>
              <w:pStyle w:val="Compact"/>
              <w:jc w:val="right"/>
            </w:pPr>
            <w:r>
              <w:t xml:space="preserve">+0.203 (.164)</w:t>
            </w:r>
          </w:p>
        </w:tc>
        <w:tc>
          <w:tcPr/>
          <w:p>
            <w:pPr>
              <w:pStyle w:val="Compact"/>
              <w:jc w:val="right"/>
            </w:pPr>
            <w:r>
              <w:t xml:space="preserve">+0.210 (.151)</w:t>
            </w:r>
          </w:p>
        </w:tc>
      </w:tr>
      <w:tr>
        <w:tc>
          <w:tcPr/>
          <w:p>
            <w:pPr>
              <w:pStyle w:val="Compact"/>
              <w:jc w:val="left"/>
            </w:pPr>
            <w:r>
              <w:t xml:space="preserve">ln(firm age)</w:t>
            </w:r>
          </w:p>
        </w:tc>
        <w:tc>
          <w:tcPr/>
          <w:p>
            <w:pPr>
              <w:pStyle w:val="Compact"/>
            </w:pPr>
          </w:p>
        </w:tc>
        <w:tc>
          <w:tcPr/>
          <w:p>
            <w:pPr>
              <w:pStyle w:val="Compact"/>
            </w:pPr>
          </w:p>
        </w:tc>
        <w:tc>
          <w:tcPr/>
          <w:p>
            <w:pPr>
              <w:pStyle w:val="Compact"/>
              <w:jc w:val="right"/>
            </w:pPr>
            <w:r>
              <w:t xml:space="preserve">+0.073** (.007)</w:t>
            </w:r>
          </w:p>
        </w:tc>
        <w:tc>
          <w:tcPr/>
          <w:p>
            <w:pPr>
              <w:pStyle w:val="Compact"/>
              <w:jc w:val="right"/>
            </w:pPr>
            <w:r>
              <w:t xml:space="preserve">+0.061* (.027)</w:t>
            </w:r>
          </w:p>
        </w:tc>
        <w:tc>
          <w:tcPr/>
          <w:p>
            <w:pPr>
              <w:pStyle w:val="Compact"/>
              <w:jc w:val="right"/>
            </w:pPr>
            <w:r>
              <w:t xml:space="preserve">+0.063* (.023)</w:t>
            </w:r>
          </w:p>
        </w:tc>
      </w:tr>
      <w:tr>
        <w:tc>
          <w:tcPr/>
          <w:p>
            <w:pPr>
              <w:pStyle w:val="Compact"/>
              <w:jc w:val="left"/>
            </w:pPr>
            <w:r>
              <w:t xml:space="preserve">Female top manager</w:t>
            </w:r>
          </w:p>
        </w:tc>
        <w:tc>
          <w:tcPr/>
          <w:p>
            <w:pPr>
              <w:pStyle w:val="Compact"/>
            </w:pPr>
          </w:p>
        </w:tc>
        <w:tc>
          <w:tcPr/>
          <w:p>
            <w:pPr>
              <w:pStyle w:val="Compact"/>
            </w:pPr>
          </w:p>
        </w:tc>
        <w:tc>
          <w:tcPr/>
          <w:p>
            <w:pPr>
              <w:pStyle w:val="Compact"/>
              <w:jc w:val="right"/>
            </w:pPr>
            <w:r>
              <w:t xml:space="preserve">−0.171* (.010)</w:t>
            </w:r>
          </w:p>
        </w:tc>
        <w:tc>
          <w:tcPr/>
          <w:p>
            <w:pPr>
              <w:pStyle w:val="Compact"/>
              <w:jc w:val="right"/>
            </w:pPr>
            <w:r>
              <w:t xml:space="preserve">−0.170* (.011)</w:t>
            </w:r>
          </w:p>
        </w:tc>
        <w:tc>
          <w:tcPr/>
          <w:p>
            <w:pPr>
              <w:pStyle w:val="Compact"/>
              <w:jc w:val="right"/>
            </w:pPr>
            <w:r>
              <w:t xml:space="preserve">−0.170* (.011)</w:t>
            </w:r>
          </w:p>
        </w:tc>
      </w:tr>
      <w:tr>
        <w:tc>
          <w:tcPr/>
          <w:p>
            <w:pPr>
              <w:pStyle w:val="Compact"/>
              <w:jc w:val="left"/>
            </w:pPr>
            <w:r>
              <w:t xml:space="preserve">TCI (z)</w:t>
            </w:r>
          </w:p>
        </w:tc>
        <w:tc>
          <w:tcPr/>
          <w:p>
            <w:pPr>
              <w:pStyle w:val="Compact"/>
            </w:pPr>
          </w:p>
        </w:tc>
        <w:tc>
          <w:tcPr/>
          <w:p>
            <w:pPr>
              <w:pStyle w:val="Compact"/>
            </w:pPr>
          </w:p>
        </w:tc>
        <w:tc>
          <w:tcPr/>
          <w:p>
            <w:pPr>
              <w:pStyle w:val="Compact"/>
            </w:pPr>
          </w:p>
        </w:tc>
        <w:tc>
          <w:tcPr/>
          <w:p>
            <w:pPr>
              <w:pStyle w:val="Compact"/>
              <w:jc w:val="right"/>
            </w:pPr>
            <w:r>
              <w:t xml:space="preserve">+0.100*** (.000)</w:t>
            </w:r>
          </w:p>
        </w:tc>
        <w:tc>
          <w:tcPr/>
          <w:p>
            <w:pPr>
              <w:pStyle w:val="Compact"/>
              <w:jc w:val="right"/>
            </w:pPr>
            <w:r>
              <w:t xml:space="preserve">+0.102*** (.000)</w:t>
            </w:r>
          </w:p>
        </w:tc>
      </w:tr>
      <w:tr>
        <w:tc>
          <w:tcPr/>
          <w:p>
            <w:pPr>
              <w:pStyle w:val="Compact"/>
              <w:jc w:val="left"/>
            </w:pPr>
            <w:r>
              <w:t xml:space="preserve">DAI (website)</w:t>
            </w:r>
          </w:p>
        </w:tc>
        <w:tc>
          <w:tcPr/>
          <w:p>
            <w:pPr>
              <w:pStyle w:val="Compact"/>
            </w:pPr>
          </w:p>
        </w:tc>
        <w:tc>
          <w:tcPr/>
          <w:p>
            <w:pPr>
              <w:pStyle w:val="Compact"/>
            </w:pPr>
          </w:p>
        </w:tc>
        <w:tc>
          <w:tcPr/>
          <w:p>
            <w:pPr>
              <w:pStyle w:val="Compact"/>
            </w:pPr>
          </w:p>
        </w:tc>
        <w:tc>
          <w:tcPr/>
          <w:p>
            <w:pPr>
              <w:pStyle w:val="Compact"/>
              <w:jc w:val="right"/>
            </w:pPr>
            <w:r>
              <w:t xml:space="preserve">+0.110* (.028)</w:t>
            </w:r>
          </w:p>
        </w:tc>
        <w:tc>
          <w:tcPr/>
          <w:p>
            <w:pPr>
              <w:pStyle w:val="Compact"/>
              <w:jc w:val="right"/>
            </w:pPr>
            <w:r>
              <w:t xml:space="preserve">+0.111* (.027)</w:t>
            </w:r>
          </w:p>
        </w:tc>
      </w:tr>
      <w:tr>
        <w:tc>
          <w:tcPr/>
          <w:p>
            <w:pPr>
              <w:pStyle w:val="Compact"/>
              <w:jc w:val="left"/>
            </w:pPr>
            <w:r>
              <w:t xml:space="preserve">FSTS×TCI</w:t>
            </w:r>
          </w:p>
        </w:tc>
        <w:tc>
          <w:tcPr/>
          <w:p>
            <w:pPr>
              <w:pStyle w:val="Compact"/>
            </w:pPr>
          </w:p>
        </w:tc>
        <w:tc>
          <w:tcPr/>
          <w:p>
            <w:pPr>
              <w:pStyle w:val="Compact"/>
            </w:pPr>
          </w:p>
        </w:tc>
        <w:tc>
          <w:tcPr/>
          <w:p>
            <w:pPr>
              <w:pStyle w:val="Compact"/>
            </w:pPr>
          </w:p>
        </w:tc>
        <w:tc>
          <w:tcPr/>
          <w:p>
            <w:pPr>
              <w:pStyle w:val="Compact"/>
            </w:pPr>
          </w:p>
        </w:tc>
        <w:tc>
          <w:tcPr/>
          <w:p>
            <w:pPr>
              <w:pStyle w:val="Compact"/>
              <w:jc w:val="right"/>
            </w:pPr>
            <w:r>
              <w:t xml:space="preserve">−0.126 (.328)</w:t>
            </w:r>
          </w:p>
        </w:tc>
      </w:tr>
      <w:tr>
        <w:tc>
          <w:tcPr/>
          <w:p>
            <w:pPr>
              <w:pStyle w:val="Compact"/>
              <w:jc w:val="left"/>
            </w:pPr>
            <w:r>
              <w:t xml:space="preserve">FSTS×DAI</w:t>
            </w:r>
          </w:p>
        </w:tc>
        <w:tc>
          <w:tcPr/>
          <w:p>
            <w:pPr>
              <w:pStyle w:val="Compact"/>
            </w:pPr>
          </w:p>
        </w:tc>
        <w:tc>
          <w:tcPr/>
          <w:p>
            <w:pPr>
              <w:pStyle w:val="Compact"/>
            </w:pPr>
          </w:p>
        </w:tc>
        <w:tc>
          <w:tcPr/>
          <w:p>
            <w:pPr>
              <w:pStyle w:val="Compact"/>
            </w:pPr>
          </w:p>
        </w:tc>
        <w:tc>
          <w:tcPr/>
          <w:p>
            <w:pPr>
              <w:pStyle w:val="Compact"/>
            </w:pPr>
          </w:p>
        </w:tc>
        <w:tc>
          <w:tcPr/>
          <w:p>
            <w:pPr>
              <w:pStyle w:val="Compact"/>
              <w:jc w:val="right"/>
            </w:pPr>
            <w:r>
              <w:t xml:space="preserve">+0.111 (.820)</w:t>
            </w:r>
          </w:p>
        </w:tc>
      </w:tr>
      <w:tr>
        <w:tc>
          <w:tcPr/>
          <w:p>
            <w:pPr>
              <w:pStyle w:val="Compact"/>
              <w:jc w:val="left"/>
            </w:pPr>
            <w:r>
              <w:t xml:space="preserve">Sector FE</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yes</w:t>
            </w:r>
          </w:p>
        </w:tc>
      </w:tr>
      <w:tr>
        <w:tc>
          <w:tcPr/>
          <w:p>
            <w:pPr>
              <w:pStyle w:val="Compact"/>
              <w:jc w:val="left"/>
            </w:pPr>
            <w:r>
              <w:t xml:space="preserve">N</w:t>
            </w:r>
          </w:p>
        </w:tc>
        <w:tc>
          <w:tcPr/>
          <w:p>
            <w:pPr>
              <w:pStyle w:val="Compact"/>
              <w:jc w:val="right"/>
            </w:pPr>
            <w:r>
              <w:t xml:space="preserve">2,047</w:t>
            </w:r>
          </w:p>
        </w:tc>
        <w:tc>
          <w:tcPr/>
          <w:p>
            <w:pPr>
              <w:pStyle w:val="Compact"/>
              <w:jc w:val="right"/>
            </w:pPr>
            <w:r>
              <w:t xml:space="preserve">2,047</w:t>
            </w:r>
          </w:p>
        </w:tc>
        <w:tc>
          <w:tcPr/>
          <w:p>
            <w:pPr>
              <w:pStyle w:val="Compact"/>
              <w:jc w:val="right"/>
            </w:pPr>
            <w:r>
              <w:t xml:space="preserve">2,011</w:t>
            </w:r>
          </w:p>
        </w:tc>
        <w:tc>
          <w:tcPr/>
          <w:p>
            <w:pPr>
              <w:pStyle w:val="Compact"/>
              <w:jc w:val="right"/>
            </w:pPr>
            <w:r>
              <w:t xml:space="preserve">1,996</w:t>
            </w:r>
          </w:p>
        </w:tc>
        <w:tc>
          <w:tcPr/>
          <w:p>
            <w:pPr>
              <w:pStyle w:val="Compact"/>
              <w:jc w:val="right"/>
            </w:pPr>
            <w:r>
              <w:t xml:space="preserve">1,996</w:t>
            </w:r>
          </w:p>
        </w:tc>
      </w:tr>
      <w:tr>
        <w:tc>
          <w:tcPr/>
          <w:p>
            <w:pPr>
              <w:pStyle w:val="Compact"/>
              <w:jc w:val="left"/>
            </w:pPr>
            <w:r>
              <w:t xml:space="preserve">R²</w:t>
            </w:r>
          </w:p>
        </w:tc>
        <w:tc>
          <w:tcPr/>
          <w:p>
            <w:pPr>
              <w:pStyle w:val="Compact"/>
              <w:jc w:val="right"/>
            </w:pPr>
            <w:r>
              <w:t xml:space="preserve">.140</w:t>
            </w:r>
          </w:p>
        </w:tc>
        <w:tc>
          <w:tcPr/>
          <w:p>
            <w:pPr>
              <w:pStyle w:val="Compact"/>
              <w:jc w:val="right"/>
            </w:pPr>
            <w:r>
              <w:t xml:space="preserve">.141</w:t>
            </w:r>
          </w:p>
        </w:tc>
        <w:tc>
          <w:tcPr/>
          <w:p>
            <w:pPr>
              <w:pStyle w:val="Compact"/>
              <w:jc w:val="right"/>
            </w:pPr>
            <w:r>
              <w:t xml:space="preserve">.147</w:t>
            </w:r>
          </w:p>
        </w:tc>
        <w:tc>
          <w:tcPr/>
          <w:p>
            <w:pPr>
              <w:pStyle w:val="Compact"/>
              <w:jc w:val="right"/>
            </w:pPr>
            <w:r>
              <w:t xml:space="preserve">.162</w:t>
            </w:r>
          </w:p>
        </w:tc>
        <w:tc>
          <w:tcPr/>
          <w:p>
            <w:pPr>
              <w:pStyle w:val="Compact"/>
              <w:jc w:val="right"/>
            </w:pPr>
            <w:r>
              <w:t xml:space="preserve">.163</w:t>
            </w:r>
          </w:p>
        </w:tc>
      </w:tr>
      <w:tr>
        <w:tc>
          <w:tcPr/>
          <w:p>
            <w:pPr>
              <w:pStyle w:val="Compact"/>
              <w:jc w:val="left"/>
            </w:pPr>
            <w:r>
              <w:t xml:space="preserve">Algebraic TP</w:t>
            </w:r>
          </w:p>
        </w:tc>
        <w:tc>
          <w:tcPr/>
          <w:p>
            <w:pPr>
              <w:pStyle w:val="Compact"/>
              <w:jc w:val="right"/>
            </w:pPr>
            <w:r>
              <w:t xml:space="preserve">—</w:t>
            </w:r>
          </w:p>
        </w:tc>
        <w:tc>
          <w:tcPr/>
          <w:p>
            <w:pPr>
              <w:pStyle w:val="Compact"/>
              <w:jc w:val="right"/>
            </w:pPr>
            <w:r>
              <w:t xml:space="preserve">[90.1%]</w:t>
            </w:r>
          </w:p>
        </w:tc>
        <w:tc>
          <w:tcPr/>
          <w:p>
            <w:pPr>
              <w:pStyle w:val="Compact"/>
              <w:jc w:val="right"/>
            </w:pPr>
            <w:r>
              <w:t xml:space="preserve">[108.3%]</w:t>
            </w:r>
          </w:p>
        </w:tc>
        <w:tc>
          <w:tcPr/>
          <w:p>
            <w:pPr>
              <w:pStyle w:val="Compact"/>
              <w:jc w:val="right"/>
            </w:pPr>
            <w:r>
              <w:t xml:space="preserve">—</w:t>
            </w:r>
          </w:p>
        </w:tc>
        <w:tc>
          <w:tcPr/>
          <w:p>
            <w:pPr>
              <w:pStyle w:val="Compact"/>
              <w:jc w:val="right"/>
            </w:pPr>
            <w:r>
              <w:t xml:space="preserve">—</w:t>
            </w:r>
          </w:p>
        </w:tc>
      </w:tr>
    </w:tbl>
    <w:p>
      <w:pPr>
        <w:pStyle w:val="BodyText"/>
      </w:pPr>
      <w:r>
        <w:rPr>
          <w:iCs/>
          <w:i/>
        </w:rPr>
        <w:t xml:space="preserve">Notes:</w:t>
      </w:r>
      <w:r>
        <w:t xml:space="preserve"> </w:t>
      </w:r>
      <w:r>
        <w:t xml:space="preserve">HC1 robust standard errors; p-values in parentheses. † p &lt; .10, * p &lt; .05, ** p &lt; .01, *** p &lt; .001. Turning points in brackets are algebraic only; in no specification is the quadratic term significant, so no inverted-U is confirmed (Lind &amp; Mehlum, 2010). Robustness with direct exports only (d3c): β₁ = +1.255** (p = .010), β₂ = −0.674 (p = .445), same conclusion. Replication:</w:t>
      </w:r>
      <w:r>
        <w:t xml:space="preserve"> </w:t>
      </w:r>
      <w:r>
        <w:rPr>
          <w:rStyle w:val="VerbatimChar"/>
        </w:rPr>
        <w:t xml:space="preserve">p10_japan/replication/p10_japan_models.py</w:t>
      </w:r>
      <w:r>
        <w:t xml:space="preserve">.</w:t>
      </w:r>
    </w:p>
    <w:p>
      <w:pPr>
        <w:pStyle w:val="BodyText"/>
      </w:pPr>
      <w:r>
        <w:rPr>
          <w:bCs/>
          <w:b/>
        </w:rPr>
        <w:t xml:space="preserve">H1 supported.</w:t>
      </w:r>
      <w:r>
        <w:t xml:space="preserve"> </w:t>
      </w:r>
      <w:r>
        <w:t xml:space="preserve">The linear effect is positive and highly significant; the quadratic term never approaches significance; the algebraic turning point (90–108% of sales) lies far outside the observed FSTS support (mean 4.1%; 16.5% exporters). Within the observable range, internationalization is monotonically performance-enhancing: Japan sits on a long ascending limb whose descending counterpart is empirically absent. This mirrors the Singapore single-economy result (turning point ≈ 88.6%, not reliably located) and the group-level finding for the Advanced innovation-driven regime in the companion 50-economy estimation.</w:t>
      </w:r>
    </w:p>
    <w:p>
      <w:pPr>
        <w:pStyle w:val="BodyText"/>
      </w:pPr>
      <w:r>
        <w:rPr>
          <w:bCs/>
          <w:b/>
        </w:rPr>
        <w:t xml:space="preserve">H2 supported.</w:t>
      </w:r>
      <w:r>
        <w:t xml:space="preserve"> </w:t>
      </w:r>
      <w:r>
        <w:t xml:space="preserve">TCI carries a precise positive level effect (+0.100, p &lt; .001) and absorbs much of the raw FSTS effect when introduced (M4), consistent with capability-based selection into exporting; its interactions are not significant. Capability raises the floor; it does not bend the curve.</w:t>
      </w:r>
    </w:p>
    <w:p>
      <w:pPr>
        <w:pStyle w:val="BodyText"/>
      </w:pPr>
      <w:r>
        <w:rPr>
          <w:bCs/>
          <w:b/>
        </w:rPr>
        <w:t xml:space="preserve">H3 supported.</w:t>
      </w:r>
      <w:r>
        <w:t xml:space="preserve"> </w:t>
      </w:r>
      <w:r>
        <w:t xml:space="preserve">DAI retains a modest positive premium (+0.110, p = .028) despite 83.8% saturation, and no curve-reshaping interaction. The premium is about half the size found in the pooled 50-economy estimation (+0.201), exactly the compression that Tier-1 saturation predicts.</w:t>
      </w:r>
    </w:p>
    <w:p>
      <w:pPr>
        <w:pStyle w:val="BodyText"/>
      </w:pPr>
      <w:r>
        <w:rPr>
          <w:bCs/>
          <w:b/>
        </w:rPr>
        <w:t xml:space="preserve">Japan-specific regularities.</w:t>
      </w:r>
      <w:r>
        <w:t xml:space="preserve"> </w:t>
      </w:r>
      <w:r>
        <w:t xml:space="preserve">First, a longevity premium: each log-unit of firm age adds about 7% productivity, notable in the economy with the pool’s oldest firms (mean 50.4 years) and consistent with the</w:t>
      </w:r>
      <w:r>
        <w:t xml:space="preserve"> </w:t>
      </w:r>
      <w:r>
        <w:rPr>
          <w:iCs/>
          <w:i/>
        </w:rPr>
        <w:t xml:space="preserve">shinise</w:t>
      </w:r>
      <w:r>
        <w:t xml:space="preserve"> </w:t>
      </w:r>
      <w:r>
        <w:t xml:space="preserve">tradition of long-lived firms accumulating relational and reputational capital. Second, the female-top-manager coefficient is negative (−0.170, p = .010) in the economy with the region’s lowest female-leadership share (7.3% versus the East Asia and Pacific lead of 33.4%): with so narrow a margin of female leadership, selection into low-margin, labour-intensive niches is the most plausible reading, and the coefficient should not be interpreted causally.</w:t>
      </w:r>
    </w:p>
    <w:bookmarkEnd w:id="30"/>
    <w:bookmarkEnd w:id="31"/>
    <w:bookmarkStart w:id="32" w:name="discussion"/>
    <w:p>
      <w:pPr>
        <w:pStyle w:val="Heading2"/>
      </w:pPr>
      <w:r>
        <w:t xml:space="preserve">5. Discussion</w:t>
      </w:r>
    </w:p>
    <w:p>
      <w:pPr>
        <w:pStyle w:val="FirstParagraph"/>
      </w:pPr>
      <w:r>
        <w:t xml:space="preserve">The Japan results complete a three-zone picture of the institution-contingent I–P relationship that emerges across the 50-economy region. In the middle of the institutional gradient, the inverted-U is sharp and reliably located (the lower-middle transition regime: turning point 43.0%, p &lt; .001; Vietnam 39–46%; India 40.7% in 2022). At the upper bound, in Japan as in Singapore and in the Advanced innovation-driven regime as a group, the curve straightens: the within-range relationship is monotonically positive and no harmful threshold is observable. At the lower bound, the relationship dissolves into insignificance, and in the Pacific small-island group it reverses under a level-based specification (the Forced Internationalization Penalty). Japan supplies the cleanest upper-bound observation of this family of curves, on an inaugural survey wave free of any panel attrition or schema-change artefacts.</w:t>
      </w:r>
    </w:p>
    <w:p>
      <w:pPr>
        <w:pStyle w:val="BodyText"/>
      </w:pPr>
      <w:r>
        <w:t xml:space="preserve">Two qualifications discipline the interpretation. First, this is a single cross-section: the estimates are associations conditioned on sector fixed effects, not causal effects; capability-based selection into exporting is part of what M4 reveals, not a nuisance to be assumed away. Second, the low establishment-level export intensity (4.1%) reflects the structure of Japanese internationalization, which is concentrated in large multinational enterprises and conducted substantially through outward FDI rather than establishment-level exporting; the WBES establishment frame therefore captures the domestic-economy margin of internationalization, which is precisely the margin where the upper-bound prediction operates.</w:t>
      </w:r>
    </w:p>
    <w:bookmarkEnd w:id="32"/>
    <w:bookmarkStart w:id="33" w:name="conclusion"/>
    <w:p>
      <w:pPr>
        <w:pStyle w:val="Heading2"/>
      </w:pPr>
      <w:r>
        <w:t xml:space="preserve">6. Conclusion</w:t>
      </w:r>
    </w:p>
    <w:p>
      <w:pPr>
        <w:pStyle w:val="FirstParagraph"/>
      </w:pPr>
      <w:r>
        <w:t xml:space="preserve">Using Japan’s first-ever World Bank Enterprise Survey, we show that at the upper bound of the institutional gradient the internationalization–performance relationship is monotonically positive within the observable range, with no statistically detectable turning point; technological capability and digital adoption raise productivity levels without reshaping the curve; and firm longevity carries a measurable premium while the female-leadership margin remains strikingly thin. For theory, the result closes the upper end of the three-zone, institution-contingent reading of the I–P relationship. For policy, it implies that in frontier institutional contexts the binding constraint on internationalization gains is not a harmful threshold to be avoided but the breadth of participation, only one in six establishments exports at all, and the capability floor that supports it.</w:t>
      </w:r>
    </w:p>
    <w:bookmarkEnd w:id="33"/>
    <w:bookmarkStart w:id="34" w:name="references"/>
    <w:p>
      <w:pPr>
        <w:pStyle w:val="Heading2"/>
      </w:pPr>
      <w:r>
        <w:t xml:space="preserve">References</w:t>
      </w:r>
    </w:p>
    <w:p>
      <w:pPr>
        <w:pStyle w:val="FirstParagraph"/>
      </w:pPr>
      <w:r>
        <w:t xml:space="preserve">Barney, J. (1991). Firm resources and sustained competitive advantage.</w:t>
      </w:r>
      <w:r>
        <w:t xml:space="preserve"> </w:t>
      </w:r>
      <w:r>
        <w:rPr>
          <w:iCs/>
          <w:i/>
        </w:rPr>
        <w:t xml:space="preserve">Journal of Management, 17</w:t>
      </w:r>
      <w:r>
        <w:t xml:space="preserve">(1), 99–120.</w:t>
      </w:r>
    </w:p>
    <w:p>
      <w:pPr>
        <w:pStyle w:val="BodyText"/>
      </w:pPr>
      <w:r>
        <w:t xml:space="preserve">Bausch, A., &amp; Krist, M. (2007). The effect of context-related moderators on the internationalization–performance relationship.</w:t>
      </w:r>
      <w:r>
        <w:t xml:space="preserve"> </w:t>
      </w:r>
      <w:r>
        <w:rPr>
          <w:iCs/>
          <w:i/>
        </w:rPr>
        <w:t xml:space="preserve">Management International Review, 47</w:t>
      </w:r>
      <w:r>
        <w:t xml:space="preserve">(3), 319–347.</w:t>
      </w:r>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w:t>
      </w:r>
    </w:p>
    <w:p>
      <w:pPr>
        <w:pStyle w:val="BodyText"/>
      </w:pPr>
      <w:r>
        <w:t xml:space="preserve">Combs, J. G., Crook, T. R., &amp; Shook, C. L. (2005). The dimensionality of organizational performance and its implications for strategic management research. In D. J. Ketchen &amp; D. D. Bergh (Eds.),</w:t>
      </w:r>
      <w:r>
        <w:t xml:space="preserve"> </w:t>
      </w:r>
      <w:r>
        <w:rPr>
          <w:iCs/>
          <w:i/>
        </w:rPr>
        <w:t xml:space="preserve">Research methodology in strategy and management</w:t>
      </w:r>
      <w:r>
        <w:t xml:space="preserve"> </w:t>
      </w:r>
      <w:r>
        <w:t xml:space="preserve">(Vol. 2, pp. 259–286). Emerald.</w:t>
      </w:r>
    </w:p>
    <w:p>
      <w:pPr>
        <w:pStyle w:val="BodyText"/>
      </w:pPr>
      <w:r>
        <w:t xml:space="preserve">Contractor, F. J., Kundu, S. K., &amp; Hsu, C.-C. (2003). A three-stage theory of international expansion.</w:t>
      </w:r>
      <w:r>
        <w:t xml:space="preserve"> </w:t>
      </w:r>
      <w:r>
        <w:rPr>
          <w:iCs/>
          <w:i/>
        </w:rPr>
        <w:t xml:space="preserve">Journal of International Business Studies, 34</w:t>
      </w:r>
      <w:r>
        <w:t xml:space="preserve">(1), 5–18.</w:t>
      </w:r>
    </w:p>
    <w:p>
      <w:pPr>
        <w:pStyle w:val="BodyText"/>
      </w:pPr>
      <w:r>
        <w:t xml:space="preserve">Cusolito, A. P., &amp; Maloney, W. F. (2018).</w:t>
      </w:r>
      <w:r>
        <w:t xml:space="preserve"> </w:t>
      </w:r>
      <w:r>
        <w:rPr>
          <w:iCs/>
          <w:i/>
        </w:rPr>
        <w:t xml:space="preserve">Productivity revisited: Shifting paradigms in analysis and policy</w:t>
      </w:r>
      <w:r>
        <w:t xml:space="preserve">. World Bank.</w:t>
      </w:r>
    </w:p>
    <w:p>
      <w:pPr>
        <w:pStyle w:val="BodyText"/>
      </w:pPr>
      <w:r>
        <w:t xml:space="preserve">Hessels, J., &amp; Terjesen, S. (2010). Resource dependency and institutional theory perspectives on direct and indirect export choices.</w:t>
      </w:r>
      <w:r>
        <w:t xml:space="preserve"> </w:t>
      </w:r>
      <w:r>
        <w:rPr>
          <w:iCs/>
          <w:i/>
        </w:rPr>
        <w:t xml:space="preserve">Small Business Economics, 34</w:t>
      </w:r>
      <w:r>
        <w:t xml:space="preserve">(2), 203–220.</w:t>
      </w:r>
    </w:p>
    <w:p>
      <w:pPr>
        <w:pStyle w:val="BodyText"/>
      </w:pPr>
      <w:r>
        <w:t xml:space="preserve">Hitt, M. A., Hoskisson, R. E., &amp; Kim, H. (1997). International diversification: Effects on innovation and firm performance.</w:t>
      </w:r>
      <w:r>
        <w:t xml:space="preserve"> </w:t>
      </w:r>
      <w:r>
        <w:rPr>
          <w:iCs/>
          <w:i/>
        </w:rPr>
        <w:t xml:space="preserve">Academy of Management Journal, 40</w:t>
      </w:r>
      <w:r>
        <w:t xml:space="preserve">(4), 767–798.</w:t>
      </w:r>
    </w:p>
    <w:p>
      <w:pPr>
        <w:pStyle w:val="BodyText"/>
      </w:pPr>
      <w:r>
        <w:t xml:space="preserve">Johanson, J., &amp; Vahlne, J.-E. (1977). The internationalization process of the firm.</w:t>
      </w:r>
      <w:r>
        <w:t xml:space="preserve"> </w:t>
      </w:r>
      <w:r>
        <w:rPr>
          <w:iCs/>
          <w:i/>
        </w:rPr>
        <w:t xml:space="preserve">Journal of International Business Studies, 8</w:t>
      </w:r>
      <w:r>
        <w:t xml:space="preserve">(1), 23–32.</w:t>
      </w:r>
    </w:p>
    <w:p>
      <w:pPr>
        <w:pStyle w:val="BodyText"/>
      </w:pPr>
      <w:r>
        <w:t xml:space="preserve">Khanna, T., &amp; Palepu, K. G. (2010).</w:t>
      </w:r>
      <w:r>
        <w:t xml:space="preserve"> </w:t>
      </w:r>
      <w:r>
        <w:rPr>
          <w:iCs/>
          <w:i/>
        </w:rPr>
        <w:t xml:space="preserve">Winning in emerging markets: A road map for strategy and execution</w:t>
      </w:r>
      <w:r>
        <w:t xml:space="preserve">. Harvard Business Press.</w:t>
      </w:r>
    </w:p>
    <w:p>
      <w:pPr>
        <w:pStyle w:val="BodyText"/>
      </w:pPr>
      <w:r>
        <w:t xml:space="preserve">Kirca, A. H., Hult, G. T. M., Deligonul, S., Perryy, M. Z., &amp; Cavusgil, S. T. (2012). A multilevel examination of the drivers of firm multinationality.</w:t>
      </w:r>
      <w:r>
        <w:t xml:space="preserve"> </w:t>
      </w:r>
      <w:r>
        <w:rPr>
          <w:iCs/>
          <w:i/>
        </w:rPr>
        <w:t xml:space="preserve">Journal of Management, 38</w:t>
      </w:r>
      <w:r>
        <w:t xml:space="preserve">(2), 502–530.</w:t>
      </w:r>
    </w:p>
    <w:p>
      <w:pPr>
        <w:pStyle w:val="BodyText"/>
      </w:pPr>
      <w:r>
        <w:t xml:space="preserve">Lall, S. (1992). Technological capabilities and industrialization.</w:t>
      </w:r>
      <w:r>
        <w:t xml:space="preserve"> </w:t>
      </w:r>
      <w:r>
        <w:rPr>
          <w:iCs/>
          <w:i/>
        </w:rPr>
        <w:t xml:space="preserve">World Development, 20</w:t>
      </w:r>
      <w:r>
        <w:t xml:space="preserve">(2), 165–186.</w:t>
      </w:r>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w:t>
      </w:r>
    </w:p>
    <w:p>
      <w:pPr>
        <w:pStyle w:val="BodyText"/>
      </w:pPr>
      <w:r>
        <w:t xml:space="preserve">Lu, J. W., &amp; Beamish, P. W. (2001). The internationalization and performance of SMEs.</w:t>
      </w:r>
      <w:r>
        <w:t xml:space="preserve"> </w:t>
      </w:r>
      <w:r>
        <w:rPr>
          <w:iCs/>
          <w:i/>
        </w:rPr>
        <w:t xml:space="preserve">Strategic Management Journal, 22</w:t>
      </w:r>
      <w:r>
        <w:t xml:space="preserve">(6–7), 565–586.</w:t>
      </w:r>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w:t>
      </w:r>
    </w:p>
    <w:p>
      <w:pPr>
        <w:pStyle w:val="BodyText"/>
      </w:pP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w:t>
      </w:r>
    </w:p>
    <w:p>
      <w:pPr>
        <w:pStyle w:val="BodyText"/>
      </w:pPr>
      <w:r>
        <w:t xml:space="preserve">North, D. C. (1990).</w:t>
      </w:r>
      <w:r>
        <w:t xml:space="preserve"> </w:t>
      </w:r>
      <w:r>
        <w:rPr>
          <w:iCs/>
          <w:i/>
        </w:rPr>
        <w:t xml:space="preserve">Institutions, institutional change and economic performance</w:t>
      </w:r>
      <w:r>
        <w:t xml:space="preserve">. Cambridge University Press.</w:t>
      </w:r>
    </w:p>
    <w:p>
      <w:pPr>
        <w:pStyle w:val="BodyText"/>
      </w:pPr>
      <w:r>
        <w:t xml:space="preserve">Peng, M. W., &amp; Ilinitch, A. Y. (1998). Export intermediary firms: A note on export development research.</w:t>
      </w:r>
      <w:r>
        <w:t xml:space="preserve"> </w:t>
      </w:r>
      <w:r>
        <w:rPr>
          <w:iCs/>
          <w:i/>
        </w:rPr>
        <w:t xml:space="preserve">Journal of International Business Studies, 29</w:t>
      </w:r>
      <w:r>
        <w:t xml:space="preserve">(3), 609–620.</w:t>
      </w:r>
    </w:p>
    <w:p>
      <w:pPr>
        <w:pStyle w:val="BodyText"/>
      </w:pPr>
      <w:r>
        <w:t xml:space="preserve">Richard, P. J., Devinney, T. M., Yip, G. S., &amp; Johnson, G. (2009). Measuring organizational performance: Towards methodological best practice.</w:t>
      </w:r>
      <w:r>
        <w:t xml:space="preserve"> </w:t>
      </w:r>
      <w:r>
        <w:rPr>
          <w:iCs/>
          <w:i/>
        </w:rPr>
        <w:t xml:space="preserve">Journal of Management, 35</w:t>
      </w:r>
      <w:r>
        <w:t xml:space="preserve">(3), 718–804.</w:t>
      </w:r>
    </w:p>
    <w:p>
      <w:pPr>
        <w:pStyle w:val="BodyText"/>
      </w:pPr>
      <w:r>
        <w:t xml:space="preserve">Sullivan, D. (1994). Measuring the degree of internationalization of a firm.</w:t>
      </w:r>
      <w:r>
        <w:t xml:space="preserve"> </w:t>
      </w:r>
      <w:r>
        <w:rPr>
          <w:iCs/>
          <w:i/>
        </w:rPr>
        <w:t xml:space="preserve">Journal of International Business Studies, 25</w:t>
      </w:r>
      <w:r>
        <w:t xml:space="preserve">(2), 325–342.</w:t>
      </w:r>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w:t>
      </w:r>
    </w:p>
    <w:p>
      <w:pPr>
        <w:pStyle w:val="BodyText"/>
      </w:pPr>
      <w:r>
        <w:t xml:space="preserve">World Bank. (2026).</w:t>
      </w:r>
      <w:r>
        <w:t xml:space="preserve"> </w:t>
      </w:r>
      <w:r>
        <w:rPr>
          <w:iCs/>
          <w:i/>
        </w:rPr>
        <w:t xml:space="preserve">Japan 2025 Enterprise Surveys</w:t>
      </w:r>
      <w:r>
        <w:t xml:space="preserve"> </w:t>
      </w:r>
      <w:r>
        <w:t xml:space="preserve">[Data file]. World Bank Enterprise Surveys.</w:t>
      </w:r>
    </w:p>
    <w:bookmarkEnd w:id="34"/>
    <w:bookmarkEnd w:id="35"/>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2026-06-12T18:11:18Z</dcterms:created>
  <dcterms:modified xsi:type="dcterms:W3CDTF">2026-06-12T18:11:18Z</dcterms:modified>
</cp:coreProperties>
</file>

<file path=docProps/custom.xml><?xml version="1.0" encoding="utf-8"?>
<Properties xmlns="http://schemas.openxmlformats.org/officeDocument/2006/custom-properties" xmlns:vt="http://schemas.openxmlformats.org/officeDocument/2006/docPropsVTypes"/>
</file>