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d51129b6e0a16d1f43d86d86dc205941b6f479"/>
    <w:p>
      <w:pPr>
        <w:pStyle w:val="Heading1"/>
      </w:pPr>
      <w:r>
        <w:t xml:space="preserve">At the Upper Bound of the Institutional Gradient: Internationalization and Firm Performance in Japan’s Inaugural World Bank Enterprise Survey</w:t>
      </w:r>
    </w:p>
    <w:p>
      <w:pPr>
        <w:pStyle w:val="FirstParagraph"/>
      </w:pPr>
      <w:r>
        <w:rPr>
          <w:bCs/>
          <w:b/>
        </w:rPr>
        <w:t xml:space="preserve">Đỗ Thùy Hương</w:t>
      </w:r>
      <w:r>
        <w:t xml:space="preserve">¹ ²</w:t>
      </w:r>
      <w:r>
        <w:t xml:space="preserve"> </w:t>
      </w:r>
      <w:r>
        <w:rPr>
          <w:bCs/>
          <w:b/>
        </w:rPr>
        <w:t xml:space="preserve">Phan Anh Tú</w:t>
      </w:r>
      <w:r>
        <w:t xml:space="preserve">²</w:t>
      </w:r>
    </w:p>
    <w:p>
      <w:pPr>
        <w:pStyle w:val="BodyText"/>
      </w:pPr>
      <w:r>
        <w:t xml:space="preserve">¹ Vinh Long University of Technology Education (VLUTE), Vinh Long, Viet Nam</w:t>
      </w:r>
      <w:r>
        <w:t xml:space="preserve"> </w:t>
      </w:r>
      <w:r>
        <w:t xml:space="preserve">² School of Economics, Can Tho University (CTU), Can Tho, Viet Nam</w:t>
      </w:r>
    </w:p>
    <w:p>
      <w:pPr>
        <w:pStyle w:val="BodyText"/>
      </w:pPr>
      <w:r>
        <w:rPr>
          <w:bCs/>
          <w:b/>
        </w:rPr>
        <w:t xml:space="preserve">Corresponding author:</w:t>
      </w:r>
      <w:r>
        <w:t xml:space="preserve"> </w:t>
      </w:r>
      <w:r>
        <w:t xml:space="preserve">Đỗ Thùy Hương — huongdt@vlute.edu.vn</w:t>
      </w:r>
    </w:p>
    <w:p>
      <w:pPr>
        <w:pStyle w:val="BodyText"/>
      </w:pPr>
      <w:r>
        <w:rPr>
          <w:bCs/>
          <w:b/>
        </w:rPr>
        <w:t xml:space="preserve">Acknowledgements:</w:t>
      </w:r>
      <w:r>
        <w:t xml:space="preserve"> </w:t>
      </w:r>
      <w:r>
        <w:t xml:space="preserve">This study is part of the corresponding author’s doctoral</w:t>
      </w:r>
      <w:r>
        <w:t xml:space="preserve"> </w:t>
      </w:r>
      <w:r>
        <w:t xml:space="preserve">dissertation at Can Tho University. World Bank Enterprise Surveys micro-data are</w:t>
      </w:r>
      <w:r>
        <w:t xml:space="preserve"> </w:t>
      </w:r>
      <w:r>
        <w:t xml:space="preserve">used under the programme’s research licence.</w:t>
      </w:r>
    </w:p>
    <w:p>
      <w:pPr>
        <w:pStyle w:val="BodyText"/>
      </w:pPr>
      <w:r>
        <w:rPr>
          <w:bCs/>
          <w:b/>
        </w:rPr>
        <w:t xml:space="preserve">Funding:</w:t>
      </w:r>
      <w:r>
        <w:t xml:space="preserve"> </w:t>
      </w:r>
      <w:r>
        <w:t xml:space="preserve">No external funding.</w:t>
      </w:r>
      <w:r>
        <w:t xml:space="preserve"> </w:t>
      </w:r>
      <w:r>
        <w:rPr>
          <w:bCs/>
          <w:b/>
        </w:rPr>
        <w:t xml:space="preserve">Conflicts of interest:</w:t>
      </w:r>
      <w:r>
        <w:t xml:space="preserve"> </w:t>
      </w:r>
      <w:r>
        <w:t xml:space="preserve">none declared.</w:t>
      </w:r>
      <w:r>
        <w:t xml:space="preserve"> </w:t>
      </w:r>
      <w:r>
        <w:rPr>
          <w:bCs/>
          <w:b/>
        </w:rPr>
        <w:t xml:space="preserve">Data availability:</w:t>
      </w:r>
      <w:r>
        <w:t xml:space="preserve"> </w:t>
      </w:r>
      <w:r>
        <w:t xml:space="preserve">WBES micro-data are available from the World Bank Enterprise</w:t>
      </w:r>
      <w:r>
        <w:t xml:space="preserve"> </w:t>
      </w:r>
      <w:r>
        <w:t xml:space="preserve">Surveys portal upon registration; the full replication script is provided with</w:t>
      </w:r>
      <w:r>
        <w:t xml:space="preserve"> </w:t>
      </w:r>
      <w:r>
        <w:t xml:space="preserve">the submission (</w:t>
      </w:r>
      <w:r>
        <w:rPr>
          <w:rStyle w:val="VerbatimChar"/>
        </w:rPr>
        <w:t xml:space="preserve">p10_japan_models.py</w:t>
      </w:r>
      <w:r>
        <w:t xml:space="preserve">).</w:t>
      </w:r>
    </w:p>
    <w:bookmarkEnd w:id="20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2026-06-12T18:11:18Z</dcterms:created>
  <dcterms:modified xsi:type="dcterms:W3CDTF">2026-06-12T18:11:18Z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