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OSF pre-registration preceding effect-size extraction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I→P, spanning 49 economies,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238 studies;</w:t>
      </w:r>
      <w:r>
        <w:t xml:space="preserve"> </w:t>
      </w:r>
      <w:r>
        <w:rPr>
          <w:iCs/>
          <w:i/>
        </w:rPr>
        <w:t xml:space="preserve">K</w:t>
      </w:r>
      <w:r>
        <w:t xml:space="preserve"> </w:t>
      </w:r>
      <w:r>
        <w:t xml:space="preserve">= 288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w:t>
      </w:r>
      <w:r>
        <w:t xml:space="preserve"> </w:t>
      </w:r>
      <w:r>
        <w:t xml:space="preserve">288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2026-06-08T09:33:49Z</dcterms:created>
  <dcterms:modified xsi:type="dcterms:W3CDTF">2026-06-08T09:33:49Z</dcterms:modified>
</cp:coreProperties>
</file>

<file path=docProps/custom.xml><?xml version="1.0" encoding="utf-8"?>
<Properties xmlns="http://schemas.openxmlformats.org/officeDocument/2006/custom-properties" xmlns:vt="http://schemas.openxmlformats.org/officeDocument/2006/docPropsVTypes"/>
</file>