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and foundational digital adoption are associated with the internationalization-performance relationship among firms in a digitally advanced economy. Singapore is treated as a boundary-case test at the advanced-economy ceiling of the Institutional Context and Regulatory Variables spectrum, where the classic inverted-U logic is stress-tested under near-universal digital infrastructure and low institutional transaction costs.</w:t>
      </w:r>
    </w:p>
    <w:p>
      <w:pPr>
        <w:pStyle w:val="BodyText"/>
      </w:pPr>
      <w:r>
        <w:rPr>
          <w:bCs/>
          <w:b/>
        </w:rPr>
        <w:t xml:space="preserve">Design/methodology/approach.</w:t>
      </w:r>
      <w:r>
        <w:t xml:space="preserve"> </w:t>
      </w:r>
      <w:r>
        <w:t xml:space="preserve">Using World Bank Enterprise Survey microdata for Singapore 2023, the analysis distinguishes a Technological Capability Index (TCI) capturing firm-internal capability depth from a Digital Adoption Index (DAI) capturing foundational digital interfaces and transaction-enabling mechanisms. Wave-specific ordinary least squares estimation includes a quadratic export-intensity term and interaction specifications, with HC1 robust standard errors and disciplined causal language that reports associations rather than effects.</w:t>
      </w:r>
    </w:p>
    <w:p>
      <w:pPr>
        <w:pStyle w:val="BodyText"/>
      </w:pPr>
      <w:r>
        <w:rPr>
          <w:bCs/>
          <w:b/>
        </w:rPr>
        <w:t xml:space="preserve">Findings.</w:t>
      </w:r>
      <w:r>
        <w:t xml:space="preserve"> </w:t>
      </w:r>
      <w:r>
        <w:t xml:space="preserve">Three within-context findings emerge. First, within the observed export-intensity range, the relationship is better characterized as predominantly positive with mild quadratic curvature than as a formally identified inverted-U; the fitted turning point lies in a sparsely populated upper tail. Second, technological capability is positively associated with labour productivity, while no statistically distinguishable moderation by TCI is detected under the present design. Third, digital adoption does not exhibit a uniform productivity premium across firms; its productivity association becomes more positive at higher export intensities, with the clearest signal concentrated in the high-export tail.</w:t>
      </w:r>
    </w:p>
    <w:p>
      <w:pPr>
        <w:pStyle w:val="BodyText"/>
      </w:pPr>
      <w:r>
        <w:rPr>
          <w:bCs/>
          <w:b/>
        </w:rPr>
        <w:t xml:space="preserve">Originality/value.</w:t>
      </w:r>
      <w:r>
        <w:t xml:space="preserve"> </w:t>
      </w:r>
      <w:r>
        <w:t xml:space="preserve">The study contributes to the international business literature by sharpening the distinction between technological capability and foundational digital adoption in a digitally saturated setting. The findings suggest that foundational digital adoption may function more as a contingent scaling resource than as a uniform productivity advantage, qualifying rather than overturning the conventional nonlinear internationalization-performance literature.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 Recent reviews and panel evidence reinforce this view, showing that digital and internationalization advantages interact through resource-orchestration mechanisms (Bhandari et al., 2023) and that digital transformation can both enable and constrain firm internationalization depending on the firm-level configuration of digital maturity (Feliciano-Cestero et al., 2023; Da Silva et al., 2025).</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Bhandari, K. R., Zámborský, P., Ranta, M., &amp; Salo, J. (2023). Digitalization, internationalization, and firm performance: A resource-orchestration perspective on new OLI advantages.</w:t>
      </w:r>
      <w:r>
        <w:t xml:space="preserve"> </w:t>
      </w:r>
      <w:r>
        <w:rPr>
          <w:iCs/>
          <w:i/>
        </w:rPr>
        <w:t xml:space="preserve">International Business Review</w:t>
      </w:r>
      <w:r>
        <w:t xml:space="preserve">,</w:t>
      </w:r>
      <w:r>
        <w:t xml:space="preserve"> </w:t>
      </w:r>
      <w:r>
        <w:rPr>
          <w:iCs/>
          <w:i/>
        </w:rPr>
        <w:t xml:space="preserve">32</w:t>
      </w:r>
      <w:r>
        <w:t xml:space="preserve">(4), 102135.</w:t>
      </w:r>
      <w:r>
        <w:t xml:space="preserve"> </w:t>
      </w:r>
      <w:hyperlink r:id="rId70">
        <w:r>
          <w:rPr>
            <w:rStyle w:val="Hyperlink"/>
          </w:rPr>
          <w:t xml:space="preserve">https://doi.org/10.1016/j.ibusrev.2023.102135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3">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4">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6">
        <w:r>
          <w:rPr>
            <w:rStyle w:val="Hyperlink"/>
          </w:rPr>
          <w:t xml:space="preserve">https://doi.org/10.1057/palgrave.jibs.8400003</w:t>
        </w:r>
      </w:hyperlink>
      <w:r>
        <w:t xml:space="preserve"> </w:t>
      </w:r>
      <w:r>
        <w:t xml:space="preserve">Da Silva, A. T., Sousa, B. B., &amp; Lopes, A. (2025). How digital technologies enhance competitiveness in manufacturing SMEs.</w:t>
      </w:r>
      <w:r>
        <w:t xml:space="preserve"> </w:t>
      </w:r>
      <w:r>
        <w:rPr>
          <w:iCs/>
          <w:i/>
        </w:rPr>
        <w:t xml:space="preserve">Journal of Innovation and Entrepreneurship</w:t>
      </w:r>
      <w:r>
        <w:t xml:space="preserve">,</w:t>
      </w:r>
      <w:r>
        <w:t xml:space="preserve"> </w:t>
      </w:r>
      <w:r>
        <w:rPr>
          <w:iCs/>
          <w:i/>
        </w:rPr>
        <w:t xml:space="preserve">14</w:t>
      </w:r>
      <w:r>
        <w:t xml:space="preserve">(1), 12.</w:t>
      </w:r>
      <w:r>
        <w:t xml:space="preserve"> </w:t>
      </w:r>
      <w:hyperlink r:id="rId77">
        <w:r>
          <w:rPr>
            <w:rStyle w:val="Hyperlink"/>
          </w:rPr>
          <w:t xml:space="preserve">https://doi.org/10.1186/s13731-025-00424-1</w:t>
        </w:r>
      </w:hyperlink>
    </w:p>
    <w:p>
      <w:pPr>
        <w:pStyle w:val="BodyText"/>
      </w:pPr>
      <w:r>
        <w:t xml:space="preserve">Feliciano-Cestero, M. M., Ameen, N., Kotabe, M., Paul, J., &amp; Signoret, M. (2023). Is digital transformation threatened? A systematic literature review of the factors influencing firms' digital transformation and internationalization.</w:t>
      </w:r>
      <w:r>
        <w:t xml:space="preserve"> </w:t>
      </w:r>
      <w:r>
        <w:rPr>
          <w:iCs/>
          <w:i/>
        </w:rPr>
        <w:t xml:space="preserve">Journal of Business Research</w:t>
      </w:r>
      <w:r>
        <w:t xml:space="preserve">,</w:t>
      </w:r>
      <w:r>
        <w:t xml:space="preserve"> </w:t>
      </w:r>
      <w:r>
        <w:rPr>
          <w:iCs/>
          <w:i/>
        </w:rPr>
        <w:t xml:space="preserve">157</w:t>
      </w:r>
      <w:r>
        <w:t xml:space="preserve">, 113546.</w:t>
      </w:r>
      <w:r>
        <w:t xml:space="preserve"> </w:t>
      </w:r>
      <w:hyperlink r:id="rId78">
        <w:r>
          <w:rPr>
            <w:rStyle w:val="Hyperlink"/>
          </w:rPr>
          <w:t xml:space="preserve">https://doi.org/10.1016/j.jbusres.2022.113546</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9">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0">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1">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2">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5">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6">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7">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8">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9">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0">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1">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2">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3">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4">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5">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6">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4"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0" Target="https://doi.org/10.1016/j.ibusrev.2023.102135"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78" Target="https://doi.org/10.1016/j.jbusres.2022.113546"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7" Target="https://doi.org/10.1186/s13731-025-00424-1"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0" Target="https://doi.org/10.1016/j.ibusrev.2023.102135"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78" Target="https://doi.org/10.1016/j.jbusres.2022.113546"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7" Target="https://doi.org/10.1186/s13731-025-00424-1"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2026-05-21T04:47:57Z</dcterms:created>
  <dcterms:modified xsi:type="dcterms:W3CDTF">2026-05-21T04:47:57Z</dcterms:modified>
</cp:coreProperties>
</file>

<file path=docProps/custom.xml><?xml version="1.0" encoding="utf-8"?>
<Properties xmlns="http://schemas.openxmlformats.org/officeDocument/2006/custom-properties" xmlns:vt="http://schemas.openxmlformats.org/officeDocument/2006/docPropsVTypes"/>
</file>