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International Management (JIM,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w:t>
      </w:r>
      <w:r>
        <w:t xml:space="preserve"> </w:t>
      </w:r>
      <w:r>
        <w:t xml:space="preserve">“</w:t>
      </w:r>
      <w:r>
        <w:t xml:space="preserve">rules of the game</w:t>
      </w:r>
      <w:r>
        <w:t xml:space="preserve">”</w:t>
      </w:r>
      <w:r>
        <w:t xml:space="preserve"> </w:t>
      </w:r>
      <w:r>
        <w:t xml:space="preserve">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conceptual-model"/>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International Management</w:t>
      </w:r>
      <w:r>
        <w:t xml:space="preserve"> </w:t>
      </w:r>
      <w:r>
        <w:t xml:space="preserve">(JIM, Elsevier).</w:t>
      </w:r>
    </w:p>
    <w:bookmarkEnd w:id="27"/>
    <w:bookmarkEnd w:id="28"/>
    <w:bookmarkStart w:id="39" w:name="method"/>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pct" w:w="5000"/>
        <w:tblLook w:firstRow="1" w:lastRow="0" w:firstColumn="0" w:lastColumn="0" w:noHBand="0" w:noVBand="0" w:val="0020"/>
        <w:jc w:val="start"/>
      </w:tblPr>
      <w:tblGrid>
        <w:gridCol w:w="856"/>
        <w:gridCol w:w="3949"/>
        <w:gridCol w:w="3113"/>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w:t>
      </w:r>
      <w:r>
        <w:t xml:space="preserve"> </w:t>
      </w:r>
      <w:r>
        <w:t xml:space="preserve">“</w:t>
      </w:r>
      <w:r>
        <w:t xml:space="preserve">studies identified via other methods</w:t>
      </w:r>
      <w:r>
        <w:t xml:space="preserve">”</w:t>
      </w:r>
      <w:r>
        <w:t xml:space="preserve"> </w:t>
      </w:r>
      <w:r>
        <w:t xml:space="preserve">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data-extraction-and-quality-assurance"/>
    <w:p>
      <w:pPr>
        <w:pStyle w:val="Heading3"/>
      </w:pPr>
      <w:r>
        <w:t xml:space="preserve">3.3 Data Extraction and Quality Assurance</w:t>
      </w:r>
    </w:p>
    <w:bookmarkStart w:id="31" w:name="effect-size-extraction-protocol"/>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inter-coder-reliability-assessment"/>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study-level-risk-of-bias"/>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moderator-coding-protocol"/>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w:t>
      </w:r>
      <w:r>
        <w:t xml:space="preserve"> </w:t>
      </w:r>
      <w:r>
        <w:t xml:space="preserve">“</w:t>
      </w:r>
      <w:r>
        <w:t xml:space="preserve">pooled</w:t>
      </w:r>
      <w:r>
        <w:t xml:space="preserve">”</w:t>
      </w:r>
      <w:r>
        <w:t xml:space="preserve"> </w:t>
      </w:r>
      <w:r>
        <w:t xml:space="preserve">with ICRV regime assigned to the modal country if</w:t>
      </w:r>
      <w:r>
        <w:t xml:space="preserve"> </w:t>
      </w:r>
      <w:r>
        <w:t xml:space="preserve">one country contributes ≥ 60% of the sample, otherwise coded as</w:t>
      </w:r>
      <w:r>
        <w:t xml:space="preserve"> </w:t>
      </w:r>
      <w:r>
        <w:t xml:space="preserve">“</w:t>
      </w:r>
      <w:r>
        <w:t xml:space="preserve">cross-regime</w:t>
      </w:r>
      <w:r>
        <w:t xml:space="preserv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w:t>
      </w:r>
      <w:r>
        <w:t xml:space="preserve"> </w:t>
      </w:r>
      <w:r>
        <w:t xml:space="preserve">to 2009 (median data year &lt; 2009);</w:t>
      </w:r>
      <w:r>
        <w:t xml:space="preserve"> </w:t>
      </w:r>
      <w:r>
        <w:t xml:space="preserve">“</w:t>
      </w:r>
      <w:r>
        <w:t xml:space="preserve">Span</w:t>
      </w:r>
      <w:r>
        <w:t xml:space="preserve">”</w:t>
      </w:r>
      <w:r>
        <w:t xml:space="preserve">: data collection spans</w:t>
      </w:r>
      <w:r>
        <w:t xml:space="preserve"> </w:t>
      </w:r>
      <w:r>
        <w:t xml:space="preserve">2005–2014 or cannot be classified as predominantly Precede or Follow;</w:t>
      </w:r>
      <w:r>
        <w:t xml:space="preserve"> </w:t>
      </w:r>
      <w:r>
        <w:t xml:space="preserve">“</w:t>
      </w:r>
      <w:r>
        <w:t xml:space="preserve">Follow</w:t>
      </w:r>
      <w:r>
        <w:t xml:space="preserve">”</w:t>
      </w:r>
      <w:r>
        <w:t xml:space="preserve">: data collection predominantly post-2014 (median data year ≥</w:t>
      </w:r>
      <w:r>
        <w:t xml:space="preserve"> </w:t>
      </w:r>
      <w:r>
        <w:t xml:space="preserve">2015). Studies where data years cannot be determined from the paper are</w:t>
      </w:r>
      <w:r>
        <w:t xml:space="preserve"> </w:t>
      </w:r>
      <w:r>
        <w:t xml:space="preserve">coded as</w:t>
      </w:r>
      <w:r>
        <w:t xml:space="preserve"> </w:t>
      </w:r>
      <w:r>
        <w:t xml:space="preserve">“</w:t>
      </w:r>
      <w:r>
        <w:t xml:space="preserve">Span</w:t>
      </w:r>
      <w:r>
        <w:t xml:space="preserve">”</w:t>
      </w:r>
      <w:r>
        <w:t xml:space="preserve"> </w:t>
      </w:r>
      <w:r>
        <w:t xml:space="preserve">by default and flagged.</w:t>
      </w:r>
    </w:p>
    <w:bookmarkEnd w:id="35"/>
    <w:bookmarkStart w:id="36" w:name="statistical-model-three-level-mara"/>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publication-bias-assessment"/>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robustness-checks"/>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results"/>
    <w:p>
      <w:pPr>
        <w:pStyle w:val="Heading2"/>
      </w:pPr>
      <w:r>
        <w:t xml:space="preserve">4. Results</w:t>
      </w:r>
    </w:p>
    <w:bookmarkStart w:id="40"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discussion"/>
    <w:p>
      <w:pPr>
        <w:pStyle w:val="Heading2"/>
      </w:pPr>
      <w:r>
        <w:t xml:space="preserve">5. Discussion</w:t>
      </w:r>
    </w:p>
    <w:bookmarkStart w:id="48"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9"/>
    <w:bookmarkStart w:id="50"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w:t>
      </w:r>
      <w:r>
        <w:t xml:space="preserve"> </w:t>
      </w:r>
      <w:r>
        <w:t xml:space="preserve">“</w:t>
      </w:r>
      <w:r>
        <w:t xml:space="preserve">studies identified via other methods</w:t>
      </w:r>
      <w:r>
        <w:t xml:space="preserve">”</w:t>
      </w:r>
      <w:r>
        <w:t xml:space="preserve"> </w:t>
      </w:r>
      <w:r>
        <w:t xml:space="preserve">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912"/>
        <w:gridCol w:w="1104"/>
        <w:gridCol w:w="590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2224"/>
        <w:gridCol w:w="2936"/>
        <w:gridCol w:w="2758"/>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2026-06-09T08:59:49Z</dcterms:created>
  <dcterms:modified xsi:type="dcterms:W3CDTF">2026-06-09T08:59:49Z</dcterms:modified>
</cp:coreProperties>
</file>

<file path=docProps/custom.xml><?xml version="1.0" encoding="utf-8"?>
<Properties xmlns="http://schemas.openxmlformats.org/officeDocument/2006/custom-properties" xmlns:vt="http://schemas.openxmlformats.org/officeDocument/2006/docPropsVTypes"/>
</file>