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25 June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pPr>
        <w:pStyle w:val="BodyText"/>
      </w:pPr>
      <w:r>
        <w:rPr>
          <w:bCs/>
          <w:b/>
        </w:rPr>
        <w:t xml:space="preserve">Submission of Manuscript:</w:t>
      </w:r>
      <w:r>
        <w:rPr>
          <w:bCs/>
          <w:b/>
        </w:rPr>
        <w:t xml:space="preserve"> </w:t>
      </w:r>
      <w:r>
        <w:rPr>
          <w:bCs/>
          <w:b/>
        </w:rPr>
        <w:t xml:space="preserve">“</w:t>
      </w:r>
      <w:r>
        <w:rPr>
          <w:bCs/>
          <w:b/>
        </w:rPr>
        <w:t xml:space="preserve">Revisiting the Internationalisation–Performance Relationship in an Emerging Market: The Roles of Technological Capability and Foundational Digital Adoption</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firm-level evidence on the internationalisation–performance (I–P) relationship using three waves of World Bank Enterprise Survey data for Vietnam (2009, 2015, 2023; N = 2,958).</w:t>
      </w:r>
    </w:p>
    <w:p>
      <w:pPr>
        <w:pStyle w:val="BodyText"/>
      </w:pPr>
      <w:r>
        <w:rPr>
          <w:bCs/>
          <w:b/>
        </w:rPr>
        <w:t xml:space="preserve">Relevance to IJOEM</w:t>
      </w:r>
    </w:p>
    <w:p>
      <w:pPr>
        <w:pStyle w:val="BodyText"/>
      </w:pPr>
      <w:r>
        <w:t xml:space="preserve">The study sits squarely within IJOEM’s core interest in firm-level dynamics in emerging and transition economies. Vietnam is a lower-middle-income transition economy whose institutional trajectory spans WTO accession (2007), CPTPP ratification (2019), and the post-COVID digital-economy push (2023); the multi-wave design lets us test whether the curvilinear I–P relationship is structurally durable across more than a decade of institutional change, a question central to IJOEM’s readership. The study also clarifies how foundational digital adoption operates differently from technological capability in an emerging-market setting.</w:t>
      </w:r>
    </w:p>
    <w:p>
      <w:pPr>
        <w:pStyle w:val="BodyText"/>
      </w:pPr>
      <w:r>
        <w:rPr>
          <w:bCs/>
          <w:b/>
        </w:rPr>
        <w:t xml:space="preserve">Key Contributions</w:t>
      </w:r>
    </w:p>
    <w:p>
      <w:pPr>
        <w:pStyle w:val="BodyText"/>
      </w:pPr>
      <w:r>
        <w:t xml:space="preserve">First, the inverted-U relationship between export intensity and labour productivity is structurally durable: turning points cluster at 39–46% of direct-export intensity across all three waves (Lind–Mehlum p ≤ .013 per wave; p &lt; .001 pooled). Second, the study separates technological capability (TCI) from foundational digital adoption (DAI, Tier-1 website proxy) as non-overlapping constructs; TCI is robustly positive across waves, whereas the website-based digital indicator follows a trajectory consistent with Tier-1 proxy obsolescence. Third, Paternoster cross-wave z-tests confirm that the shifts in the digital-adoption association are statistically distinguishable, with direct implications for digital-economy programmes in transition economies.</w:t>
      </w:r>
    </w:p>
    <w:p>
      <w:pPr>
        <w:pStyle w:val="BodyText"/>
      </w:pPr>
      <w:r>
        <w:rPr>
          <w:bCs/>
          <w:b/>
        </w:rPr>
        <w:t xml:space="preserve">Originality and Declaration</w:t>
      </w:r>
    </w:p>
    <w:p>
      <w:pPr>
        <w:pStyle w:val="BodyText"/>
      </w:pPr>
      <w:r>
        <w:t xml:space="preserve">This manuscript is original, has not been published previously, and is not under consideration for publication elsewhere. All authors approve the submission and declare no conflict of interest. This research received no specific grant. A writing-assistance tool (Grammarly) was used for language only; no generative AI produced substantive content.</w:t>
      </w:r>
    </w:p>
    <w:p>
      <w:pPr>
        <w:pStyle w:val="BodyText"/>
      </w:pPr>
      <w:r>
        <w:t xml:space="preserve">Yours sincerely,</w:t>
      </w:r>
    </w:p>
    <w:p>
      <w:pPr>
        <w:pStyle w:val="BodyText"/>
      </w:pPr>
      <w:r>
        <w:t xml:space="preserve">Đỗ Thùy Hương (Do Thuy Huong) — PhD Candidate, College of Economics, Can Tho University, Vietnam · huongp1323001@gstudent.ctu.edu.vn</w:t>
      </w:r>
      <w:r>
        <w:t xml:space="preserve"> </w:t>
      </w:r>
      <w:r>
        <w:t xml:space="preserve">PGS.TS. Phan Anh Tú (Corresponding author) — Associate Professor, College of Economics, Can Tho University, Vietnam · patu@ctu.edu.vn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2026-06-27T11:27:27Z</dcterms:created>
  <dcterms:modified xsi:type="dcterms:W3CDTF">2026-06-27T11:27:27Z</dcterms:modified>
</cp:coreProperties>
</file>

<file path=docProps/custom.xml><?xml version="1.0" encoding="utf-8"?>
<Properties xmlns="http://schemas.openxmlformats.org/officeDocument/2006/custom-properties" xmlns:vt="http://schemas.openxmlformats.org/officeDocument/2006/docPropsVTypes"/>
</file>