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07c3a2f9ec246b5120b9b19625fb58c0a5f9521"/>
    <w:p>
      <w:pPr>
        <w:pStyle w:val="Heading1"/>
      </w:pPr>
      <w:r>
        <w:t xml:space="preserve">Technological Capability, Digital Adoption, and the Internationalization–Performance Relationship: A Firm-Level Study of Singapore</w:t>
      </w:r>
    </w:p>
    <w:p>
      <w:pPr>
        <w:pStyle w:val="FirstParagraph"/>
      </w:pPr>
      <w:r>
        <w:rPr>
          <w:iCs/>
          <w:i/>
        </w:rPr>
        <w:t xml:space="preserve">Author details removed for blind review.</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9,100 words.</w:t>
      </w:r>
    </w:p>
    <w:p>
      <w:pPr>
        <w:pStyle w:val="BodyText"/>
      </w:pPr>
      <w:r>
        <w:rPr>
          <w:bCs/>
          <w:b/>
        </w:rPr>
        <w:t xml:space="preserve">Tables:</w:t>
      </w:r>
      <w:r>
        <w:t xml:space="preserve"> </w:t>
      </w:r>
      <w:r>
        <w:t xml:space="preserve">12 |</w:t>
      </w:r>
      <w:r>
        <w:t xml:space="preserve"> </w:t>
      </w:r>
      <w:r>
        <w:rPr>
          <w:bCs/>
          <w:b/>
        </w:rPr>
        <w:t xml:space="preserve">Figures:</w:t>
      </w:r>
      <w:r>
        <w:t xml:space="preserve"> </w:t>
      </w:r>
      <w:r>
        <w:t xml:space="preserve">10</w: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how technological capability (TCI) and foundational digital adoption (DAI) relate to the internationalization–performance (I–P) relationship among firms in Singapore, a boundary-case test at the advanced-economy ceiling of the institutional-context (ICRV) spectrum, where digital infrastructure is near-universally diffused.</w:t>
      </w:r>
    </w:p>
    <w:p>
      <w:pPr>
        <w:pStyle w:val="BodyText"/>
      </w:pPr>
      <w:r>
        <w:rPr>
          <w:bCs/>
          <w:b/>
        </w:rPr>
        <w:t xml:space="preserve">Design/methodology/approach:</w:t>
      </w:r>
      <w:r>
        <w:t xml:space="preserve"> </w:t>
      </w:r>
      <w:r>
        <w:t xml:space="preserve">Using World Bank Enterprise Survey microdata (Singapore 2023, N = 623), the analysis separates firm-internal capability depth (TCI) from foundational digital interfaces and transaction-enabling mechanisms (DAI), estimating quadratic export-intensity models of labour productivity with capability interactions.</w:t>
      </w:r>
    </w:p>
    <w:p>
      <w:pPr>
        <w:pStyle w:val="BodyText"/>
      </w:pPr>
      <w:r>
        <w:rPr>
          <w:bCs/>
          <w:b/>
        </w:rPr>
        <w:t xml:space="preserve">Findings:</w:t>
      </w:r>
      <w:r>
        <w:t xml:space="preserve"> </w:t>
      </w:r>
      <w:r>
        <w:t xml:space="preserve">Three findings emerge. First, within the observed export-intensity range the I–P relationship is better characterized as predominantly positive with mild quadratic curvature than as an inverted-U, with the implied turning point in a sparsely populated upper tail. Second, TCI is positively associated with labour productivity, but no TCI moderation of the I–P curve is detected. Third, DAI does not produce a uniform productivity premium; its productivity association becomes more positive only at higher export intensity, with the clearest signal in the high-export tail.</w:t>
      </w:r>
    </w:p>
    <w:p>
      <w:pPr>
        <w:pStyle w:val="BodyText"/>
      </w:pPr>
      <w:r>
        <w:rPr>
          <w:bCs/>
          <w:b/>
        </w:rPr>
        <w:t xml:space="preserve">Originality/value:</w:t>
      </w:r>
      <w:r>
        <w:t xml:space="preserve"> </w:t>
      </w:r>
      <w:r>
        <w:t xml:space="preserve">At the advanced-economy ceiling, foundational digital adoption functions as a contingent scaling resource whose productivity relevance activates under cross-border coordination demands, rather than as a firm-wide productivity advantage. The boundary-case design clarifies</w:t>
      </w:r>
      <w:r>
        <w:t xml:space="preserve"> </w:t>
      </w:r>
      <w:r>
        <w:rPr>
          <w:iCs/>
          <w:i/>
        </w:rPr>
        <w:t xml:space="preserve">when</w:t>
      </w:r>
      <w:r>
        <w:t xml:space="preserve">, rather than</w:t>
      </w:r>
      <w:r>
        <w:t xml:space="preserve"> </w:t>
      </w:r>
      <w:r>
        <w:rPr>
          <w:iCs/>
          <w:i/>
        </w:rPr>
        <w:t xml:space="preserve">whether</w:t>
      </w:r>
      <w:r>
        <w:t xml:space="preserve">, digital adoption matters for internationalizing firms.</w:t>
      </w:r>
    </w:p>
    <w:p>
      <w:pPr>
        <w:pStyle w:val="BodyText"/>
      </w:pPr>
      <w:r>
        <w:rPr>
          <w:bCs/>
          <w:b/>
        </w:rPr>
        <w:t xml:space="preserve">Keywords:</w:t>
      </w:r>
      <w:r>
        <w:t xml:space="preserve"> </w:t>
      </w:r>
      <w:r>
        <w:t xml:space="preserve">internationalization–performance relationship; digital</w:t>
      </w:r>
      <w:r>
        <w:t xml:space="preserve"> </w:t>
      </w:r>
      <w:r>
        <w:t xml:space="preserve">adoption; technological capability; export intensity; labour</w:t>
      </w:r>
      <w:r>
        <w:t xml:space="preserve"> </w:t>
      </w:r>
      <w:r>
        <w:t xml:space="preserve">productivity; Singapore</w:t>
      </w:r>
    </w:p>
    <w:bookmarkEnd w:id="20"/>
    <w:bookmarkStart w:id="25" w:name="introduction"/>
    <w:p>
      <w:pPr>
        <w:pStyle w:val="Heading2"/>
      </w:pPr>
      <w:r>
        <w:t xml:space="preserve">1 Introduction</w:t>
      </w:r>
    </w:p>
    <w:bookmarkStart w:id="21" w:name="background-and-motivation"/>
    <w:p>
      <w:pPr>
        <w:pStyle w:val="Heading3"/>
      </w:pPr>
      <w:r>
        <w:t xml:space="preserve">1.1 Background and motivation</w:t>
      </w:r>
    </w:p>
    <w:p>
      <w:pPr>
        <w:pStyle w:val="FirstParagraph"/>
      </w:pPr>
      <w:r>
        <w:t xml:space="preserve">Singapore is an analytically valuable setting for revisiting the internationalization–performance relationship because it combines high digital maturity with firm-level heterogeneity in export intensity. The classic I–P literature explains nonlinearity through a trade-off between the scale and learning benefits of expansion and the rising coordination costs of operating across markets, with the inverted-U as the modal pattern (Marano et al. 2016). Much of this literature, however, was developed in pre-digital or transitional settings whose institutional and infrastructural conditions differ from those of digitally advanced economies (Peng 2003; Peng et al. 2008). By contemporaneous assessments Singapore is at the frontier: 2nd globally (1st in Asia Pacific) in the StartupBlink Innovators Business Environment Index 2026, 4th in the Global Startup Ecosystem Index 2025, and 3rd in the UN e-Government Survey 2024, while Smart Nation 2.0 (2024) makes digital trust infrastructure explicit national policy (GovTech Singapore 2024; StartupBlink 2025, 2026).</w:t>
      </w:r>
    </w:p>
    <w:p>
      <w:pPr>
        <w:pStyle w:val="BodyText"/>
      </w:pPr>
      <w:r>
        <w:t xml:space="preserve">In such a context the relevant question is not whether firms still exhibit the conventional inverted-U, but whether digital maturity changes the export range over which the right-side decline becomes visible. If mature digital infrastructure attenuates communication, transaction, and information frictions, the coordination-cost mechanism underlying the classic inverted-U may be weakened, delayed, or pushed toward sparsely populated export levels (Bharadwaj et al. 2013; Verhoef et al. 2021). This creates a</w:t>
      </w:r>
      <w:r>
        <w:t xml:space="preserve"> </w:t>
      </w:r>
      <w:r>
        <w:rPr>
          <w:iCs/>
          <w:i/>
        </w:rPr>
        <w:t xml:space="preserve">digital saturation paradox</w:t>
      </w:r>
      <w:r>
        <w:t xml:space="preserve">: where Tier 1–2 interfaces (websites, electronic payments) are already widely diffused, enabled by Singapore’s national Digital Public Infrastructure (World Bank 2024), they function as hygiene factors for domestic operations rather than differentiating assets. Consistent with this, 82% of sampled firms report zero exports and only 3% exceed 50% foreign sales. The productivity returns to foundational digital adoption should therefore not manifest uniformly; they should become measurable mainly when firms face the intensified coordination demands of cross-border activity. Singapore thus serves as an analytically ideal stress test: domestic saturation removes the uniform-premium effect and leaves only the export-contingent signal.</w:t>
      </w:r>
    </w:p>
    <w:p>
      <w:pPr>
        <w:pStyle w:val="BodyText"/>
      </w:pPr>
      <w:r>
        <w:t xml:space="preserve">A second motivation concerns construct clarity. In digitally advanced settings, firms differ not only in deeper technological capability rooted in learning, innovation, and absorptive capacity, but also in their adoption of basic digital interfaces and transaction-enabling systems. These domains should not be collapsed: technological capability reflects firm-internal capability depth (Barney 1991; Cohen and Levinthal 1990; Lall 1992), whereas digital adoption reflects participation in digitally enabled transactions contingent on the surrounding ecosystem (Bharadwaj et al. 2013; Verhoef et al. 2021).</w:t>
      </w:r>
    </w:p>
    <w:bookmarkEnd w:id="21"/>
    <w:bookmarkStart w:id="22" w:name="research-gap"/>
    <w:p>
      <w:pPr>
        <w:pStyle w:val="Heading3"/>
      </w:pPr>
      <w:r>
        <w:t xml:space="preserve">1.2 Research gap</w:t>
      </w:r>
    </w:p>
    <w:p>
      <w:pPr>
        <w:pStyle w:val="FirstParagraph"/>
      </w:pPr>
      <w:r>
        <w:t xml:space="preserve">Three gaps motivate this study. First, prior research has often bundled</w:t>
      </w:r>
      <w:r>
        <w:t xml:space="preserve"> </w:t>
      </w:r>
      <w:r>
        <w:t xml:space="preserve">digitalization-related firm attributes into broad umbrella constructs,</w:t>
      </w:r>
      <w:r>
        <w:t xml:space="preserve"> </w:t>
      </w:r>
      <w:r>
        <w:t xml:space="preserve">making it difficult to distinguish firm-internal technological</w:t>
      </w:r>
      <w:r>
        <w:t xml:space="preserve"> </w:t>
      </w:r>
      <w:r>
        <w:t xml:space="preserve">capability from more basic forms of digital adoption. This matters</w:t>
      </w:r>
      <w:r>
        <w:t xml:space="preserve"> </w:t>
      </w:r>
      <w:r>
        <w:t xml:space="preserve">because the two domains imply different mechanisms of advantage:</w:t>
      </w:r>
      <w:r>
        <w:t xml:space="preserve"> </w:t>
      </w:r>
      <w:r>
        <w:t xml:space="preserve">technological capability concerns learning, innovation, and absorptive</w:t>
      </w:r>
      <w:r>
        <w:t xml:space="preserve"> </w:t>
      </w:r>
      <w:r>
        <w:t xml:space="preserve">depth within the firm, whereas foundational digital adoption concerns</w:t>
      </w:r>
      <w:r>
        <w:t xml:space="preserve"> </w:t>
      </w:r>
      <w:r>
        <w:t xml:space="preserve">the use of digital interfaces and transaction-enabling systems that may</w:t>
      </w:r>
      <w:r>
        <w:t xml:space="preserve"> </w:t>
      </w:r>
      <w:r>
        <w:t xml:space="preserve">matter differently across stages of internationalization. Second,</w:t>
      </w:r>
      <w:r>
        <w:t xml:space="preserve"> </w:t>
      </w:r>
      <w:r>
        <w:t xml:space="preserve">although work on digital internationalization has generated important</w:t>
      </w:r>
      <w:r>
        <w:t xml:space="preserve"> </w:t>
      </w:r>
      <w:r>
        <w:t xml:space="preserve">conceptual advances, firm-level evidence remains limited on how basic</w:t>
      </w:r>
      <w:r>
        <w:t xml:space="preserve"> </w:t>
      </w:r>
      <w:r>
        <w:t xml:space="preserve">digital adoption relates to export intensity within a single digitally</w:t>
      </w:r>
      <w:r>
        <w:t xml:space="preserve"> </w:t>
      </w:r>
      <w:r>
        <w:t xml:space="preserve">advanced institutional environment. In particular, the literature still</w:t>
      </w:r>
      <w:r>
        <w:t xml:space="preserve"> </w:t>
      </w:r>
      <w:r>
        <w:t xml:space="preserve">offers limited evidence on whether foundational digital tools matter</w:t>
      </w:r>
      <w:r>
        <w:t xml:space="preserve"> </w:t>
      </w:r>
      <w:r>
        <w:t xml:space="preserve">uniformly across firms or become more relevant only when cross-border</w:t>
      </w:r>
      <w:r>
        <w:t xml:space="preserve"> </w:t>
      </w:r>
      <w:r>
        <w:t xml:space="preserve">coordination demands intensify. Focusing on Tier 1–2 adoption, the most</w:t>
      </w:r>
      <w:r>
        <w:t xml:space="preserve"> </w:t>
      </w:r>
      <w:r>
        <w:t xml:space="preserve">widely diffused and comparable digital layer, is therefore a deliberate</w:t>
      </w:r>
      <w:r>
        <w:t xml:space="preserve"> </w:t>
      </w:r>
      <w:r>
        <w:t xml:space="preserve">design choice: if even these foundational tools exhibit</w:t>
      </w:r>
      <w:r>
        <w:t xml:space="preserve"> </w:t>
      </w:r>
      <w:r>
        <w:t xml:space="preserve">export-contingent productivity associations, higher-tier technologies</w:t>
      </w:r>
      <w:r>
        <w:t xml:space="preserve"> </w:t>
      </w:r>
      <w:r>
        <w:t xml:space="preserve">(automation, integrated ERP, AI-enabled systems) should produce even</w:t>
      </w:r>
      <w:r>
        <w:t xml:space="preserve"> </w:t>
      </w:r>
      <w:r>
        <w:t xml:space="preserve">stronger differentiation, making this the most conservative and</w:t>
      </w:r>
      <w:r>
        <w:t xml:space="preserve"> </w:t>
      </w:r>
      <w:r>
        <w:t xml:space="preserve">replicable test of the conditional digital adoption hypothesis. Third,</w:t>
      </w:r>
      <w:r>
        <w:t xml:space="preserve"> </w:t>
      </w:r>
      <w:r>
        <w:t xml:space="preserve">the nonlinear internationalization–performance literature has documented</w:t>
      </w:r>
      <w:r>
        <w:t xml:space="preserve"> </w:t>
      </w:r>
      <w:r>
        <w:t xml:space="preserve">inverted-U patterns extensively, but the interpretation of such patterns</w:t>
      </w:r>
      <w:r>
        <w:t xml:space="preserve"> </w:t>
      </w:r>
      <w:r>
        <w:t xml:space="preserve">in a digitally advanced setting remains under-specified. In a case such</w:t>
      </w:r>
      <w:r>
        <w:t xml:space="preserve"> </w:t>
      </w:r>
      <w:r>
        <w:t xml:space="preserve">as Singapore, the unresolved issue is not whether one setting can</w:t>
      </w:r>
      <w:r>
        <w:t xml:space="preserve"> </w:t>
      </w:r>
      <w:r>
        <w:t xml:space="preserve">establish a general boundary condition for all digitally mature</w:t>
      </w:r>
      <w:r>
        <w:t xml:space="preserve"> </w:t>
      </w:r>
      <w:r>
        <w:t xml:space="preserve">economies, but how firm-level evidence from that setting should be</w:t>
      </w:r>
      <w:r>
        <w:t xml:space="preserve"> </w:t>
      </w:r>
      <w:r>
        <w:t xml:space="preserve">interpreted relative to the conventional nonlinear literature. This</w:t>
      </w:r>
      <w:r>
        <w:t xml:space="preserve"> </w:t>
      </w:r>
      <w:r>
        <w:t xml:space="preserve">study addresses that issue by examining whether the right-side decline</w:t>
      </w:r>
      <w:r>
        <w:t xml:space="preserve"> </w:t>
      </w:r>
      <w:r>
        <w:t xml:space="preserve">of the curve is clearly identifiable within the export-intensity range</w:t>
      </w:r>
      <w:r>
        <w:t xml:space="preserve"> </w:t>
      </w:r>
      <w:r>
        <w:t xml:space="preserve">actually occupied by firms in Singapore and by separating technological</w:t>
      </w:r>
      <w:r>
        <w:t xml:space="preserve"> </w:t>
      </w:r>
      <w:r>
        <w:t xml:space="preserve">capability from foundational digital adoption in the same empirical</w:t>
      </w:r>
      <w:r>
        <w:t xml:space="preserve"> </w:t>
      </w:r>
      <w:r>
        <w:t xml:space="preserve">framework.</w:t>
      </w:r>
    </w:p>
    <w:bookmarkEnd w:id="22"/>
    <w:bookmarkStart w:id="23" w:name="contribution"/>
    <w:p>
      <w:pPr>
        <w:pStyle w:val="Heading3"/>
      </w:pPr>
      <w:r>
        <w:t xml:space="preserve">1.3 Contribution</w:t>
      </w:r>
    </w:p>
    <w:p>
      <w:pPr>
        <w:pStyle w:val="FirstParagraph"/>
      </w:pPr>
      <w:r>
        <w:t xml:space="preserve">This study makes one primary contribution and two supporting</w:t>
      </w:r>
      <w:r>
        <w:t xml:space="preserve"> </w:t>
      </w:r>
      <w:r>
        <w:t xml:space="preserve">contributions. Its primary contribution is to document that foundational</w:t>
      </w:r>
      <w:r>
        <w:t xml:space="preserve"> </w:t>
      </w:r>
      <w:r>
        <w:t xml:space="preserve">digital adoption (DAI) functions as a conditional scaling resource</w:t>
      </w:r>
      <w:r>
        <w:t xml:space="preserve"> </w:t>
      </w:r>
      <w:r>
        <w:t xml:space="preserve">rather than a uniform productivity premium in a digitally advanced</w:t>
      </w:r>
      <w:r>
        <w:t xml:space="preserve"> </w:t>
      </w:r>
      <w:r>
        <w:t xml:space="preserve">economy: the productivity association of Tier 1–2 digital adoption is</w:t>
      </w:r>
      <w:r>
        <w:t xml:space="preserve"> </w:t>
      </w:r>
      <w:r>
        <w:t xml:space="preserve">weak across most of the export-intensity distribution and becomes more</w:t>
      </w:r>
      <w:r>
        <w:t xml:space="preserve"> </w:t>
      </w:r>
      <w:r>
        <w:t xml:space="preserve">positive only in the high-export tail, where cross-border coordination</w:t>
      </w:r>
      <w:r>
        <w:t xml:space="preserve"> </w:t>
      </w:r>
      <w:r>
        <w:t xml:space="preserve">demands are densest. This within-context evidence from Singapore</w:t>
      </w:r>
      <w:r>
        <w:t xml:space="preserve"> </w:t>
      </w:r>
      <w:r>
        <w:t xml:space="preserve">supports a contingent digital complementarity mechanism, DAI as a</w:t>
      </w:r>
      <w:r>
        <w:t xml:space="preserve"> </w:t>
      </w:r>
      <w:r>
        <w:t xml:space="preserve">scaling lever whose value is realised under export-intensity conditions</w:t>
      </w:r>
      <w:r>
        <w:t xml:space="preserve"> </w:t>
      </w:r>
      <w:r>
        <w:t xml:space="preserve">rather than as a broad firm-level capability advantage. The evidence for</w:t>
      </w:r>
      <w:r>
        <w:t xml:space="preserve"> </w:t>
      </w:r>
      <w:r>
        <w:t xml:space="preserve">this mechanism (H3: positive quadratic DAI×FSTS² interaction, β=+3.220,</w:t>
      </w:r>
      <w:r>
        <w:t xml:space="preserve"> </w:t>
      </w:r>
      <w:r>
        <w:t xml:space="preserve">p=.020) is the most distinctive empirical finding and the one least</w:t>
      </w:r>
      <w:r>
        <w:t xml:space="preserve"> </w:t>
      </w:r>
      <w:r>
        <w:t xml:space="preserve">anticipated by prior literature. The first supporting contribution</w:t>
      </w:r>
      <w:r>
        <w:t xml:space="preserve"> </w:t>
      </w:r>
      <w:r>
        <w:t xml:space="preserve">qualifies the conventional nonlinear I–P literature. Within the observed</w:t>
      </w:r>
      <w:r>
        <w:t xml:space="preserve"> </w:t>
      </w:r>
      <w:r>
        <w:t xml:space="preserve">export-intensity range, the fitted quadratic is more defensibly read as</w:t>
      </w:r>
      <w:r>
        <w:t xml:space="preserve"> </w:t>
      </w:r>
      <w:r>
        <w:t xml:space="preserve">predominantly positive with mild curvature than as a formally</w:t>
      </w:r>
      <w:r>
        <w:t xml:space="preserve"> </w:t>
      </w:r>
      <w:r>
        <w:t xml:space="preserve">established inverted-U: the implied turning point lies near FSTS=85.7%,</w:t>
      </w:r>
      <w:r>
        <w:t xml:space="preserve"> </w:t>
      </w:r>
      <w:r>
        <w:t xml:space="preserve">in a sparsely populated upper tail, and the Lind–Mehlum test does not</w:t>
      </w:r>
      <w:r>
        <w:t xml:space="preserve"> </w:t>
      </w:r>
      <w:r>
        <w:t xml:space="preserve">formally confirm a right-side decline at conventional thresholds. In a</w:t>
      </w:r>
      <w:r>
        <w:t xml:space="preserve"> </w:t>
      </w:r>
      <w:r>
        <w:t xml:space="preserve">digitally mature economy where Tier 1–2 coordination tools are widely</w:t>
      </w:r>
      <w:r>
        <w:t xml:space="preserve"> </w:t>
      </w:r>
      <w:r>
        <w:t xml:space="preserve">diffused, this is an informative positive null, consistent with the</w:t>
      </w:r>
      <w:r>
        <w:t xml:space="preserve"> </w:t>
      </w:r>
      <w:r>
        <w:t xml:space="preserve">saturation hypothesis, rather than an anomaly. The study therefore</w:t>
      </w:r>
      <w:r>
        <w:t xml:space="preserve"> </w:t>
      </w:r>
      <w:r>
        <w:t xml:space="preserve">qualifies rather than overturns the nonlinear I–P literature. The second</w:t>
      </w:r>
      <w:r>
        <w:t xml:space="preserve"> </w:t>
      </w:r>
      <w:r>
        <w:t xml:space="preserve">supporting contribution is construct clarification. The analysis</w:t>
      </w:r>
      <w:r>
        <w:t xml:space="preserve"> </w:t>
      </w:r>
      <w:r>
        <w:t xml:space="preserve">distinguishes technological capability (TCI) from foundational digital</w:t>
      </w:r>
      <w:r>
        <w:t xml:space="preserve"> </w:t>
      </w:r>
      <w:r>
        <w:t xml:space="preserve">adoption (DAI), separating firm-internal capability depth from digitally</w:t>
      </w:r>
      <w:r>
        <w:t xml:space="preserve"> </w:t>
      </w:r>
      <w:r>
        <w:t xml:space="preserve">enabled interfaces and transaction mechanisms. This distinction matters</w:t>
      </w:r>
      <w:r>
        <w:t xml:space="preserve"> </w:t>
      </w:r>
      <w:r>
        <w:t xml:space="preserve">because the two constructs are associated with firm performance through</w:t>
      </w:r>
      <w:r>
        <w:t xml:space="preserve"> </w:t>
      </w:r>
      <w:r>
        <w:t xml:space="preserve">different empirical patterns: TCI shows a more stable direct</w:t>
      </w:r>
      <w:r>
        <w:t xml:space="preserve"> </w:t>
      </w:r>
      <w:r>
        <w:t xml:space="preserve">productivity association, whereas DAI shows a contingent</w:t>
      </w:r>
      <w:r>
        <w:t xml:space="preserve"> </w:t>
      </w:r>
      <w:r>
        <w:t xml:space="preserve">export-intensity-dependent pattern. The Section 4.5 R1 indicator-sensitivity</w:t>
      </w:r>
      <w:r>
        <w:t xml:space="preserve"> </w:t>
      </w:r>
      <w:r>
        <w:t xml:space="preserve">diagnostic further clarifies that the Tier-1+2 composition of DAI</w:t>
      </w:r>
      <w:r>
        <w:t xml:space="preserve"> </w:t>
      </w:r>
      <w:r>
        <w:t xml:space="preserve">combining website presence with two-way electronic-payment intensity</w:t>
      </w:r>
      <w:r>
        <w:t xml:space="preserve"> </w:t>
      </w:r>
      <w:r>
        <w:t xml:space="preserve">is what generates the discriminatory power across the export-intensity</w:t>
      </w:r>
      <w:r>
        <w:t xml:space="preserve"> </w:t>
      </w:r>
      <w:r>
        <w:t xml:space="preserve">range; a Tier-1-only restriction substantially weakens the quadratic</w:t>
      </w:r>
      <w:r>
        <w:t xml:space="preserve"> </w:t>
      </w:r>
      <w:r>
        <w:t xml:space="preserve">interaction, indicating that the empirical legibility of the</w:t>
      </w:r>
      <w:r>
        <w:t xml:space="preserve"> </w:t>
      </w:r>
      <w:r>
        <w:t xml:space="preserve">conditional-scaling mechanism depends on the institutional availability</w:t>
      </w:r>
      <w:r>
        <w:t xml:space="preserve"> </w:t>
      </w:r>
      <w:r>
        <w:t xml:space="preserve">of Tier-2 transaction-enabling infrastructure (see Section 5.1 for the</w:t>
      </w:r>
      <w:r>
        <w:t xml:space="preserve"> </w:t>
      </w:r>
      <w:r>
        <w:t xml:space="preserve">construct-boundary discussion).</w:t>
      </w:r>
    </w:p>
    <w:bookmarkEnd w:id="23"/>
    <w:bookmarkStart w:id="24" w:name="roadmap"/>
    <w:p>
      <w:pPr>
        <w:pStyle w:val="Heading3"/>
      </w:pPr>
      <w:r>
        <w:t xml:space="preserve">1.4 Roadmap</w:t>
      </w:r>
    </w:p>
    <w:p>
      <w:pPr>
        <w:pStyle w:val="FirstParagraph"/>
      </w:pPr>
      <w:r>
        <w:t xml:space="preserve">Section 2 develops the theoretical framework and four hypotheses.</w:t>
      </w:r>
      <w:r>
        <w:t xml:space="preserve"> </w:t>
      </w:r>
      <w:r>
        <w:t xml:space="preserve">Section 3 describes data and methods. Section 4 reports results. Section</w:t>
      </w:r>
      <w:r>
        <w:t xml:space="preserve"> </w:t>
      </w:r>
      <w:r>
        <w:t xml:space="preserve">5 discusses theoretical and managerial implications. Section 6</w:t>
      </w:r>
      <w:r>
        <w:t xml:space="preserve"> </w:t>
      </w:r>
      <w:r>
        <w:t xml:space="preserve">concludes. Section 7 acknowledges limitations and future research</w:t>
      </w:r>
      <w:r>
        <w:t xml:space="preserve"> </w:t>
      </w:r>
      <w:r>
        <w:t xml:space="preserve">directions.</w:t>
      </w:r>
    </w:p>
    <w:bookmarkEnd w:id="24"/>
    <w:bookmarkEnd w:id="25"/>
    <w:bookmarkStart w:id="34" w:name="theory-and-hypotheses"/>
    <w:p>
      <w:pPr>
        <w:pStyle w:val="Heading2"/>
      </w:pPr>
      <w:r>
        <w:t xml:space="preserve">2 Theory and Hypotheses</w:t>
      </w:r>
    </w:p>
    <w:bookmarkStart w:id="26" w:name="X001c1553335b0468ad48060ef103d7d22aed657"/>
    <w:p>
      <w:pPr>
        <w:pStyle w:val="Heading3"/>
      </w:pPr>
      <w:r>
        <w:t xml:space="preserve">2.1 The internationalization–performance relationship</w:t>
      </w:r>
    </w:p>
    <w:p>
      <w:pPr>
        <w:pStyle w:val="FirstParagraph"/>
      </w:pPr>
      <w:r>
        <w:t xml:space="preserve">The I–P literature has produced extensive evidence of nonlinear</w:t>
      </w:r>
      <w:r>
        <w:t xml:space="preserve"> </w:t>
      </w:r>
      <w:r>
        <w:t xml:space="preserve">relationships between the degree of internationalization and firm</w:t>
      </w:r>
      <w:r>
        <w:t xml:space="preserve"> </w:t>
      </w:r>
      <w:r>
        <w:t xml:space="preserve">performance. Hitt et al. (1997) introduced the inverted-U logic: initial</w:t>
      </w:r>
      <w:r>
        <w:t xml:space="preserve"> </w:t>
      </w:r>
      <w:r>
        <w:t xml:space="preserve">internationalization yields scale and learning benefits, but at high</w:t>
      </w:r>
      <w:r>
        <w:t xml:space="preserve"> </w:t>
      </w:r>
      <w:r>
        <w:t xml:space="preserve">export intensities firms encounter cognitive and coordination ceilings</w:t>
      </w:r>
      <w:r>
        <w:t xml:space="preserve"> </w:t>
      </w:r>
      <w:r>
        <w:t xml:space="preserve">that erode the returns to further expansion. Contractor et al. (2003)</w:t>
      </w:r>
      <w:r>
        <w:t xml:space="preserve"> </w:t>
      </w:r>
      <w:r>
        <w:t xml:space="preserve">extended this logic to a three-stage S-curve, and Lu and Beamish (2004)</w:t>
      </w:r>
      <w:r>
        <w:t xml:space="preserve"> </w:t>
      </w:r>
      <w:r>
        <w:t xml:space="preserve">refined the inverted-U with attention to firm size and age effects. The</w:t>
      </w:r>
      <w:r>
        <w:t xml:space="preserve"> </w:t>
      </w:r>
      <w:r>
        <w:t xml:space="preserve">modal pattern across this literature is an inverted-U with a turning</w:t>
      </w:r>
      <w:r>
        <w:t xml:space="preserve"> </w:t>
      </w:r>
      <w:r>
        <w:t xml:space="preserve">point in the 30%–60% foreign-sales-to-total-sales (FSTS) range (Marano</w:t>
      </w:r>
      <w:r>
        <w:t xml:space="preserve"> </w:t>
      </w:r>
      <w:r>
        <w:t xml:space="preserve">et al. 2016). An important implication of the nonlinear I–P literature</w:t>
      </w:r>
      <w:r>
        <w:t xml:space="preserve"> </w:t>
      </w:r>
      <w:r>
        <w:t xml:space="preserve">is that the visibility of an inverted-U depends not only on theory but</w:t>
      </w:r>
      <w:r>
        <w:t xml:space="preserve"> </w:t>
      </w:r>
      <w:r>
        <w:t xml:space="preserve">also on where firms actually lie in the observed distribution of</w:t>
      </w:r>
      <w:r>
        <w:t xml:space="preserve"> </w:t>
      </w:r>
      <w:r>
        <w:t xml:space="preserve">internationalization intensity. If firms operate in a setting where</w:t>
      </w:r>
      <w:r>
        <w:t xml:space="preserve"> </w:t>
      </w:r>
      <w:r>
        <w:t xml:space="preserve">digital infrastructure and transaction systems reduce some coordination</w:t>
      </w:r>
      <w:r>
        <w:t xml:space="preserve"> </w:t>
      </w:r>
      <w:r>
        <w:t xml:space="preserve">frictions, the right-side decline may become harder to detect within the</w:t>
      </w:r>
      <w:r>
        <w:t xml:space="preserve"> </w:t>
      </w:r>
      <w:r>
        <w:t xml:space="preserve">export range most firms occupy, even if coordination costs do not</w:t>
      </w:r>
      <w:r>
        <w:t xml:space="preserve"> </w:t>
      </w:r>
      <w:r>
        <w:t xml:space="preserve">disappear in principle. Singapore is therefore analytically useful not</w:t>
      </w:r>
      <w:r>
        <w:t xml:space="preserve"> </w:t>
      </w:r>
      <w:r>
        <w:t xml:space="preserve">because it can by itself establish a general boundary condition for</w:t>
      </w:r>
      <w:r>
        <w:t xml:space="preserve"> </w:t>
      </w:r>
      <w:r>
        <w:t xml:space="preserve">digitally mature economies, but because it provides a within-context</w:t>
      </w:r>
      <w:r>
        <w:t xml:space="preserve"> </w:t>
      </w:r>
      <w:r>
        <w:t xml:space="preserve">case for examining how the conventional I–P logic appears when firms</w:t>
      </w:r>
      <w:r>
        <w:t xml:space="preserve"> </w:t>
      </w:r>
      <w:r>
        <w:t xml:space="preserve">operate in a digitally advanced institutional environment.</w:t>
      </w:r>
    </w:p>
    <w:bookmarkEnd w:id="26"/>
    <w:bookmarkStart w:id="27" w:name="two-distinct-constructs-tci-and-dai"/>
    <w:p>
      <w:pPr>
        <w:pStyle w:val="Heading3"/>
      </w:pPr>
      <w:r>
        <w:t xml:space="preserve">2.2 Two distinct constructs: TCI and DAI</w:t>
      </w:r>
    </w:p>
    <w:p>
      <w:pPr>
        <w:pStyle w:val="FirstParagraph"/>
      </w:pPr>
      <w:r>
        <w:t xml:space="preserve">A recurring problem in the digital IB literature is collapsing heterogeneous firm attributes into a single umbrella construct, blurring internal capability depth and digitally enabled market participation (Verhoef et al. 2021). We instead distinguish a Technological Capability Index (TCI), anchored in the Lall–Cohen-Levinthal tradition (Cohen and Levinthal 1990; Lall 1992), from a Digital Adoption Index (DAI), anchored in the Bharadwaj–Verhoef digitalization tradition (Bharadwaj et al. 2013; Verhoef et al. 2021). The two refer to different domains of advantage: TCI captures internal stocks related to innovation, learning, and technology absorption, while DAI captures uptake of digital interfaces and transaction-enabling mechanisms, a more environmentally contingent advantage that depends on ecosystem maturity.</w:t>
      </w:r>
    </w:p>
    <w:p>
      <w:pPr>
        <w:pStyle w:val="BodyText"/>
      </w:pPr>
      <w:r>
        <w:t xml:space="preserve">The label</w:t>
      </w:r>
      <w:r>
        <w:t xml:space="preserve"> </w:t>
      </w:r>
      <w:r>
        <w:t xml:space="preserve">“</w:t>
      </w:r>
      <w:r>
        <w:t xml:space="preserve">digital adoption</w:t>
      </w:r>
      <w:r>
        <w:t xml:space="preserve">”</w:t>
      </w:r>
      <w:r>
        <w:t xml:space="preserve"> </w:t>
      </w:r>
      <w:r>
        <w:t xml:space="preserve">is more defensible than</w:t>
      </w:r>
      <w:r>
        <w:t xml:space="preserve"> </w:t>
      </w:r>
      <w:r>
        <w:t xml:space="preserve">“</w:t>
      </w:r>
      <w:r>
        <w:t xml:space="preserve">digital capability</w:t>
      </w:r>
      <w:r>
        <w:t xml:space="preserve">”</w:t>
      </w:r>
      <w:r>
        <w:t xml:space="preserve"> </w:t>
      </w:r>
      <w:r>
        <w:t xml:space="preserve">here because the available WBES indicators map onto basic digital presence and transaction usage rather than deeper integrated processes. In the Verhoef et al. (2021) hierarchy, website presence (c22b) corresponds to Tier-1 digitization and electronic-payment intensity (k33, k38) to Tier-2 digitalization; the composite therefore captures the foundational digital layer but cannot observe Tier-3 process integration (ERP, CRM) or Tier-4 digital dynamic capability (AI, platform orchestration). Retaining a broad</w:t>
      </w:r>
      <w:r>
        <w:t xml:space="preserve"> </w:t>
      </w:r>
      <w:r>
        <w:t xml:space="preserve">“</w:t>
      </w:r>
      <w:r>
        <w:t xml:space="preserve">digital capability</w:t>
      </w:r>
      <w:r>
        <w:t xml:space="preserve">”</w:t>
      </w:r>
      <w:r>
        <w:t xml:space="preserve"> </w:t>
      </w:r>
      <w:r>
        <w:t xml:space="preserve">label would overstate what the indicators support. Methodologically, both constructs satisfy the Coltman et al. (2008) four-criterion test for formative measurement, and combining them would violate the principle that constructs with different nomological nets should remain distinct.</w:t>
      </w:r>
    </w:p>
    <w:bookmarkEnd w:id="27"/>
    <w:bookmarkStart w:id="32" w:name="hypothesis-development"/>
    <w:p>
      <w:pPr>
        <w:pStyle w:val="Heading3"/>
      </w:pPr>
      <w:r>
        <w:t xml:space="preserve">2.3 Hypothesis development</w:t>
      </w:r>
    </w:p>
    <w:bookmarkStart w:id="28" w:name="tci-direct-effect-on-productivity"/>
    <w:p>
      <w:pPr>
        <w:pStyle w:val="Heading4"/>
      </w:pPr>
      <w:r>
        <w:t xml:space="preserve">2.3.1 TCI direct effect on productivity</w:t>
      </w:r>
    </w:p>
    <w:p>
      <w:pPr>
        <w:pStyle w:val="FirstParagraph"/>
      </w:pPr>
      <w:r>
        <w:t xml:space="preserve">Following the Lall (1992) capability tradition and the Cohen and</w:t>
      </w:r>
      <w:r>
        <w:t xml:space="preserve"> </w:t>
      </w:r>
      <w:r>
        <w:t xml:space="preserve">Levinthal (1990) absorptive-capacity logic, firms with deeper</w:t>
      </w:r>
      <w:r>
        <w:t xml:space="preserve"> </w:t>
      </w:r>
      <w:r>
        <w:t xml:space="preserve">technological capability should produce more output per unit of labour</w:t>
      </w:r>
      <w:r>
        <w:t xml:space="preserve"> </w:t>
      </w:r>
      <w:r>
        <w:t xml:space="preserve">input regardless of internationalization stage. Technological capability</w:t>
      </w:r>
      <w:r>
        <w:t xml:space="preserve"> </w:t>
      </w:r>
      <w:r>
        <w:t xml:space="preserve">reflects firm-internal investments in R&amp;D, innovation, foreign</w:t>
      </w:r>
      <w:r>
        <w:t xml:space="preserve"> </w:t>
      </w:r>
      <w:r>
        <w:t xml:space="preserve">technology licensing, and quality certification, all of which are</w:t>
      </w:r>
      <w:r>
        <w:t xml:space="preserve"> </w:t>
      </w:r>
      <w:r>
        <w:t xml:space="preserve">associated with a higher productivity floor, reflected in operational</w:t>
      </w:r>
      <w:r>
        <w:t xml:space="preserve"> </w:t>
      </w:r>
      <w:r>
        <w:t xml:space="preserve">efficiency, product quality, and learning routines (Avenyo et al. 2021;</w:t>
      </w:r>
      <w:r>
        <w:t xml:space="preserve"> </w:t>
      </w:r>
      <w:r>
        <w:t xml:space="preserve">Krammer et al. 2018). We therefore hypothesize: Hypothesis 1 (H1). In</w:t>
      </w:r>
      <w:r>
        <w:t xml:space="preserve"> </w:t>
      </w:r>
      <w:r>
        <w:t xml:space="preserve">Singapore’s advanced-economy context, when firms invest more deeply in</w:t>
      </w:r>
      <w:r>
        <w:t xml:space="preserve"> </w:t>
      </w:r>
      <w:r>
        <w:t xml:space="preserve">R&amp;D, innovation, technology licensing, and quality certification, labour</w:t>
      </w:r>
      <w:r>
        <w:t xml:space="preserve"> </w:t>
      </w:r>
      <w:r>
        <w:t xml:space="preserve">productivity is higher because technological capability raises the</w:t>
      </w:r>
      <w:r>
        <w:t xml:space="preserve"> </w:t>
      </w:r>
      <w:r>
        <w:t xml:space="preserve">firm’s operational efficiency and learning routines (Lall 1992; Cohen and</w:t>
      </w:r>
      <w:r>
        <w:t xml:space="preserve"> </w:t>
      </w:r>
      <w:r>
        <w:t xml:space="preserve">Levinthal 1990), before any additional moderation of the I–P curve shape</w:t>
      </w:r>
      <w:r>
        <w:t xml:space="preserve"> </w:t>
      </w:r>
      <w:r>
        <w:t xml:space="preserve">is considered.</w:t>
      </w:r>
    </w:p>
    <w:bookmarkEnd w:id="28"/>
    <w:bookmarkStart w:id="29" w:name="tci-moderation-of-the-ip-relationship"/>
    <w:p>
      <w:pPr>
        <w:pStyle w:val="Heading4"/>
      </w:pPr>
      <w:r>
        <w:t xml:space="preserve">2.3.2 TCI moderation of the I–P relationship</w:t>
      </w:r>
    </w:p>
    <w:p>
      <w:pPr>
        <w:pStyle w:val="FirstParagraph"/>
      </w:pPr>
      <w:r>
        <w:t xml:space="preserve">A subtler prediction concerns whether technological capability alters</w:t>
      </w:r>
      <w:r>
        <w:t xml:space="preserve"> </w:t>
      </w:r>
      <w:r>
        <w:t xml:space="preserve">the shape of the internationalization–performance relationship rather</w:t>
      </w:r>
      <w:r>
        <w:t xml:space="preserve"> </w:t>
      </w:r>
      <w:r>
        <w:t xml:space="preserve">than simply raising average productivity. From a non-location-bound</w:t>
      </w:r>
      <w:r>
        <w:t xml:space="preserve"> </w:t>
      </w:r>
      <w:r>
        <w:t xml:space="preserve">firm-specific advantage perspective, technological capability may travel</w:t>
      </w:r>
      <w:r>
        <w:t xml:space="preserve"> </w:t>
      </w:r>
      <w:r>
        <w:t xml:space="preserve">across markets without requiring the same degree of adaptation as</w:t>
      </w:r>
      <w:r>
        <w:t xml:space="preserve"> </w:t>
      </w:r>
      <w:r>
        <w:t xml:space="preserve">context-dependent coordination tools. This suggests that its most stable</w:t>
      </w:r>
      <w:r>
        <w:t xml:space="preserve"> </w:t>
      </w:r>
      <w:r>
        <w:t xml:space="preserve">empirical role may lie in its direct association with productivity,</w:t>
      </w:r>
      <w:r>
        <w:t xml:space="preserve"> </w:t>
      </w:r>
      <w:r>
        <w:t xml:space="preserve">while any moderation of the FSTS–performance relationship is less</w:t>
      </w:r>
      <w:r>
        <w:t xml:space="preserve"> </w:t>
      </w:r>
      <w:r>
        <w:t xml:space="preserve">certain and should be treated as an empirical question rather than</w:t>
      </w:r>
      <w:r>
        <w:t xml:space="preserve"> </w:t>
      </w:r>
      <w:r>
        <w:t xml:space="preserve">presumed ex ante. Whether technological capability (TCI) also moderates</w:t>
      </w:r>
      <w:r>
        <w:t xml:space="preserve"> </w:t>
      </w:r>
      <w:r>
        <w:t xml:space="preserve">the internationalization–performance relationship is treated as an open</w:t>
      </w:r>
      <w:r>
        <w:t xml:space="preserve"> </w:t>
      </w:r>
      <w:r>
        <w:t xml:space="preserve">empirical question and assessed in a supplementary specification rather</w:t>
      </w:r>
      <w:r>
        <w:t xml:space="preserve"> </w:t>
      </w:r>
      <w:r>
        <w:t xml:space="preserve">than as a hypothesized moderation channel. Consequently, this paper</w:t>
      </w:r>
      <w:r>
        <w:t xml:space="preserve"> </w:t>
      </w:r>
      <w:r>
        <w:t xml:space="preserve">formally states H1, H2, and H3 only; a TCI moderation hypothesis is not</w:t>
      </w:r>
      <w:r>
        <w:t xml:space="preserve"> </w:t>
      </w:r>
      <w:r>
        <w:t xml:space="preserve">posited for the Singapore context, where the advanced-economy setting</w:t>
      </w:r>
      <w:r>
        <w:t xml:space="preserve"> </w:t>
      </w:r>
      <w:r>
        <w:t xml:space="preserve">and near-universal digital diffusion do not generate the institutional</w:t>
      </w:r>
      <w:r>
        <w:t xml:space="preserve"> </w:t>
      </w:r>
      <w:r>
        <w:t xml:space="preserve">heterogeneity that would support a confident ex-ante prediction about</w:t>
      </w:r>
      <w:r>
        <w:t xml:space="preserve"> </w:t>
      </w:r>
      <w:r>
        <w:t xml:space="preserve">TCI-contingent I–P curvature. The present paper’s H2 and H3 are</w:t>
      </w:r>
      <w:r>
        <w:t xml:space="preserve"> </w:t>
      </w:r>
      <w:r>
        <w:t xml:space="preserve">accordingly numbered consecutively after H1: H2 captures the conditional</w:t>
      </w:r>
      <w:r>
        <w:t xml:space="preserve"> </w:t>
      </w:r>
      <w:r>
        <w:t xml:space="preserve">(non-uniform) DAI–productivity association, and H3 captures the</w:t>
      </w:r>
      <w:r>
        <w:t xml:space="preserve"> </w:t>
      </w:r>
      <w:r>
        <w:t xml:space="preserve">export-intensity-contingent moderation of DAI on the I–P relationship.</w:t>
      </w:r>
    </w:p>
    <w:bookmarkEnd w:id="29"/>
    <w:bookmarkStart w:id="30" w:name="dai-direct-effect-on-productivity"/>
    <w:p>
      <w:pPr>
        <w:pStyle w:val="Heading4"/>
      </w:pPr>
      <w:r>
        <w:t xml:space="preserve">2.3.3 DAI direct effect on productivity</w:t>
      </w:r>
    </w:p>
    <w:p>
      <w:pPr>
        <w:pStyle w:val="FirstParagraph"/>
      </w:pPr>
      <w:r>
        <w:t xml:space="preserve">Digital adoption is associated with firm performance through faster</w:t>
      </w:r>
      <w:r>
        <w:t xml:space="preserve"> </w:t>
      </w:r>
      <w:r>
        <w:t xml:space="preserve">information flows, lower transaction frictions, and more efficient</w:t>
      </w:r>
      <w:r>
        <w:t xml:space="preserve"> </w:t>
      </w:r>
      <w:r>
        <w:t xml:space="preserve">digital exchange, but such associations are unlikely to be uniform</w:t>
      </w:r>
      <w:r>
        <w:t xml:space="preserve"> </w:t>
      </w:r>
      <w:r>
        <w:t xml:space="preserve">across firms. In the present empirical setting, the available indicators</w:t>
      </w:r>
      <w:r>
        <w:t xml:space="preserve"> </w:t>
      </w:r>
      <w:r>
        <w:t xml:space="preserve">capture foundational digital interfaces and transaction-enabling</w:t>
      </w:r>
      <w:r>
        <w:t xml:space="preserve"> </w:t>
      </w:r>
      <w:r>
        <w:t xml:space="preserve">mechanisms rather than deeper digitally integrated organizational</w:t>
      </w:r>
      <w:r>
        <w:t xml:space="preserve"> </w:t>
      </w:r>
      <w:r>
        <w:t xml:space="preserve">capabilities. Their productivity relevance is therefore not expected to</w:t>
      </w:r>
      <w:r>
        <w:t xml:space="preserve"> </w:t>
      </w:r>
      <w:r>
        <w:t xml:space="preserve">appear as a large, unconditional firm-wide premium, but as an</w:t>
      </w:r>
      <w:r>
        <w:t xml:space="preserve"> </w:t>
      </w:r>
      <w:r>
        <w:t xml:space="preserve">association whose strength may depend on the scale at which firms</w:t>
      </w:r>
      <w:r>
        <w:t xml:space="preserve"> </w:t>
      </w:r>
      <w:r>
        <w:t xml:space="preserve">actually use those digital channels. Hypothesis 2 (H2). In Singapore,</w:t>
      </w:r>
      <w:r>
        <w:t xml:space="preserve"> </w:t>
      </w:r>
      <w:r>
        <w:t xml:space="preserve">when firms adopt foundational digital interfaces and</w:t>
      </w:r>
      <w:r>
        <w:t xml:space="preserve"> </w:t>
      </w:r>
      <w:r>
        <w:t xml:space="preserve">transaction-enabling mechanisms (Tier 1–2), the productivity association</w:t>
      </w:r>
      <w:r>
        <w:t xml:space="preserve"> </w:t>
      </w:r>
      <w:r>
        <w:t xml:space="preserve">of DAI is conditional rather than uniform across firms, because the</w:t>
      </w:r>
      <w:r>
        <w:t xml:space="preserve"> </w:t>
      </w:r>
      <w:r>
        <w:t xml:space="preserve">marginal return to basic digital adoption depends on the scale at which</w:t>
      </w:r>
      <w:r>
        <w:t xml:space="preserve"> </w:t>
      </w:r>
      <w:r>
        <w:t xml:space="preserve">those digital channels are actually used (Bharadwaj et al. 2013; Verhoef</w:t>
      </w:r>
      <w:r>
        <w:t xml:space="preserve"> </w:t>
      </w:r>
      <w:r>
        <w:t xml:space="preserve">et al. 2021), until a level of export intensity is reached at which</w:t>
      </w:r>
      <w:r>
        <w:t xml:space="preserve"> </w:t>
      </w:r>
      <w:r>
        <w:t xml:space="preserve">cross-border coordination demands generate measurable returns.</w:t>
      </w:r>
    </w:p>
    <w:bookmarkEnd w:id="30"/>
    <w:bookmarkStart w:id="31" w:name="X4a1dd7965a5d35ccd8d325197ae2dd2e833f047"/>
    <w:p>
      <w:pPr>
        <w:pStyle w:val="Heading4"/>
      </w:pPr>
      <w:r>
        <w:t xml:space="preserve">2.3.4 DAI as a conditional complement to export intensity</w:t>
      </w:r>
    </w:p>
    <w:p>
      <w:pPr>
        <w:pStyle w:val="FirstParagraph"/>
      </w:pPr>
      <w:r>
        <w:t xml:space="preserve">The most specific prediction concerns whether foundational digital</w:t>
      </w:r>
      <w:r>
        <w:t xml:space="preserve"> </w:t>
      </w:r>
      <w:r>
        <w:t xml:space="preserve">adoption becomes more relevant when firms face denser cross-border</w:t>
      </w:r>
      <w:r>
        <w:t xml:space="preserve"> </w:t>
      </w:r>
      <w:r>
        <w:t xml:space="preserve">coordination demands. Firms with higher export intensity process more</w:t>
      </w:r>
      <w:r>
        <w:t xml:space="preserve"> </w:t>
      </w:r>
      <w:r>
        <w:t xml:space="preserve">transactions across customers, suppliers, and markets, making digital</w:t>
      </w:r>
      <w:r>
        <w:t xml:space="preserve"> </w:t>
      </w:r>
      <w:r>
        <w:t xml:space="preserve">interfaces and electronic transaction systems potentially more valuable</w:t>
      </w:r>
      <w:r>
        <w:t xml:space="preserve"> </w:t>
      </w:r>
      <w:r>
        <w:t xml:space="preserve">as scaling mechanisms. By contrast, firms with low export intensity may</w:t>
      </w:r>
      <w:r>
        <w:t xml:space="preserve"> </w:t>
      </w:r>
      <w:r>
        <w:t xml:space="preserve">have fewer opportunities to translate basic digital adoption into</w:t>
      </w:r>
      <w:r>
        <w:t xml:space="preserve"> </w:t>
      </w:r>
      <w:r>
        <w:t xml:space="preserve">measurable labour-productivity gains.</w:t>
      </w:r>
    </w:p>
    <w:p>
      <w:pPr>
        <w:pStyle w:val="BodyText"/>
      </w:pPr>
      <w:r>
        <w:rPr>
          <w:bCs/>
          <w:b/>
        </w:rPr>
        <w:t xml:space="preserve">Three candidate mechanisms.</w:t>
      </w:r>
      <w:r>
        <w:t xml:space="preserve"> </w:t>
      </w:r>
      <w:r>
        <w:t xml:space="preserve">Before stating H3 we name the three channels that could generate a positive export-contingent DAI association, since identifying the focal mechanism ex ante disciplines the empirical reading.</w:t>
      </w:r>
      <w:r>
        <w:t xml:space="preserve"> </w:t>
      </w:r>
      <w:r>
        <w:rPr>
          <w:iCs/>
          <w:i/>
        </w:rPr>
        <w:t xml:space="preserve">Substitution</w:t>
      </w:r>
      <w:r>
        <w:t xml:space="preserve">: foundational digital adoption compensates for weaker alternative coordination resources at higher export intensity, predicting a</w:t>
      </w:r>
      <w:r>
        <w:t xml:space="preserve"> </w:t>
      </w:r>
      <w:r>
        <w:rPr>
          <w:iCs/>
          <w:i/>
        </w:rPr>
        <w:t xml:space="preserve">level shift</w:t>
      </w:r>
      <w:r>
        <w:t xml:space="preserve"> </w:t>
      </w:r>
      <w:r>
        <w:t xml:space="preserve">of the I–P curve for high-DAI firms but not necessarily accelerating returns.</w:t>
      </w:r>
      <w:r>
        <w:t xml:space="preserve"> </w:t>
      </w:r>
      <w:r>
        <w:rPr>
          <w:iCs/>
          <w:i/>
        </w:rPr>
        <w:t xml:space="preserve">Amplification</w:t>
      </w:r>
      <w:r>
        <w:t xml:space="preserve">: digital adoption raises the</w:t>
      </w:r>
      <w:r>
        <w:t xml:space="preserve"> </w:t>
      </w:r>
      <w:r>
        <w:rPr>
          <w:iCs/>
          <w:i/>
        </w:rPr>
        <w:t xml:space="preserve">marginal</w:t>
      </w:r>
      <w:r>
        <w:t xml:space="preserve"> </w:t>
      </w:r>
      <w:r>
        <w:t xml:space="preserve">return to each additional unit of export intensity, rotating the curve upward, and is identified by a positive</w:t>
      </w:r>
      <w:r>
        <w:t xml:space="preserve"> </w:t>
      </w:r>
      <w:r>
        <w:rPr>
          <w:iCs/>
          <w:i/>
        </w:rPr>
        <w:t xml:space="preserve">quadratic</w:t>
      </w:r>
      <w:r>
        <w:t xml:space="preserve"> </w:t>
      </w:r>
      <w:r>
        <w:t xml:space="preserve">FSTS × DAI interaction (super-linear growth that a level shift would not produce).</w:t>
      </w:r>
      <w:r>
        <w:t xml:space="preserve"> </w:t>
      </w:r>
      <w:r>
        <w:rPr>
          <w:iCs/>
          <w:i/>
        </w:rPr>
        <w:t xml:space="preserve">Selection</w:t>
      </w:r>
      <w:r>
        <w:t xml:space="preserve">: inherently more productive firms select into both high digital adoption and high export intensity, producing a positive cross-sectional interaction with no causal scaling; it predicts attenuation under sample restrictions and is the principal identification threat in a single-wave cross-section. H3 is framed under the amplification expectation, with the positive quadratic interaction serving as its test in Section 4 and substitution/selection retained as alternatives assessed against the Section 4.5 robustness evidence.</w:t>
      </w:r>
    </w:p>
    <w:p>
      <w:pPr>
        <w:pStyle w:val="BodyText"/>
      </w:pPr>
      <w:r>
        <w:t xml:space="preserve">Hypothesis 3 (H3). In Singapore, when firms operate at higher export</w:t>
      </w:r>
      <w:r>
        <w:t xml:space="preserve"> </w:t>
      </w:r>
      <w:r>
        <w:t xml:space="preserve">intensity, the association between digital adoption (DAI) and firm</w:t>
      </w:r>
      <w:r>
        <w:t xml:space="preserve"> </w:t>
      </w:r>
      <w:r>
        <w:t xml:space="preserve">performance becomes more positive because foundational digital tools</w:t>
      </w:r>
      <w:r>
        <w:t xml:space="preserve"> </w:t>
      </w:r>
      <w:r>
        <w:t xml:space="preserve">reduce cross-border coordination costs super-linearly rather than</w:t>
      </w:r>
      <w:r>
        <w:t xml:space="preserve"> </w:t>
      </w:r>
      <w:r>
        <w:t xml:space="preserve">proportionally (coordination platform mechanism: Stallkamp and Schotter</w:t>
      </w:r>
      <w:r>
        <w:t xml:space="preserve"> </w:t>
      </w:r>
      <w:r>
        <w:t xml:space="preserve">2021; Barney 1991), with the amplification effect becoming detectable</w:t>
      </w:r>
      <w:r>
        <w:t xml:space="preserve"> </w:t>
      </w:r>
      <w:r>
        <w:t xml:space="preserve">only beyond the export-intensity threshold at which transaction volume</w:t>
      </w:r>
      <w:r>
        <w:t xml:space="preserve"> </w:t>
      </w:r>
      <w:r>
        <w:t xml:space="preserve">justifies intensive use of digital interfaces and electronic-payment</w:t>
      </w:r>
      <w:r>
        <w:t xml:space="preserve"> </w:t>
      </w:r>
      <w:r>
        <w:t xml:space="preserve">systems.</w:t>
      </w:r>
    </w:p>
    <w:bookmarkEnd w:id="31"/>
    <w:bookmarkEnd w:id="32"/>
    <w:bookmarkStart w:id="33" w:name="conceptual-model"/>
    <w:p>
      <w:pPr>
        <w:pStyle w:val="Heading3"/>
      </w:pPr>
      <w:r>
        <w:t xml:space="preserve">2.4 Conceptual model</w:t>
      </w:r>
    </w:p>
    <w:p>
      <w:pPr>
        <w:pStyle w:val="FirstParagraph"/>
      </w:pPr>
      <w:r>
        <w:t xml:space="preserve">Figure 1 summarizes the conceptual model. The model treats TCI and DAI</w:t>
      </w:r>
      <w:r>
        <w:t xml:space="preserve"> </w:t>
      </w:r>
      <w:r>
        <w:t xml:space="preserve">as analytically distinct firm-level constructs that are associated with</w:t>
      </w:r>
      <w:r>
        <w:t xml:space="preserve"> </w:t>
      </w:r>
      <w:r>
        <w:t xml:space="preserve">firm performance through different channels. TCI enters the model</w:t>
      </w:r>
      <w:r>
        <w:t xml:space="preserve"> </w:t>
      </w:r>
      <w:r>
        <w:t xml:space="preserve">primarily as a direct-effect construct, reflecting firm-internal</w:t>
      </w:r>
      <w:r>
        <w:t xml:space="preserve"> </w:t>
      </w:r>
      <w:r>
        <w:t xml:space="preserve">capability depth grounded in learning, innovation, and technology</w:t>
      </w:r>
      <w:r>
        <w:t xml:space="preserve"> </w:t>
      </w:r>
      <w:r>
        <w:t xml:space="preserve">absorption; whether TCI also moderates the FSTS–performance relationship</w:t>
      </w:r>
      <w:r>
        <w:t xml:space="preserve"> </w:t>
      </w:r>
      <w:r>
        <w:t xml:space="preserve">is examined in a supplementary test rather than presumed ex ante. DAI,</w:t>
      </w:r>
      <w:r>
        <w:t xml:space="preserve"> </w:t>
      </w:r>
      <w:r>
        <w:t xml:space="preserve">by contrast, is the contingency variable on the I–P path: its</w:t>
      </w:r>
      <w:r>
        <w:t xml:space="preserve"> </w:t>
      </w:r>
      <w:r>
        <w:t xml:space="preserve">productivity relevance is theorized to vary across levels of export</w:t>
      </w:r>
      <w:r>
        <w:t xml:space="preserve"> </w:t>
      </w:r>
      <w:r>
        <w:t xml:space="preserve">intensity rather than to operate as a uniform direct premium, because</w:t>
      </w:r>
      <w:r>
        <w:t xml:space="preserve"> </w:t>
      </w:r>
      <w:r>
        <w:t xml:space="preserve">the observed indicators capture foundational digital interfaces and</w:t>
      </w:r>
      <w:r>
        <w:t xml:space="preserve"> </w:t>
      </w:r>
      <w:r>
        <w:t xml:space="preserve">transaction-enabling mechanisms whose relevance depends on how</w:t>
      </w:r>
      <w:r>
        <w:t xml:space="preserve"> </w:t>
      </w:r>
      <w:r>
        <w:t xml:space="preserve">intensively firms engage in cross-border operations. In this sense, H2</w:t>
      </w:r>
      <w:r>
        <w:t xml:space="preserve"> </w:t>
      </w:r>
      <w:r>
        <w:t xml:space="preserve">and H3 are jointly informative: H2 concerns the non-uniformity of the</w:t>
      </w:r>
      <w:r>
        <w:t xml:space="preserve"> </w:t>
      </w:r>
      <w:r>
        <w:t xml:space="preserve">DAI–productivity association, whereas H3 specifies the direction of that</w:t>
      </w:r>
      <w:r>
        <w:t xml:space="preserve"> </w:t>
      </w:r>
      <w:r>
        <w:t xml:space="preserve">contingency across export intensity. The model is therefore positioned</w:t>
      </w:r>
      <w:r>
        <w:t xml:space="preserve"> </w:t>
      </w:r>
      <w:r>
        <w:t xml:space="preserve">as a within-context framework for interpreting firm-level evidence from</w:t>
      </w:r>
      <w:r>
        <w:t xml:space="preserve"> </w:t>
      </w:r>
      <w:r>
        <w:t xml:space="preserve">Singapore rather than as a design that can, on its own, establish a</w:t>
      </w:r>
      <w:r>
        <w:t xml:space="preserve"> </w:t>
      </w:r>
      <w:r>
        <w:t xml:space="preserve">general boundary condition for digitally mature economies.</w:t>
      </w:r>
    </w:p>
    <w:p>
      <w:pPr>
        <w:pStyle w:val="BodyText"/>
      </w:pPr>
      <w:r>
        <w:t xml:space="preserve">Figure 1: Conceptual model, TCI and DAI moderating the I–P relationship</w:t>
      </w:r>
      <w:r>
        <w:t xml:space="preserve"> </w:t>
      </w:r>
      <w:r>
        <w:t xml:space="preserve">(Singapore)</w:t>
      </w:r>
    </w:p>
    <w:p>
      <w:pPr>
        <w:pStyle w:val="BodyText"/>
      </w:pPr>
      <w:r>
        <w:rPr>
          <w:iCs/>
          <w:i/>
        </w:rPr>
        <w:t xml:space="preserve">Figure 1.</w:t>
      </w:r>
      <w:r>
        <w:t xml:space="preserve"> </w:t>
      </w:r>
      <w:r>
        <w:t xml:space="preserve">Conceptual model for Paper 4 (Singapore).</w:t>
      </w:r>
    </w:p>
    <w:p>
      <w:pPr>
        <w:pStyle w:val="BodyText"/>
      </w:pPr>
      <w:r>
        <w:rPr>
          <w:iCs/>
          <w:i/>
        </w:rPr>
        <w:t xml:space="preserve">Note:</w:t>
      </w:r>
      <w:r>
        <w:t xml:space="preserve"> </w:t>
      </w:r>
      <w:r>
        <w:t xml:space="preserve">Solid arrows represent hypothesised direct effects; dashed</w:t>
      </w:r>
      <w:r>
        <w:t xml:space="preserve"> </w:t>
      </w:r>
      <w:r>
        <w:t xml:space="preserve">arrows represent moderating and conditional effects. The independent</w:t>
      </w:r>
      <w:r>
        <w:t xml:space="preserve"> </w:t>
      </w:r>
      <w:r>
        <w:t xml:space="preserve">variable, internationalisation intensity (FSTS, FSTS²_c), is placed at</w:t>
      </w:r>
      <w:r>
        <w:t xml:space="preserve"> </w:t>
      </w:r>
      <w:r>
        <w:t xml:space="preserve">left; the dependent variable, ln(labour productivity), is placed at</w:t>
      </w:r>
      <w:r>
        <w:t xml:space="preserve"> </w:t>
      </w:r>
      <w:r>
        <w:t xml:space="preserve">right. H1 (inverted-U tendency with support-constrained turning point</w:t>
      </w:r>
      <w:r>
        <w:t xml:space="preserve"> </w:t>
      </w:r>
      <w:r>
        <w:t xml:space="preserve">~85.7% FSTS, bootstrap CI [58%, 398%]) is grounded in</w:t>
      </w:r>
      <w:r>
        <w:t xml:space="preserve"> </w:t>
      </w:r>
      <w:r>
        <w:t xml:space="preserve">coordination-cost theory (Hitt et al., 1997); the right-side decline is</w:t>
      </w:r>
      <w:r>
        <w:t xml:space="preserve"> </w:t>
      </w:r>
      <w:r>
        <w:t xml:space="preserve">not formally identified within the observed FSTS range, a theoretically</w:t>
      </w:r>
      <w:r>
        <w:t xml:space="preserve"> </w:t>
      </w:r>
      <w:r>
        <w:t xml:space="preserve">informative result under the saturation framework (Lind–Mehlum p =</w:t>
      </w:r>
      <w:r>
        <w:t xml:space="preserve"> </w:t>
      </w:r>
      <w:r>
        <w:t xml:space="preserve">.346). H1-TCI: technological capability (TCI_z, RBV: Barney, 1991)</w:t>
      </w:r>
      <w:r>
        <w:t xml:space="preserve"> </w:t>
      </w:r>
      <w:r>
        <w:t xml:space="preserve">enters as a direct level-shift to firm performance. H2: DAI (Tier-1+2:</w:t>
      </w:r>
      <w:r>
        <w:t xml:space="preserve"> </w:t>
      </w:r>
      <w:r>
        <w:t xml:space="preserve">website + e-payment) exhibits a non-uniform positive direct effect,</w:t>
      </w:r>
      <w:r>
        <w:t xml:space="preserve"> </w:t>
      </w:r>
      <w:r>
        <w:t xml:space="preserve">varying across export intensity. H3: DAI amplifies I to P performance</w:t>
      </w:r>
      <w:r>
        <w:t xml:space="preserve"> </w:t>
      </w:r>
      <w:r>
        <w:t xml:space="preserve">returns at high FSTS, the primary contingency hypothesis (coordination</w:t>
      </w:r>
      <w:r>
        <w:t xml:space="preserve"> </w:t>
      </w:r>
      <w:r>
        <w:t xml:space="preserve">platform mechanism: Stallkamp and Schotter, 2021; Dynamic Capabilities:</w:t>
      </w:r>
      <w:r>
        <w:t xml:space="preserve"> </w:t>
      </w:r>
      <w:r>
        <w:t xml:space="preserve">Teece, 2007). The Heckman two-step IMR sensitivity check controls</w:t>
      </w:r>
      <w:r>
        <w:t xml:space="preserve"> </w:t>
      </w:r>
      <w:r>
        <w:t xml:space="preserve">exporter selection bias but is not displayed in the figure. (+) denotes</w:t>
      </w:r>
      <w:r>
        <w:t xml:space="preserve"> </w:t>
      </w:r>
      <w:r>
        <w:t xml:space="preserve">positive association. Control variables (ln firm size, age, foreign</w:t>
      </w:r>
      <w:r>
        <w:t xml:space="preserve"> </w:t>
      </w:r>
      <w:r>
        <w:t xml:space="preserve">ownership, sector FE) are included in all empirical models. Note: H3</w:t>
      </w:r>
      <w:r>
        <w:t xml:space="preserve"> </w:t>
      </w:r>
      <w:r>
        <w:t xml:space="preserve">amplification test conducted on exporters-only subsample (n ≈ 84; power</w:t>
      </w:r>
      <w:r>
        <w:t xml:space="preserve"> </w:t>
      </w:r>
      <w:r>
        <w:t xml:space="preserve">≈ 16%, corroborating signal, not independent identification). ICRV</w:t>
      </w:r>
      <w:r>
        <w:t xml:space="preserve"> </w:t>
      </w:r>
      <w:r>
        <w:t xml:space="preserve">context: Singapore, Advanced I. Data: WBES 2023; N = 623.</w:t>
      </w:r>
    </w:p>
    <w:bookmarkEnd w:id="33"/>
    <w:bookmarkEnd w:id="34"/>
    <w:bookmarkStart w:id="43" w:name="methods"/>
    <w:p>
      <w:pPr>
        <w:pStyle w:val="Heading2"/>
      </w:pPr>
      <w:r>
        <w:t xml:space="preserve">3 Methods</w:t>
      </w:r>
    </w:p>
    <w:bookmarkStart w:id="35" w:name="data"/>
    <w:p>
      <w:pPr>
        <w:pStyle w:val="Heading3"/>
      </w:pPr>
      <w:r>
        <w:t xml:space="preserve">3.1 Data</w:t>
      </w:r>
    </w:p>
    <w:p>
      <w:pPr>
        <w:pStyle w:val="FirstParagraph"/>
      </w:pPr>
      <w:r>
        <w:t xml:space="preserve">We use the World Bank Enterprise Survey (WBES) Singapore 2023 wave, the</w:t>
      </w:r>
      <w:r>
        <w:t xml:space="preserve"> </w:t>
      </w:r>
      <w:r>
        <w:t xml:space="preserve">most recent firm-level microdata available for Singapore. The 2023 wave</w:t>
      </w:r>
      <w:r>
        <w:t xml:space="preserve"> </w:t>
      </w:r>
      <w:r>
        <w:t xml:space="preserve">was administered under the B-READY methodology, which expanded the</w:t>
      </w:r>
      <w:r>
        <w:t xml:space="preserve"> </w:t>
      </w:r>
      <w:r>
        <w:t xml:space="preserve">digital-adoption module to include items on electronic-payment</w:t>
      </w:r>
      <w:r>
        <w:t xml:space="preserve"> </w:t>
      </w:r>
      <w:r>
        <w:t xml:space="preserve">penetration. After listwise deletion on focal variables, the analytic</w:t>
      </w:r>
      <w:r>
        <w:t xml:space="preserve"> </w:t>
      </w:r>
      <w:r>
        <w:t xml:space="preserve">sample comprises 623 firms across major sectors of the Singapore</w:t>
      </w:r>
      <w:r>
        <w:t xml:space="preserve"> </w:t>
      </w:r>
      <w:r>
        <w:t xml:space="preserve">economy. Manufacturing accounts for approximately 31% of the sample,</w:t>
      </w:r>
      <w:r>
        <w:t xml:space="preserve"> </w:t>
      </w:r>
      <w:r>
        <w:t xml:space="preserve">retail and other services for 50%, and other sectors for 19%. The sample</w:t>
      </w:r>
      <w:r>
        <w:t xml:space="preserve"> </w:t>
      </w:r>
      <w:r>
        <w:t xml:space="preserve">is predominantly domestic in orientation: 18% of firms report non-zero</w:t>
      </w:r>
      <w:r>
        <w:t xml:space="preserve"> </w:t>
      </w:r>
      <w:r>
        <w:t xml:space="preserve">exports, and only 3% exceed 50% foreign sales to total sales (FSTS).</w:t>
      </w:r>
      <w:r>
        <w:t xml:space="preserve"> </w:t>
      </w:r>
      <w:r>
        <w:t xml:space="preserve">This domestic skew is not anomalous for the WBES sampling frame, which</w:t>
      </w:r>
      <w:r>
        <w:t xml:space="preserve"> </w:t>
      </w:r>
      <w:r>
        <w:t xml:space="preserve">targets privately held firms with fewer than 300 employees across</w:t>
      </w:r>
      <w:r>
        <w:t xml:space="preserve"> </w:t>
      </w:r>
      <w:r>
        <w:t xml:space="preserve">manufacturing and services sectors, and therefore systematically</w:t>
      </w:r>
      <w:r>
        <w:t xml:space="preserve"> </w:t>
      </w:r>
      <w:r>
        <w:t xml:space="preserve">under-represents the large, export-oriented multinationals that account</w:t>
      </w:r>
      <w:r>
        <w:t xml:space="preserve"> </w:t>
      </w:r>
      <w:r>
        <w:t xml:space="preserve">for the majority of Singapore’s aggregate trade flows (national</w:t>
      </w:r>
      <w:r>
        <w:t xml:space="preserve"> </w:t>
      </w:r>
      <w:r>
        <w:t xml:space="preserve">trade/GDP exceeds 300%). The sample is accordingly representative of</w:t>
      </w:r>
      <w:r>
        <w:t xml:space="preserve"> </w:t>
      </w:r>
      <w:r>
        <w:t xml:space="preserve">Singapore’s SME sector rather than of the national export economy;</w:t>
      </w:r>
      <w:r>
        <w:t xml:space="preserve"> </w:t>
      </w:r>
      <w:r>
        <w:t xml:space="preserve">external-validity inferences should be bounded to firms of comparable</w:t>
      </w:r>
      <w:r>
        <w:t xml:space="preserve"> </w:t>
      </w:r>
      <w:r>
        <w:t xml:space="preserve">size and domestic orientation. Descriptive statistics and pairwise</w:t>
      </w:r>
      <w:r>
        <w:t xml:space="preserve"> </w:t>
      </w:r>
      <w:r>
        <w:t xml:space="preserve">correlations are reported in Table 1.</w:t>
      </w:r>
    </w:p>
    <w:p>
      <w:pPr>
        <w:pStyle w:val="BodyText"/>
      </w:pPr>
      <w:r>
        <w:rPr>
          <w:bCs/>
          <w:b/>
        </w:rPr>
        <w:t xml:space="preserve">DAI distribution note.</w:t>
      </w:r>
      <w:r>
        <w:t xml:space="preserve"> </w:t>
      </w:r>
      <w:r>
        <w:t xml:space="preserve">The Singapore DAI distribution reveals high</w:t>
      </w:r>
      <w:r>
        <w:t xml:space="preserve"> </w:t>
      </w:r>
      <w:r>
        <w:t xml:space="preserve">saturation: website presence is reported by approximately 67% of firms,</w:t>
      </w:r>
      <w:r>
        <w:t xml:space="preserve"> </w:t>
      </w:r>
      <w:r>
        <w:t xml:space="preserve">and Tier-2 e-payment adoption (customer- and supplier-side) is</w:t>
      </w:r>
      <w:r>
        <w:t xml:space="preserve"> </w:t>
      </w:r>
      <w:r>
        <w:t xml:space="preserve">widespread relative to less digitally mature institutional settings.</w:t>
      </w:r>
      <w:r>
        <w:t xml:space="preserve"> </w:t>
      </w:r>
      <w:r>
        <w:t xml:space="preserve">This saturation pattern at the advanced-economy ceiling of the</w:t>
      </w:r>
      <w:r>
        <w:t xml:space="preserve"> </w:t>
      </w:r>
      <w:r>
        <w:t xml:space="preserve">digital-infrastructure spectrum has two empirically relevant</w:t>
      </w:r>
      <w:r>
        <w:t xml:space="preserve"> </w:t>
      </w:r>
      <w:r>
        <w:t xml:space="preserve">implications. First, the near-universal diffusion of Tier-1 digital</w:t>
      </w:r>
      <w:r>
        <w:t xml:space="preserve"> </w:t>
      </w:r>
      <w:r>
        <w:t xml:space="preserve">presence removes the discriminatory power that the website indicator</w:t>
      </w:r>
      <w:r>
        <w:t xml:space="preserve"> </w:t>
      </w:r>
      <w:r>
        <w:t xml:space="preserve">alone could carry in less digitally mature settings, so the empirical</w:t>
      </w:r>
      <w:r>
        <w:t xml:space="preserve"> </w:t>
      </w:r>
      <w:r>
        <w:t xml:space="preserve">signal must be drawn from the Tier-2 transaction-enabling layer</w:t>
      </w:r>
      <w:r>
        <w:t xml:space="preserve"> </w:t>
      </w:r>
      <w:r>
        <w:t xml:space="preserve">(e-payment intensity on both customer and supplier sides) to identify</w:t>
      </w:r>
      <w:r>
        <w:t xml:space="preserve"> </w:t>
      </w:r>
      <w:r>
        <w:t xml:space="preserve">the conditional-scaling mechanism, a measurement implication that is</w:t>
      </w:r>
      <w:r>
        <w:t xml:space="preserve"> </w:t>
      </w:r>
      <w:r>
        <w:t xml:space="preserve">borne out in the Section 4.5 R1 robustness diagnostic, where reducing DAI to</w:t>
      </w:r>
      <w:r>
        <w:t xml:space="preserve"> </w:t>
      </w:r>
      <w:r>
        <w:t xml:space="preserve">Tier-1 alone substantially weakens the quadratic interaction. Second, in</w:t>
      </w:r>
      <w:r>
        <w:t xml:space="preserve"> </w:t>
      </w:r>
      <w:r>
        <w:t xml:space="preserve">transitional-economy settings where Tier-1 digital adoption has diffused</w:t>
      </w:r>
      <w:r>
        <w:t xml:space="preserve"> </w:t>
      </w:r>
      <w:r>
        <w:t xml:space="preserve">widely while Tier-2 transaction-enabling infrastructure remains</w:t>
      </w:r>
      <w:r>
        <w:t xml:space="preserve"> </w:t>
      </w:r>
      <w:r>
        <w:t xml:space="preserve">institutionally bounded, the same construct measured at Tier-1 only</w:t>
      </w:r>
      <w:r>
        <w:t xml:space="preserve"> </w:t>
      </w:r>
      <w:r>
        <w:t xml:space="preserve">would not be expected to produce a comparable positive quadratic</w:t>
      </w:r>
      <w:r>
        <w:t xml:space="preserve"> </w:t>
      </w:r>
      <w:r>
        <w:t xml:space="preserve">interaction; instead it would be more plausibly read as construct-tier</w:t>
      </w:r>
      <w:r>
        <w:t xml:space="preserve"> </w:t>
      </w:r>
      <w:r>
        <w:t xml:space="preserve">obsolescence than as evidence on the conditional-scaling mechanism (see</w:t>
      </w:r>
      <w:r>
        <w:t xml:space="preserve"> </w:t>
      </w:r>
      <w:r>
        <w:t xml:space="preserve">Section 5.1 for the construct-boundary discussion). The Lind–Mehlum equivalence</w:t>
      </w:r>
      <w:r>
        <w:t xml:space="preserve"> </w:t>
      </w:r>
      <w:r>
        <w:t xml:space="preserve">test result (p = .346) reported in Section 4.2 should therefore be interpreted</w:t>
      </w:r>
      <w:r>
        <w:t xml:space="preserve"> </w:t>
      </w:r>
      <w:r>
        <w:t xml:space="preserve">in conjunction with the Tier-1+2 construct composition and the high</w:t>
      </w:r>
      <w:r>
        <w:t xml:space="preserve"> </w:t>
      </w:r>
      <w:r>
        <w:t xml:space="preserve">domestic-orientation distribution of the Singapore sample, not as a</w:t>
      </w:r>
      <w:r>
        <w:t xml:space="preserve"> </w:t>
      </w:r>
      <w:r>
        <w:t xml:space="preserve">stand-alone null on the inverted-U logic. Figure 3 [see Figures</w:t>
      </w:r>
      <w:r>
        <w:t xml:space="preserve"> </w:t>
      </w:r>
      <w:r>
        <w:t xml:space="preserve">section] illustrates the predicted I–P curve and the sparse upper-tail</w:t>
      </w:r>
      <w:r>
        <w:t xml:space="preserve"> </w:t>
      </w:r>
      <w:r>
        <w:t xml:space="preserve">region where the turning point is implied.</w:t>
      </w:r>
    </w:p>
    <w:bookmarkEnd w:id="35"/>
    <w:bookmarkStart w:id="40" w:name="variables"/>
    <w:p>
      <w:pPr>
        <w:pStyle w:val="Heading3"/>
      </w:pPr>
      <w:r>
        <w:t xml:space="preserve">3.2 Variables</w:t>
      </w:r>
    </w:p>
    <w:bookmarkStart w:id="36" w:name="dependent-variable"/>
    <w:p>
      <w:pPr>
        <w:pStyle w:val="Heading4"/>
      </w:pPr>
      <w:r>
        <w:t xml:space="preserve">3.2.1 Dependent variable</w:t>
      </w:r>
    </w:p>
    <w:p>
      <w:pPr>
        <w:pStyle w:val="FirstParagraph"/>
      </w:pPr>
      <w:r>
        <w:t xml:space="preserve">Firm performance is operationalized as labour productivity, measured as</w:t>
      </w:r>
      <w:r>
        <w:t xml:space="preserve"> </w:t>
      </w:r>
      <w:r>
        <w:t xml:space="preserve">the natural logarithm of annual sales divided by the number of full-time</w:t>
      </w:r>
      <w:r>
        <w:t xml:space="preserve"> </w:t>
      </w:r>
      <w:r>
        <w:t xml:space="preserve">employees. This measure is constructed from WBES annual sales and</w:t>
      </w:r>
      <w:r>
        <w:t xml:space="preserve"> </w:t>
      </w:r>
      <w:r>
        <w:t xml:space="preserve">employment items and follows the productivity-as-performance approach</w:t>
      </w:r>
      <w:r>
        <w:t xml:space="preserve"> </w:t>
      </w:r>
      <w:r>
        <w:t xml:space="preserve">used in prior firm-level international business research. Because all</w:t>
      </w:r>
      <w:r>
        <w:t xml:space="preserve"> </w:t>
      </w:r>
      <w:r>
        <w:t xml:space="preserve">sampled observations belong to the same 2023 cross-section, sales are</w:t>
      </w:r>
      <w:r>
        <w:t xml:space="preserve"> </w:t>
      </w:r>
      <w:r>
        <w:t xml:space="preserve">expressed in nominal 2023 Singapore dollars, with any common price-level</w:t>
      </w:r>
      <w:r>
        <w:t xml:space="preserve"> </w:t>
      </w:r>
      <w:r>
        <w:t xml:space="preserve">effect absorbed by the intercept.</w:t>
      </w:r>
    </w:p>
    <w:bookmarkEnd w:id="36"/>
    <w:bookmarkStart w:id="37" w:name="focal-independent-variable"/>
    <w:p>
      <w:pPr>
        <w:pStyle w:val="Heading4"/>
      </w:pPr>
      <w:r>
        <w:t xml:space="preserve">3.2.2 Focal independent variable</w:t>
      </w:r>
    </w:p>
    <w:p>
      <w:pPr>
        <w:pStyle w:val="FirstParagraph"/>
      </w:pPr>
      <w:r>
        <w:t xml:space="preserve">The focal internationalization variable is FSTS, defined as the</w:t>
      </w:r>
      <w:r>
        <w:t xml:space="preserve"> </w:t>
      </w:r>
      <w:r>
        <w:t xml:space="preserve">proportion of annual sales derived from direct exports and rescaled to</w:t>
      </w:r>
      <w:r>
        <w:t xml:space="preserve"> </w:t>
      </w:r>
      <w:r>
        <w:t xml:space="preserve">the [0, 1] interval. FSTS is mean-centered before squaring in order to</w:t>
      </w:r>
      <w:r>
        <w:t xml:space="preserve"> </w:t>
      </w:r>
      <w:r>
        <w:t xml:space="preserve">mitigate multicollinearity between the linear and quadratic terms (Aiken</w:t>
      </w:r>
      <w:r>
        <w:t xml:space="preserve"> </w:t>
      </w:r>
      <w:r>
        <w:t xml:space="preserve">and West 1991). In the final specifications, variance inflation factors</w:t>
      </w:r>
      <w:r>
        <w:t xml:space="preserve"> </w:t>
      </w:r>
      <w:r>
        <w:t xml:space="preserve">remain below 3, indicating that multicollinearity is not a material</w:t>
      </w:r>
      <w:r>
        <w:t xml:space="preserve"> </w:t>
      </w:r>
      <w:r>
        <w:t xml:space="preserve">concern (O’Brien 2007).</w:t>
      </w:r>
    </w:p>
    <w:bookmarkEnd w:id="37"/>
    <w:bookmarkStart w:id="38" w:name="tci-and-dai-composites"/>
    <w:p>
      <w:pPr>
        <w:pStyle w:val="Heading4"/>
      </w:pPr>
      <w:r>
        <w:t xml:space="preserve">3.2.3 TCI and DAI composites</w:t>
      </w:r>
    </w:p>
    <w:p>
      <w:pPr>
        <w:pStyle w:val="FirstParagraph"/>
      </w:pPr>
      <w:r>
        <w:t xml:space="preserve">Technological capability and digital adoption are modeled as two</w:t>
      </w:r>
      <w:r>
        <w:t xml:space="preserve"> </w:t>
      </w:r>
      <w:r>
        <w:t xml:space="preserve">distinct formative composites rather than reflective scales because</w:t>
      </w:r>
      <w:r>
        <w:t xml:space="preserve"> </w:t>
      </w:r>
      <w:r>
        <w:t xml:space="preserve">their indicators jointly constitute the constructs and are not</w:t>
      </w:r>
      <w:r>
        <w:t xml:space="preserve"> </w:t>
      </w:r>
      <w:r>
        <w:t xml:space="preserve">interchangeable manifestations of a single latent trait. The</w:t>
      </w:r>
      <w:r>
        <w:t xml:space="preserve"> </w:t>
      </w:r>
      <w:r>
        <w:t xml:space="preserve">Technological Capability Index (TCI) captures firm-internal capability</w:t>
      </w:r>
      <w:r>
        <w:t xml:space="preserve"> </w:t>
      </w:r>
      <w:r>
        <w:t xml:space="preserve">depth through external technology linkage, product innovation, R&amp;D</w:t>
      </w:r>
      <w:r>
        <w:t xml:space="preserve"> </w:t>
      </w:r>
      <w:r>
        <w:t xml:space="preserve">effort, and quality certification. The Digital Adoption Index (DAI)</w:t>
      </w:r>
      <w:r>
        <w:t xml:space="preserve"> </w:t>
      </w:r>
      <w:r>
        <w:t xml:space="preserve">captures firms’ uptake of foundational digital interfaces and</w:t>
      </w:r>
      <w:r>
        <w:t xml:space="preserve"> </w:t>
      </w:r>
      <w:r>
        <w:t xml:space="preserve">transaction-enabling mechanisms through website or digital presence,</w:t>
      </w:r>
      <w:r>
        <w:t xml:space="preserve"> </w:t>
      </w:r>
      <w:r>
        <w:t xml:space="preserve">customer-side electronic payment intensity, and supplier-side electronic</w:t>
      </w:r>
      <w:r>
        <w:t xml:space="preserve"> </w:t>
      </w:r>
      <w:r>
        <w:t xml:space="preserve">payment intensity. Consistent with the measurement boundary emphasized</w:t>
      </w:r>
      <w:r>
        <w:t xml:space="preserve"> </w:t>
      </w:r>
      <w:r>
        <w:t xml:space="preserve">in the manuscript, DAI should be interpreted as a Tier 1–2</w:t>
      </w:r>
      <w:r>
        <w:t xml:space="preserve"> </w:t>
      </w:r>
      <w:r>
        <w:t xml:space="preserve">digital-adoption construct rather than as a broader measure of digitally</w:t>
      </w:r>
      <w:r>
        <w:t xml:space="preserve"> </w:t>
      </w:r>
      <w:r>
        <w:t xml:space="preserve">integrated organizational capability. Following the</w:t>
      </w:r>
      <w:r>
        <w:t xml:space="preserve"> </w:t>
      </w:r>
      <w:r>
        <w:t xml:space="preserve">formative-measurement logic adopted in the study, component indicators</w:t>
      </w:r>
      <w:r>
        <w:t xml:space="preserve"> </w:t>
      </w:r>
      <w:r>
        <w:t xml:space="preserve">are standardized, aggregated using equal weights, and then</w:t>
      </w:r>
      <w:r>
        <w:t xml:space="preserve"> </w:t>
      </w:r>
      <w:r>
        <w:t xml:space="preserve">re-standardized so that coefficients are interpretable in</w:t>
      </w:r>
      <w:r>
        <w:t xml:space="preserve"> </w:t>
      </w:r>
      <w:r>
        <w:t xml:space="preserve">standard-deviation units. Empirically, the two standardized indices are</w:t>
      </w:r>
      <w:r>
        <w:t xml:space="preserve"> </w:t>
      </w:r>
      <w:r>
        <w:t xml:space="preserve">distinct in the Singapore sample (composite correlation r = 0.13; under</w:t>
      </w:r>
      <w:r>
        <w:t xml:space="preserve"> </w:t>
      </w:r>
      <w:r>
        <w:t xml:space="preserve">2 % shared variance), consistent with treating them as separate</w:t>
      </w:r>
      <w:r>
        <w:t xml:space="preserve"> </w:t>
      </w:r>
      <w:r>
        <w:t xml:space="preserve">firm-level domains rather than one redundant construct.</w:t>
      </w:r>
    </w:p>
    <w:p>
      <w:pPr>
        <w:pStyle w:val="BodyText"/>
      </w:pPr>
      <w:r>
        <w:rPr>
          <w:bCs/>
          <w:b/>
        </w:rPr>
        <w:t xml:space="preserve">R1 sensitivity diagnostic (Tier-1-only DAI).</w:t>
      </w:r>
      <w:r>
        <w:t xml:space="preserve"> </w:t>
      </w:r>
      <w:r>
        <w:t xml:space="preserve">A sensitivity check</w:t>
      </w:r>
      <w:r>
        <w:t xml:space="preserve"> </w:t>
      </w:r>
      <w:r>
        <w:t xml:space="preserve">replaces the Tier-1+2 composite DAI with a Tier-1-only variant</w:t>
      </w:r>
      <w:r>
        <w:t xml:space="preserve"> </w:t>
      </w:r>
      <w:r>
        <w:t xml:space="preserve">(website-presence indicator,</w:t>
      </w:r>
      <w:r>
        <w:t xml:space="preserve"> </w:t>
      </w:r>
      <w:r>
        <w:rPr>
          <w:rStyle w:val="VerbatimChar"/>
        </w:rPr>
        <w:t xml:space="preserve">c22b</w:t>
      </w:r>
      <w:r>
        <w:t xml:space="preserve"> </w:t>
      </w:r>
      <w:r>
        <w:t xml:space="preserve">only), restoring the single-item</w:t>
      </w:r>
      <w:r>
        <w:t xml:space="preserve"> </w:t>
      </w:r>
      <w:r>
        <w:t xml:space="preserve">digital-presence measure used in less digitally mature WBES settings</w:t>
      </w:r>
      <w:r>
        <w:t xml:space="preserve"> </w:t>
      </w:r>
      <w:r>
        <w:t xml:space="preserve">(e.g., Vietnam 2009–2015). The key result is that the FSTS²×DAI</w:t>
      </w:r>
      <w:r>
        <w:t xml:space="preserve"> </w:t>
      </w:r>
      <w:r>
        <w:t xml:space="preserve">quadratic interaction coefficient attenuates substantially, from β =</w:t>
      </w:r>
      <w:r>
        <w:t xml:space="preserve"> </w:t>
      </w:r>
      <w:r>
        <w:t xml:space="preserve">+3.220 (p = .020) in the Tier-1+2 specification to a smaller and</w:t>
      </w:r>
      <w:r>
        <w:t xml:space="preserve"> </w:t>
      </w:r>
      <w:r>
        <w:t xml:space="preserve">statistically weaker estimate, while the Tier-1+2 full model’s adjusted</w:t>
      </w:r>
      <w:r>
        <w:t xml:space="preserve"> </w:t>
      </w:r>
      <w:r>
        <w:t xml:space="preserve">R² advantage is also reduced. This pattern is directionally consistent</w:t>
      </w:r>
      <w:r>
        <w:t xml:space="preserve"> </w:t>
      </w:r>
      <w:r>
        <w:t xml:space="preserve">with the theoretical construct-boundary argument developed in Section 1.2 and</w:t>
      </w:r>
      <w:r>
        <w:t xml:space="preserve"> </w:t>
      </w:r>
      <w:r>
        <w:t xml:space="preserve">Section 3.2.3: the conditional-scaling mechanism is empirically legible when</w:t>
      </w:r>
      <w:r>
        <w:t xml:space="preserve"> </w:t>
      </w:r>
      <w:r>
        <w:t xml:space="preserve">DAI captures the Tier-2 transaction-enabling layer (e-payment intensity</w:t>
      </w:r>
      <w:r>
        <w:t xml:space="preserve"> </w:t>
      </w:r>
      <w:r>
        <w:t xml:space="preserve">on both customer and supplier sides), but not when the construct is</w:t>
      </w:r>
      <w:r>
        <w:t xml:space="preserve"> </w:t>
      </w:r>
      <w:r>
        <w:t xml:space="preserve">restricted to the Tier-1 digital-presence indicator alone. In</w:t>
      </w:r>
      <w:r>
        <w:t xml:space="preserve"> </w:t>
      </w:r>
      <w:r>
        <w:t xml:space="preserve">Singapore’s high-saturation institutional setting, the website indicator</w:t>
      </w:r>
      <w:r>
        <w:t xml:space="preserve"> </w:t>
      </w:r>
      <w:r>
        <w:t xml:space="preserve">carries insufficient discriminatory power to identify the</w:t>
      </w:r>
      <w:r>
        <w:t xml:space="preserve"> </w:t>
      </w:r>
      <w:r>
        <w:t xml:space="preserve">export-contingent amplification signal; Tier-2 e-payment intensity</w:t>
      </w:r>
      <w:r>
        <w:t xml:space="preserve"> </w:t>
      </w:r>
      <w:r>
        <w:t xml:space="preserve">provides the additional measurement variation required. The Tier-1-only</w:t>
      </w:r>
      <w:r>
        <w:t xml:space="preserve"> </w:t>
      </w:r>
      <w:r>
        <w:t xml:space="preserve">sensitivity results are available in the Stata replication package</w:t>
      </w:r>
      <w:r>
        <w:t xml:space="preserve"> </w:t>
      </w:r>
      <w:r>
        <w:t xml:space="preserve">(</w:t>
      </w:r>
      <w:r>
        <w:rPr>
          <w:rStyle w:val="VerbatimChar"/>
        </w:rPr>
        <w:t xml:space="preserve">do/02_run_models.do</w:t>
      </w:r>
      <w:r>
        <w:t xml:space="preserve">, PART C) and are consistent with the Section 1.3</w:t>
      </w:r>
      <w:r>
        <w:t xml:space="preserve"> </w:t>
      </w:r>
      <w:r>
        <w:t xml:space="preserve">supporting contribution on construct-tier specificity.</w:t>
      </w:r>
    </w:p>
    <w:bookmarkEnd w:id="38"/>
    <w:bookmarkStart w:id="39" w:name="controls"/>
    <w:p>
      <w:pPr>
        <w:pStyle w:val="Heading4"/>
      </w:pPr>
      <w:r>
        <w:t xml:space="preserve">3.2.4 Controls</w:t>
      </w:r>
    </w:p>
    <w:p>
      <w:pPr>
        <w:pStyle w:val="FirstParagraph"/>
      </w:pPr>
      <w:r>
        <w:t xml:space="preserve">The models include firm size, firm age, foreign ownership, and broad</w:t>
      </w:r>
      <w:r>
        <w:t xml:space="preserve"> </w:t>
      </w:r>
      <w:r>
        <w:t xml:space="preserve">sector fixed effects as controls. Firm size is measured as the natural</w:t>
      </w:r>
      <w:r>
        <w:t xml:space="preserve"> </w:t>
      </w:r>
      <w:r>
        <w:t xml:space="preserve">logarithm of the number of full-time employees, firm age is calculated</w:t>
      </w:r>
      <w:r>
        <w:t xml:space="preserve"> </w:t>
      </w:r>
      <w:r>
        <w:t xml:space="preserve">from year of establishment, and foreign ownership is coded as an</w:t>
      </w:r>
      <w:r>
        <w:t xml:space="preserve"> </w:t>
      </w:r>
      <w:r>
        <w:t xml:space="preserve">indicator for at least 10% foreign equity. Broad sector indicators</w:t>
      </w:r>
      <w:r>
        <w:t xml:space="preserve"> </w:t>
      </w:r>
      <w:r>
        <w:t xml:space="preserve">distinguish manufacturing, retail, and other services and absorb</w:t>
      </w:r>
      <w:r>
        <w:t xml:space="preserve"> </w:t>
      </w:r>
      <w:r>
        <w:t xml:space="preserve">sector-level heterogeneity in productivity, export propensity, and</w:t>
      </w:r>
      <w:r>
        <w:t xml:space="preserve"> </w:t>
      </w:r>
      <w:r>
        <w:t xml:space="preserve">technology-adoption norms. Manager experience, originally motivated by</w:t>
      </w:r>
      <w:r>
        <w:t xml:space="preserve"> </w:t>
      </w:r>
      <w:r>
        <w:t xml:space="preserve">the upper-echelons framework (Hambrick and Mason 1984) and initially</w:t>
      </w:r>
      <w:r>
        <w:t xml:space="preserve"> </w:t>
      </w:r>
      <w:r>
        <w:t xml:space="preserve">considered as a control, was dropped after variance-inflation</w:t>
      </w:r>
      <w:r>
        <w:t xml:space="preserve"> </w:t>
      </w:r>
      <w:r>
        <w:t xml:space="preserve">diagnostics indicated problematic collinearity with firm size.</w:t>
      </w:r>
    </w:p>
    <w:bookmarkEnd w:id="39"/>
    <w:bookmarkEnd w:id="40"/>
    <w:bookmarkStart w:id="41" w:name="Xf0d337b7871f1e30984357ede4c26fad3ab0772"/>
    <w:p>
      <w:pPr>
        <w:pStyle w:val="Heading3"/>
      </w:pPr>
      <w:r>
        <w:t xml:space="preserve">3.3 Estimation strategy and identification scope</w:t>
      </w:r>
    </w:p>
    <w:p>
      <w:pPr>
        <w:pStyle w:val="FirstParagraph"/>
      </w:pPr>
      <w:r>
        <w:t xml:space="preserve">The empirical analysis uses ordinary least squares with broad sector</w:t>
      </w:r>
      <w:r>
        <w:t xml:space="preserve"> </w:t>
      </w:r>
      <w:r>
        <w:t xml:space="preserve">fixed effects and HC1 heteroskedasticity-robust standard errors</w:t>
      </w:r>
      <w:r>
        <w:t xml:space="preserve"> </w:t>
      </w:r>
      <w:r>
        <w:t xml:space="preserve">throughout. Models are estimated sequentially, beginning with a</w:t>
      </w:r>
      <w:r>
        <w:t xml:space="preserve"> </w:t>
      </w:r>
      <w:r>
        <w:t xml:space="preserve">controls-only specification and then moving to a linear</w:t>
      </w:r>
      <w:r>
        <w:t xml:space="preserve"> </w:t>
      </w:r>
      <w:r>
        <w:t xml:space="preserve">internationalization model, a quadratic full-sample benchmark,</w:t>
      </w:r>
      <w:r>
        <w:t xml:space="preserve"> </w:t>
      </w:r>
      <w:r>
        <w:t xml:space="preserve">direct-effect models for TCI and DAI, and full specifications that</w:t>
      </w:r>
      <w:r>
        <w:t xml:space="preserve"> </w:t>
      </w:r>
      <w:r>
        <w:t xml:space="preserve">incorporate moderation terms. In light of the strong concentration of</w:t>
      </w:r>
      <w:r>
        <w:t xml:space="preserve"> </w:t>
      </w:r>
      <w:r>
        <w:t xml:space="preserve">firms at zero exports, the baseline quadratic specification is</w:t>
      </w:r>
      <w:r>
        <w:t xml:space="preserve"> </w:t>
      </w:r>
      <w:r>
        <w:t xml:space="preserve">interpreted primarily as a descriptive full-sample benchmark rather than</w:t>
      </w:r>
      <w:r>
        <w:t xml:space="preserve"> </w:t>
      </w:r>
      <w:r>
        <w:t xml:space="preserve">as a standalone structural test of the conventional inverted-U logic.</w:t>
      </w:r>
      <w:r>
        <w:t xml:space="preserve"> </w:t>
      </w:r>
      <w:r>
        <w:t xml:space="preserve">This is important because the full-sample polynomial is necessarily</w:t>
      </w:r>
      <w:r>
        <w:t xml:space="preserve"> </w:t>
      </w:r>
      <w:r>
        <w:t xml:space="preserve">influenced by the domestic-versus-exporter split, whereas the</w:t>
      </w:r>
      <w:r>
        <w:t xml:space="preserve"> </w:t>
      </w:r>
      <w:r>
        <w:t xml:space="preserve">theoretical question developed in Sections 1–2 concerns how performance</w:t>
      </w:r>
      <w:r>
        <w:t xml:space="preserve"> </w:t>
      </w:r>
      <w:r>
        <w:t xml:space="preserve">evolves across the continuous export-intensity range. The later</w:t>
      </w:r>
      <w:r>
        <w:t xml:space="preserve"> </w:t>
      </w:r>
      <w:r>
        <w:t xml:space="preserve">specifications therefore focus on whether TCI and DAI exhibit distinct</w:t>
      </w:r>
      <w:r>
        <w:t xml:space="preserve"> </w:t>
      </w:r>
      <w:r>
        <w:t xml:space="preserve">direct and contingent associations, and the interpretation of nonlinear</w:t>
      </w:r>
      <w:r>
        <w:t xml:space="preserve"> </w:t>
      </w:r>
      <w:r>
        <w:t xml:space="preserve">structure is supplemented by extensive–intensive reasoning and</w:t>
      </w:r>
      <w:r>
        <w:t xml:space="preserve"> </w:t>
      </w:r>
      <w:r>
        <w:t xml:space="preserve">support-aware diagnostics rather than inferred from the quadratic fit</w:t>
      </w:r>
      <w:r>
        <w:t xml:space="preserve"> </w:t>
      </w:r>
      <w:r>
        <w:t xml:space="preserve">alone. Accordingly, the analysis does not treat the full-sample</w:t>
      </w:r>
      <w:r>
        <w:t xml:space="preserve"> </w:t>
      </w:r>
      <w:r>
        <w:t xml:space="preserve">polynomial as sufficient evidence of a formally identified inverted-U in</w:t>
      </w:r>
      <w:r>
        <w:t xml:space="preserve"> </w:t>
      </w:r>
      <w:r>
        <w:t xml:space="preserve">the observed data range. ln(LP) = α + β₁·FSTS_c + β₂·FSTS_c² + β₃·TCI +</w:t>
      </w:r>
      <w:r>
        <w:t xml:space="preserve"> </w:t>
      </w:r>
      <w:r>
        <w:t xml:space="preserve">β₄·DAI + β₅·(FSTS_c × DAI) + β₆·(FSTS_c² × DAI) + γ·controls + ε, The</w:t>
      </w:r>
      <w:r>
        <w:t xml:space="preserve"> </w:t>
      </w:r>
      <w:r>
        <w:t xml:space="preserve">full model includes centered FSTS, squared centered FSTS, TCI, DAI, the</w:t>
      </w:r>
      <w:r>
        <w:t xml:space="preserve"> </w:t>
      </w:r>
      <w:r>
        <w:t xml:space="preserve">interaction between FSTS and DAI, and the interaction between squared</w:t>
      </w:r>
      <w:r>
        <w:t xml:space="preserve"> </w:t>
      </w:r>
      <w:r>
        <w:t xml:space="preserve">FSTS and DAI, in addition to the control set. A supplementary</w:t>
      </w:r>
      <w:r>
        <w:t xml:space="preserve"> </w:t>
      </w:r>
      <w:r>
        <w:t xml:space="preserve">specification replaces the DAI interaction block with analogous TCI</w:t>
      </w:r>
      <w:r>
        <w:t xml:space="preserve"> </w:t>
      </w:r>
      <w:r>
        <w:t xml:space="preserve">interaction terms in order to assess whether any TCI moderation is</w:t>
      </w:r>
      <w:r>
        <w:t xml:space="preserve"> </w:t>
      </w:r>
      <w:r>
        <w:t xml:space="preserve">empirically detectable beyond its more stable direct association with</w:t>
      </w:r>
      <w:r>
        <w:t xml:space="preserve"> </w:t>
      </w:r>
      <w:r>
        <w:t xml:space="preserve">productivity. Following the recommendations of Haans et al. (2016) for</w:t>
      </w:r>
      <w:r>
        <w:t xml:space="preserve"> </w:t>
      </w:r>
      <w:r>
        <w:t xml:space="preserve">testing curvilinear relationships in strategy research, the study</w:t>
      </w:r>
      <w:r>
        <w:t xml:space="preserve"> </w:t>
      </w:r>
      <w:r>
        <w:t xml:space="preserve">applies the Lind and Mehlum (2010) test for a U-shaped or inverted-U</w:t>
      </w:r>
      <w:r>
        <w:t xml:space="preserve"> </w:t>
      </w:r>
      <w:r>
        <w:t xml:space="preserve">relationship to assess the quadratic shape formally. To assess whether</w:t>
      </w:r>
      <w:r>
        <w:t xml:space="preserve"> </w:t>
      </w:r>
      <w:r>
        <w:t xml:space="preserve">the DAI interaction block matters jointly, the study reports a joint</w:t>
      </w:r>
      <w:r>
        <w:t xml:space="preserve"> </w:t>
      </w:r>
      <w:r>
        <w:t xml:space="preserve">F-test on the two DAI interaction terms and also interprets effect size</w:t>
      </w:r>
      <w:r>
        <w:t xml:space="preserve"> </w:t>
      </w:r>
      <w:r>
        <w:t xml:space="preserve">using Cohen’s f² (Aguinis et al. 2005; Cohen 1988).</w:t>
      </w:r>
    </w:p>
    <w:p>
      <w:pPr>
        <w:pStyle w:val="BodyText"/>
      </w:pPr>
      <w:r>
        <w:rPr>
          <w:bCs/>
          <w:b/>
        </w:rPr>
        <w:t xml:space="preserve">Identification strategy and choice of OLS as primary specification.</w:t>
      </w:r>
      <w:r>
        <w:t xml:space="preserve"> </w:t>
      </w:r>
      <w:r>
        <w:t xml:space="preserve">Because the single-wave WBES Singapore 2023 design offers no instrument</w:t>
      </w:r>
      <w:r>
        <w:t xml:space="preserve"> </w:t>
      </w:r>
      <w:r>
        <w:t xml:space="preserve">satisfying the exclusion restriction for either export intensity or</w:t>
      </w:r>
      <w:r>
        <w:t xml:space="preserve"> </w:t>
      </w:r>
      <w:r>
        <w:t xml:space="preserve">digital adoption, cross-sectional variation in trade costs,</w:t>
      </w:r>
      <w:r>
        <w:t xml:space="preserve"> </w:t>
      </w:r>
      <w:r>
        <w:t xml:space="preserve">export-promotion eligibility, or broadband-rollout timing is not</w:t>
      </w:r>
      <w:r>
        <w:t xml:space="preserve"> </w:t>
      </w:r>
      <w:r>
        <w:t xml:space="preserve">available within the survey frame, OLS with HC1 robust standard errors</w:t>
      </w:r>
      <w:r>
        <w:t xml:space="preserve"> </w:t>
      </w:r>
      <w:r>
        <w:t xml:space="preserve">is adopted as the primary specification. This choice follows Wolfolds</w:t>
      </w:r>
      <w:r>
        <w:t xml:space="preserve"> </w:t>
      </w:r>
      <w:r>
        <w:t xml:space="preserve">and Siegel (2019), who find that a Heckman two-step correction</w:t>
      </w:r>
      <w:r>
        <w:t xml:space="preserve"> </w:t>
      </w:r>
      <w:r>
        <w:rPr>
          <w:iCs/>
          <w:i/>
        </w:rPr>
        <w:t xml:space="preserve">without</w:t>
      </w:r>
      <w:r>
        <w:t xml:space="preserve"> </w:t>
      </w:r>
      <w:r>
        <w:t xml:space="preserve">a credible exclusion restriction can produce more biased estimates than</w:t>
      </w:r>
      <w:r>
        <w:t xml:space="preserve"> </w:t>
      </w:r>
      <w:r>
        <w:t xml:space="preserve">the OLS baseline it is intended to correct. A reduced-form</w:t>
      </w:r>
      <w:r>
        <w:t xml:space="preserve"> </w:t>
      </w:r>
      <w:r>
        <w:t xml:space="preserve">inverse-Mills-ratio sensitivity diagnostic for selection at the</w:t>
      </w:r>
      <w:r>
        <w:t xml:space="preserve"> </w:t>
      </w:r>
      <w:r>
        <w:t xml:space="preserve">extensive margin of exporting is reported in Section 3.4 below for</w:t>
      </w:r>
      <w:r>
        <w:t xml:space="preserve"> </w:t>
      </w:r>
      <w:r>
        <w:t xml:space="preserve">transparency, but is not treated as the primary specification. The</w:t>
      </w:r>
      <w:r>
        <w:t xml:space="preserve"> </w:t>
      </w:r>
      <w:r>
        <w:t xml:space="preserve">associational nature of the OLS estimates is therefore acknowledged</w:t>
      </w:r>
      <w:r>
        <w:t xml:space="preserve"> </w:t>
      </w:r>
      <w:r>
        <w:t xml:space="preserve">upfront, and inferential claims are bounded to within-context</w:t>
      </w:r>
      <w:r>
        <w:t xml:space="preserve"> </w:t>
      </w:r>
      <w:r>
        <w:t xml:space="preserve">associations rather than causal effects.</w:t>
      </w:r>
    </w:p>
    <w:bookmarkEnd w:id="41"/>
    <w:bookmarkStart w:id="42" w:name="X0fcf099929e626b10071b523c2c83735d5a4cd9"/>
    <w:p>
      <w:pPr>
        <w:pStyle w:val="Heading3"/>
      </w:pPr>
      <w:r>
        <w:t xml:space="preserve">3.4 Boundary conditions and identification scope</w:t>
      </w:r>
    </w:p>
    <w:p>
      <w:pPr>
        <w:pStyle w:val="FirstParagraph"/>
      </w:pPr>
      <w:r>
        <w:t xml:space="preserve">Four boundary conditions delimit the inferential reach of the OLS specification; the Section 4 results are read against them without recurrent caveats.</w:t>
      </w:r>
    </w:p>
    <w:p>
      <w:pPr>
        <w:pStyle w:val="BodyText"/>
      </w:pPr>
      <w:r>
        <w:rPr>
          <w:iCs/>
          <w:i/>
        </w:rPr>
        <w:t xml:space="preserve">(i) Sample support.</w:t>
      </w:r>
      <w:r>
        <w:t xml:space="preserve"> </w:t>
      </w:r>
      <w:r>
        <w:t xml:space="preserve">Within the WBES SME frame, 82% of firms report zero exports, 18% any positive intensity, and only 3% exceed 50% FSTS. The quadratic curvature is thus identified mainly through the FSTS = 0 versus FSTS &gt; 0 contrast, with limited upper-tail support. The fitted turning point near FSTS ≈ 85.7% lies in a sparse region with a wide 95% bootstrap CI ([58%, 398%]) despite an inverted-U shape in 94.9% of resamples; the right-side decline is therefore not formally identified within the supported range.</w:t>
      </w:r>
    </w:p>
    <w:p>
      <w:pPr>
        <w:pStyle w:val="BodyText"/>
      </w:pPr>
      <w:r>
        <w:rPr>
          <w:iCs/>
          <w:i/>
        </w:rPr>
        <w:t xml:space="preserve">(ii) Exporters-only power.</w:t>
      </w:r>
      <w:r>
        <w:t xml:space="preserve"> </w:t>
      </w:r>
      <w:r>
        <w:t xml:space="preserve">The exporters-only subsample (FSTS &gt; 0; N = 84 after the complete-case restriction on model covariates, from the roughly 18 per cent of firms with positive exports) is the natural setting for the intensity-margin mechanism but is underpowered for the small moderation block (f² ≈ 0.012; power ≈ 16% at N = 84, against N ≳ 430 for 80% power; Cohen 1988; Aguinis et al. 2005). Null moderation here is therefore not evidence against the conditional-scaling mechanism; conversely, the positive joint F-test in the R5 exporters-only specification (F = 4.54, p = .014, β = +1.987) is read as a high-prior-strength corroborating signal rather than an independent identifying test.</w:t>
      </w:r>
    </w:p>
    <w:p>
      <w:pPr>
        <w:pStyle w:val="BodyText"/>
      </w:pPr>
      <w:r>
        <w:rPr>
          <w:iCs/>
          <w:i/>
        </w:rPr>
        <w:t xml:space="preserve">(iii) Lind–Mehlum equivalence framing.</w:t>
      </w:r>
      <w:r>
        <w:t xml:space="preserve"> </w:t>
      </w:r>
      <w:r>
        <w:t xml:space="preserve">The non-rejection of monotonicity (p = .346) is conditioned on dense support around the turning point, which (i) shows is absent. Under the saturation hypothesis (Section 1.1), a non-rejection in the thin upper tail is the expected signature when mature Tier-2 infrastructure absorbs the coordination-cost decline, i.e., a positive theoretical signal rather than a methodological failure.</w:t>
      </w:r>
    </w:p>
    <w:p>
      <w:pPr>
        <w:pStyle w:val="BodyText"/>
      </w:pPr>
      <w:r>
        <w:rPr>
          <w:iCs/>
          <w:i/>
        </w:rPr>
        <w:t xml:space="preserve">(iv) Selection.</w:t>
      </w:r>
      <w:r>
        <w:t xml:space="preserve"> </w:t>
      </w:r>
      <w:r>
        <w:t xml:space="preserve">No exclusion restriction is available in the single-wave design. A reduced-form inverse-Mills-ratio check (first-stage probit of export participation on age, log size, sector FE, sampling stratum) leaves the key DAI × FSTS² and TCI estimates essentially unchanged (|Δ| &lt; 0.02), with the inverse-Mills term itself statistically insignificant. Consistent with Wolfolds and Siegel (2019), OLS with HC1 errors is the primary specification, with claims bounded to within-context associations rather than causal effects.</w:t>
      </w:r>
    </w:p>
    <w:bookmarkEnd w:id="42"/>
    <w:bookmarkEnd w:id="43"/>
    <w:bookmarkStart w:id="49" w:name="results"/>
    <w:p>
      <w:pPr>
        <w:pStyle w:val="Heading2"/>
      </w:pPr>
      <w:r>
        <w:t xml:space="preserve">4 Results</w:t>
      </w:r>
    </w:p>
    <w:bookmarkStart w:id="44" w:name="descriptive-statistics"/>
    <w:p>
      <w:pPr>
        <w:pStyle w:val="Heading3"/>
      </w:pPr>
      <w:r>
        <w:t xml:space="preserve">4.1 Descriptive statistics</w:t>
      </w:r>
    </w:p>
    <w:p>
      <w:pPr>
        <w:pStyle w:val="FirstParagraph"/>
      </w:pPr>
      <w:r>
        <w:t xml:space="preserve">Table 1 reports descriptive statistics and pairwise correlations for the</w:t>
      </w:r>
      <w:r>
        <w:t xml:space="preserve"> </w:t>
      </w:r>
      <w:r>
        <w:t xml:space="preserve">analytic sample. Mean log labour productivity is 11.42 with a standard</w:t>
      </w:r>
      <w:r>
        <w:t xml:space="preserve"> </w:t>
      </w:r>
      <w:r>
        <w:t xml:space="preserve">deviation of 1.18, while mean FSTS is 0.045 with a standard deviation of</w:t>
      </w:r>
      <w:r>
        <w:t xml:space="preserve"> </w:t>
      </w:r>
      <w:r>
        <w:t xml:space="preserve">0.144, confirming that most firms in the sample are domestically</w:t>
      </w:r>
      <w:r>
        <w:t xml:space="preserve"> </w:t>
      </w:r>
      <w:r>
        <w:t xml:space="preserve">oriented. TCI and DAI are positively correlated at r = 0.31, which is</w:t>
      </w:r>
      <w:r>
        <w:t xml:space="preserve"> </w:t>
      </w:r>
      <w:r>
        <w:t xml:space="preserve">consistent with the idea that technologically stronger firms are</w:t>
      </w:r>
      <w:r>
        <w:t xml:space="preserve"> </w:t>
      </w:r>
      <w:r>
        <w:t xml:space="preserve">somewhat more digitally active, but the correlation is far from high</w:t>
      </w:r>
      <w:r>
        <w:t xml:space="preserve"> </w:t>
      </w:r>
      <w:r>
        <w:t xml:space="preserve">enough to justify collapsing the two constructs into a single measure.</w:t>
      </w:r>
      <w:r>
        <w:t xml:space="preserve"> </w:t>
      </w:r>
      <w:r>
        <w:t xml:space="preserve">Both TCI and DAI are positively correlated with labour productivity, and</w:t>
      </w:r>
      <w:r>
        <w:t xml:space="preserve"> </w:t>
      </w:r>
      <w:r>
        <w:t xml:space="preserve">DAI also shows a modest positive correlation with export intensity.</w:t>
      </w:r>
      <w:r>
        <w:t xml:space="preserve"> </w:t>
      </w:r>
      <w:r>
        <w:t xml:space="preserve">Table 1. Descriptive statistics and pairwise correlations.</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Panel A: Descriptive Statistics (N = 623)</w:t>
            </w:r>
          </w:p>
        </w:tc>
      </w:tr>
      <w:tr>
        <w:tc>
          <w:tcPr/>
          <w:p>
            <w:pPr>
              <w:pStyle w:val="Compact"/>
              <w:jc w:val="left"/>
            </w:pPr>
            <w:r>
              <w:t xml:space="preserve">Variable</w:t>
            </w:r>
          </w:p>
        </w:tc>
      </w:tr>
      <w:tr>
        <w:tc>
          <w:tcPr/>
          <w:p>
            <w:pPr>
              <w:pStyle w:val="Compact"/>
              <w:jc w:val="left"/>
            </w:pPr>
            <w:r>
              <w:t xml:space="preserve">Ln(Labour productivity)</w:t>
            </w:r>
          </w:p>
        </w:tc>
      </w:tr>
      <w:tr>
        <w:tc>
          <w:tcPr/>
          <w:p>
            <w:pPr>
              <w:pStyle w:val="Compact"/>
              <w:jc w:val="left"/>
            </w:pPr>
            <w:r>
              <w:t xml:space="preserve">FSTS</w:t>
            </w:r>
          </w:p>
        </w:tc>
      </w:tr>
      <w:tr>
        <w:tc>
          <w:tcPr/>
          <w:p>
            <w:pPr>
              <w:pStyle w:val="Compact"/>
              <w:jc w:val="left"/>
            </w:pPr>
            <w:r>
              <w:t xml:space="preserve">FSTS²</w:t>
            </w:r>
          </w:p>
        </w:tc>
      </w:tr>
      <w:tr>
        <w:tc>
          <w:tcPr/>
          <w:p>
            <w:pPr>
              <w:pStyle w:val="Compact"/>
              <w:jc w:val="left"/>
            </w:pPr>
            <w:r>
              <w:t xml:space="preserve">TCI (z)</w:t>
            </w:r>
          </w:p>
        </w:tc>
      </w:tr>
      <w:tr>
        <w:tc>
          <w:tcPr/>
          <w:p>
            <w:pPr>
              <w:pStyle w:val="Compact"/>
              <w:jc w:val="left"/>
            </w:pPr>
            <w:r>
              <w:t xml:space="preserve">DAI (z)</w:t>
            </w:r>
          </w:p>
        </w:tc>
      </w:tr>
      <w:tr>
        <w:tc>
          <w:tcPr/>
          <w:p>
            <w:pPr>
              <w:pStyle w:val="Compact"/>
              <w:jc w:val="left"/>
            </w:pPr>
            <w:r>
              <w:t xml:space="preserve">Firm size (ln_empl)</w:t>
            </w:r>
          </w:p>
        </w:tc>
      </w:tr>
      <w:tr>
        <w:tc>
          <w:tcPr/>
          <w:p>
            <w:pPr>
              <w:pStyle w:val="Compact"/>
              <w:jc w:val="left"/>
            </w:pPr>
            <w:r>
              <w:t xml:space="preserve">Firm age</w:t>
            </w:r>
          </w:p>
        </w:tc>
      </w:tr>
      <w:tr>
        <w:tc>
          <w:tcPr/>
          <w:p>
            <w:pPr>
              <w:pStyle w:val="Compact"/>
              <w:jc w:val="left"/>
            </w:pPr>
            <w:r>
              <w:t xml:space="preserve">Foreign-owned (0/1)</w:t>
            </w:r>
          </w:p>
        </w:tc>
      </w:tr>
      <w:tr>
        <w:tc>
          <w:tcPr/>
          <w:p>
            <w:pPr>
              <w:pStyle w:val="Compact"/>
              <w:jc w:val="left"/>
            </w:pPr>
            <w:r>
              <w:t xml:space="preserve">Panel B: Pairwise Correlations</w:t>
            </w:r>
          </w:p>
        </w:tc>
      </w:tr>
      <w:tr>
        <w:tc>
          <w:tcPr/>
          <w:p>
            <w:pPr>
              <w:pStyle w:val="Compact"/>
              <w:jc w:val="left"/>
            </w:pPr>
            <w:r>
              <w:t xml:space="preserve">Variable</w:t>
            </w:r>
          </w:p>
        </w:tc>
      </w:tr>
      <w:tr>
        <w:tc>
          <w:tcPr/>
          <w:p>
            <w:pPr>
              <w:pStyle w:val="Compact"/>
              <w:jc w:val="left"/>
            </w:pPr>
            <w:r>
              <w:t xml:space="preserve">1. Ln(Lab. prod.)</w:t>
            </w:r>
          </w:p>
        </w:tc>
      </w:tr>
      <w:tr>
        <w:tc>
          <w:tcPr/>
          <w:p>
            <w:pPr>
              <w:pStyle w:val="Compact"/>
              <w:jc w:val="left"/>
            </w:pPr>
            <w:r>
              <w:t xml:space="preserve">2. FSTS</w:t>
            </w:r>
          </w:p>
        </w:tc>
      </w:tr>
      <w:tr>
        <w:tc>
          <w:tcPr/>
          <w:p>
            <w:pPr>
              <w:pStyle w:val="Compact"/>
              <w:jc w:val="left"/>
            </w:pPr>
            <w:r>
              <w:t xml:space="preserve">3. TCI (z)</w:t>
            </w:r>
          </w:p>
        </w:tc>
      </w:tr>
      <w:tr>
        <w:tc>
          <w:tcPr/>
          <w:p>
            <w:pPr>
              <w:pStyle w:val="Compact"/>
              <w:jc w:val="left"/>
            </w:pPr>
            <w:r>
              <w:t xml:space="preserve">4. DAI (z)</w:t>
            </w:r>
          </w:p>
        </w:tc>
      </w:tr>
      <w:tr>
        <w:tc>
          <w:tcPr/>
          <w:p>
            <w:pPr>
              <w:pStyle w:val="Compact"/>
              <w:jc w:val="left"/>
            </w:pPr>
            <w:r>
              <w:t xml:space="preserve">5. Firm size</w:t>
            </w:r>
          </w:p>
        </w:tc>
      </w:tr>
      <w:tr>
        <w:tc>
          <w:tcPr/>
          <w:p>
            <w:pPr>
              <w:pStyle w:val="Compact"/>
              <w:jc w:val="left"/>
            </w:pPr>
            <w:r>
              <w:t xml:space="preserve">6. Firm age</w:t>
            </w:r>
          </w:p>
        </w:tc>
      </w:tr>
      <w:tr>
        <w:tc>
          <w:tcPr/>
          <w:p>
            <w:pPr>
              <w:pStyle w:val="Compact"/>
              <w:jc w:val="left"/>
            </w:pPr>
            <w:r>
              <w:t xml:space="preserve">7. Foreign-owned</w:t>
            </w:r>
          </w:p>
        </w:tc>
      </w:tr>
    </w:tbl>
    <w:p>
      <w:pPr>
        <w:pStyle w:val="BodyText"/>
      </w:pPr>
      <w:r>
        <w:t xml:space="preserve">Notes: N = 623. TCI and DAI are z-standardized formative composites.</w:t>
      </w:r>
      <w:r>
        <w:t xml:space="preserve"> </w:t>
      </w:r>
      <w:r>
        <w:t xml:space="preserve">FSTS is the share of annual sales accounted for by direct exports.</w:t>
      </w:r>
      <w:r>
        <w:t xml:space="preserve"> </w:t>
      </w:r>
      <w:r>
        <w:t xml:space="preserve">Two-tailed significance levels are reported as follows: p &lt; .10, p &lt;</w:t>
      </w:r>
      <w:r>
        <w:t xml:space="preserve"> </w:t>
      </w:r>
      <w:r>
        <w:t xml:space="preserve">.05, p &lt; .01.</w:t>
      </w:r>
    </w:p>
    <w:bookmarkEnd w:id="44"/>
    <w:bookmarkStart w:id="45" w:name="X2451d3f7ca997a4cc37eff64b1b544b095ebde1"/>
    <w:p>
      <w:pPr>
        <w:pStyle w:val="Heading3"/>
      </w:pPr>
      <w:r>
        <w:t xml:space="preserve">4.2 The I–P relationship: primarily monotonic with mild curvature</w:t>
      </w:r>
    </w:p>
    <w:p>
      <w:pPr>
        <w:pStyle w:val="FirstParagraph"/>
      </w:pPr>
      <w:r>
        <w:t xml:space="preserve">In the baseline quadratic specification (Model M2), the linear FSTS term is positive and significant (β = +3.078, SE = 0.805, p &lt; .001) and the squared term is negative (β = −1.898, SE = 1.079, p = .079). The fitted curve implies a turning point in the upper tail (near FSTS = 85.7% on the original scale) that is imprecisely located in a sparsely populated region. A 5,000-replication bootstrap recovers an inverted-U in 94.9% of replications, but the 95% percentile CI for the turning point is wide ([58%, 398%]), and the Lind–Mehlum test does not formally confirm an inverted-U (p = .346).</w:t>
      </w:r>
    </w:p>
    <w:p>
      <w:pPr>
        <w:pStyle w:val="BodyText"/>
      </w:pPr>
      <w:r>
        <w:t xml:space="preserve">This null is itself informative. Singapore’s DAI distribution is concentrated at the high end (≈67% report website presence; Tier-2 e-payment is widespread), leaving insufficient spread to identify a right-side decline within the observable FSTS range. Under an equivalence-test framing (Lakens, Scheel, and Isager 2018), with observed FSTS bounded near the 70th percentile, the test cannot distinguish</w:t>
      </w:r>
      <w:r>
        <w:t xml:space="preserve"> </w:t>
      </w:r>
      <w:r>
        <w:t xml:space="preserve">“</w:t>
      </w:r>
      <w:r>
        <w:t xml:space="preserve">no inverted-U</w:t>
      </w:r>
      <w:r>
        <w:t xml:space="preserve">”</w:t>
      </w:r>
      <w:r>
        <w:t xml:space="preserve"> </w:t>
      </w:r>
      <w:r>
        <w:t xml:space="preserve">from</w:t>
      </w:r>
      <w:r>
        <w:t xml:space="preserve"> </w:t>
      </w:r>
      <w:r>
        <w:t xml:space="preserve">“</w:t>
      </w:r>
      <w:r>
        <w:t xml:space="preserve">an inverted-U whose decline lies in the unobserved upper tail</w:t>
      </w:r>
      <w:r>
        <w:t xml:space="preserve">”</w:t>
      </w:r>
      <w:r>
        <w:t xml:space="preserve">; both readings are consistent with a predominantly positive association across the supported range. The most defensible interpretation is therefore not a firmly established inverted-U but a relationship that is predominantly positive with mild quadratic curvature over the observed range, consistent with the saturation hypothesis underlying H3. Read this way, the evidence qualifies rather than overturns the conventional nonlinear literature.</w:t>
      </w:r>
    </w:p>
    <w:bookmarkEnd w:id="45"/>
    <w:bookmarkStart w:id="46" w:name="tci-results"/>
    <w:p>
      <w:pPr>
        <w:pStyle w:val="Heading3"/>
      </w:pPr>
      <w:r>
        <w:t xml:space="preserve">4.3 TCI results</w:t>
      </w:r>
    </w:p>
    <w:p>
      <w:pPr>
        <w:pStyle w:val="FirstParagraph"/>
      </w:pPr>
      <w:r>
        <w:t xml:space="preserve">The direct-effect model for technological capability (Model M5)</w:t>
      </w:r>
      <w:r>
        <w:t xml:space="preserve"> </w:t>
      </w:r>
      <w:r>
        <w:t xml:space="preserve">indicates that TCI is positively associated with labour productivity (β</w:t>
      </w:r>
      <w:r>
        <w:t xml:space="preserve"> </w:t>
      </w:r>
      <w:r>
        <w:t xml:space="preserve">= 0.171, SE = 0.044, p &lt; .001). Model fit also improves relative to the</w:t>
      </w:r>
      <w:r>
        <w:t xml:space="preserve"> </w:t>
      </w:r>
      <w:r>
        <w:t xml:space="preserve">quadratic baseline, with R² rising from 0.175 in Model M2 to 0.197 in</w:t>
      </w:r>
      <w:r>
        <w:t xml:space="preserve"> </w:t>
      </w:r>
      <w:r>
        <w:t xml:space="preserve">Model M5. This pattern supports the view that technological capability</w:t>
      </w:r>
      <w:r>
        <w:t xml:space="preserve"> </w:t>
      </w:r>
      <w:r>
        <w:t xml:space="preserve">raises the firm’s productivity base rather than simply proxying for</w:t>
      </w:r>
      <w:r>
        <w:t xml:space="preserve"> </w:t>
      </w:r>
      <w:r>
        <w:t xml:space="preserve">export intensity. In the supplementary TCI-moderation specification</w:t>
      </w:r>
      <w:r>
        <w:t xml:space="preserve"> </w:t>
      </w:r>
      <w:r>
        <w:t xml:space="preserve">(Model M3), the direct TCI coefficient remains positive and significant</w:t>
      </w:r>
      <w:r>
        <w:t xml:space="preserve"> </w:t>
      </w:r>
      <w:r>
        <w:t xml:space="preserve">(β = 0.168, p &lt; .001), but the interaction terms involving FSTS and</w:t>
      </w:r>
      <w:r>
        <w:t xml:space="preserve"> </w:t>
      </w:r>
      <w:r>
        <w:t xml:space="preserve">squared FSTS are jointly insignificant. Because the absence of</w:t>
      </w:r>
      <w:r>
        <w:t xml:space="preserve"> </w:t>
      </w:r>
      <w:r>
        <w:t xml:space="preserve">moderation cannot be inferred from non-significance alone, the evidence</w:t>
      </w:r>
      <w:r>
        <w:t xml:space="preserve"> </w:t>
      </w:r>
      <w:r>
        <w:t xml:space="preserve">is better read as supporting an intercept-dominant interpretation of the</w:t>
      </w:r>
      <w:r>
        <w:t xml:space="preserve"> </w:t>
      </w:r>
      <w:r>
        <w:t xml:space="preserve">TCI association rather than as a definitive demonstration that curvature</w:t>
      </w:r>
      <w:r>
        <w:t xml:space="preserve"> </w:t>
      </w:r>
      <w:r>
        <w:t xml:space="preserve">moderation is exactly zero. Taken together, the evidence is more</w:t>
      </w:r>
      <w:r>
        <w:t xml:space="preserve"> </w:t>
      </w:r>
      <w:r>
        <w:t xml:space="preserve">consistent with an intercept-dominant reading of the TCI association</w:t>
      </w:r>
      <w:r>
        <w:t xml:space="preserve"> </w:t>
      </w:r>
      <w:r>
        <w:t xml:space="preserve">than with a clearly identified moderation channel in the</w:t>
      </w:r>
      <w:r>
        <w:t xml:space="preserve"> </w:t>
      </w:r>
      <w:r>
        <w:t xml:space="preserve">internationalization–performance relationship. This is also the most</w:t>
      </w:r>
      <w:r>
        <w:t xml:space="preserve"> </w:t>
      </w:r>
      <w:r>
        <w:t xml:space="preserve">coherent reading for hypothesis development, because it preserves the</w:t>
      </w:r>
      <w:r>
        <w:t xml:space="preserve"> </w:t>
      </w:r>
      <w:r>
        <w:t xml:space="preserve">distinction between internal capability depth and export-contingent</w:t>
      </w:r>
      <w:r>
        <w:t xml:space="preserve"> </w:t>
      </w:r>
      <w:r>
        <w:t xml:space="preserve">digital complementarity.</w:t>
      </w:r>
    </w:p>
    <w:bookmarkEnd w:id="46"/>
    <w:bookmarkStart w:id="47" w:name="dai-results"/>
    <w:p>
      <w:pPr>
        <w:pStyle w:val="Heading3"/>
      </w:pPr>
      <w:r>
        <w:t xml:space="preserve">4.4 DAI results</w:t>
      </w:r>
    </w:p>
    <w:p>
      <w:pPr>
        <w:pStyle w:val="FirstParagraph"/>
      </w:pPr>
      <w:r>
        <w:t xml:space="preserve">In the direct-effect model for digital adoption (Model M6), DAI is</w:t>
      </w:r>
      <w:r>
        <w:t xml:space="preserve"> </w:t>
      </w:r>
      <w:r>
        <w:t xml:space="preserve">positively associated with labour productivity (β = 0.119, SE = 0.039, p</w:t>
      </w:r>
      <w:r>
        <w:t xml:space="preserve"> </w:t>
      </w:r>
      <w:r>
        <w:t xml:space="preserve">= .002). However, once TCI is included alongside DAI in Model M7, the</w:t>
      </w:r>
      <w:r>
        <w:t xml:space="preserve"> </w:t>
      </w:r>
      <w:r>
        <w:t xml:space="preserve">DAI coefficient attenuates to β = 0.094 and remains statistically</w:t>
      </w:r>
      <w:r>
        <w:t xml:space="preserve"> </w:t>
      </w:r>
      <w:r>
        <w:t xml:space="preserve">significant but attenuated (p = .016), suggesting partial overlap in the</w:t>
      </w:r>
      <w:r>
        <w:t xml:space="preserve"> </w:t>
      </w:r>
      <w:r>
        <w:t xml:space="preserve">average-firm heterogeneity captured by the two constructs. This</w:t>
      </w:r>
      <w:r>
        <w:t xml:space="preserve"> </w:t>
      </w:r>
      <w:r>
        <w:t xml:space="preserve">attenuation is substantively important because it suggests that DAI</w:t>
      </w:r>
      <w:r>
        <w:t xml:space="preserve"> </w:t>
      </w:r>
      <w:r>
        <w:t xml:space="preserve">should not be interpreted as a large, uniform productivity premium</w:t>
      </w:r>
      <w:r>
        <w:t xml:space="preserve"> </w:t>
      </w:r>
      <w:r>
        <w:t xml:space="preserve">across sampled firms. Table 2. Hierarchical OLS regression results</w:t>
      </w:r>
      <w:r>
        <w:t xml:space="preserve"> </w:t>
      </w:r>
      <w:r>
        <w:t xml:space="preserve">Singapore 2023. DV: Ln(Labour Productivity). HC1 robust standard errors</w:t>
      </w:r>
      <w:r>
        <w:t xml:space="preserve"> </w:t>
      </w:r>
      <w:r>
        <w:t xml:space="preserve">in parentheses.</w:t>
      </w:r>
    </w:p>
    <w:tbl>
      <w:tblPr>
        <w:tblStyle w:val="Table"/>
        <w:tblW w:type="pct" w:w="5000"/>
        <w:tblLook w:firstRow="1" w:lastRow="0" w:firstColumn="0" w:lastColumn="0" w:noHBand="0" w:noVBand="0" w:val="0020"/>
        <w:jc w:val="start"/>
      </w:tblPr>
      <w:tblGrid>
        <w:gridCol w:w="1047"/>
        <w:gridCol w:w="981"/>
        <w:gridCol w:w="981"/>
        <w:gridCol w:w="981"/>
        <w:gridCol w:w="981"/>
        <w:gridCol w:w="981"/>
        <w:gridCol w:w="981"/>
        <w:gridCol w:w="981"/>
      </w:tblGrid>
      <w:tr>
        <w:trPr>
          <w:tblHeader w:val="true"/>
        </w:trPr>
        <w:tc>
          <w:tcPr/>
          <w:p>
            <w:pPr>
              <w:pStyle w:val="Compact"/>
              <w:jc w:val="left"/>
            </w:pPr>
            <w:r>
              <w:t xml:space="preserve">Variable</w:t>
            </w:r>
          </w:p>
        </w:tc>
        <w:tc>
          <w:tcPr/>
          <w:p>
            <w:pPr>
              <w:pStyle w:val="Compact"/>
              <w:jc w:val="left"/>
            </w:pPr>
            <w:r>
              <w:t xml:space="preserve">M0Ctrl</w:t>
            </w:r>
          </w:p>
        </w:tc>
        <w:tc>
          <w:tcPr/>
          <w:p>
            <w:pPr>
              <w:pStyle w:val="Compact"/>
              <w:jc w:val="left"/>
            </w:pPr>
            <w:r>
              <w:t xml:space="preserve">M2Inv-U</w:t>
            </w:r>
          </w:p>
        </w:tc>
        <w:tc>
          <w:tcPr/>
          <w:p>
            <w:pPr>
              <w:pStyle w:val="Compact"/>
              <w:jc w:val="left"/>
            </w:pPr>
            <w:r>
              <w:t xml:space="preserve">M5+TCI</w:t>
            </w:r>
          </w:p>
        </w:tc>
        <w:tc>
          <w:tcPr/>
          <w:p>
            <w:pPr>
              <w:pStyle w:val="Compact"/>
              <w:jc w:val="left"/>
            </w:pPr>
            <w:r>
              <w:t xml:space="preserve">M6+DAI</w:t>
            </w:r>
          </w:p>
        </w:tc>
        <w:tc>
          <w:tcPr/>
          <w:p>
            <w:pPr>
              <w:pStyle w:val="Compact"/>
              <w:jc w:val="left"/>
            </w:pPr>
            <w:r>
              <w:t xml:space="preserve">M7T+D</w:t>
            </w:r>
          </w:p>
        </w:tc>
        <w:tc>
          <w:tcPr/>
          <w:p>
            <w:pPr>
              <w:pStyle w:val="Compact"/>
              <w:jc w:val="left"/>
            </w:pPr>
            <w:r>
              <w:t xml:space="preserve">M4DAI×</w:t>
            </w:r>
          </w:p>
        </w:tc>
        <w:tc>
          <w:tcPr/>
          <w:p>
            <w:pPr>
              <w:pStyle w:val="Compact"/>
              <w:jc w:val="left"/>
            </w:pPr>
            <w:r>
              <w:t xml:space="preserve">M8Full</w:t>
            </w:r>
          </w:p>
        </w:tc>
      </w:tr>
      <w:tr>
        <w:tc>
          <w:tcPr/>
          <w:p>
            <w:pPr>
              <w:pStyle w:val="Compact"/>
              <w:jc w:val="left"/>
            </w:pPr>
            <w:r>
              <w:t xml:space="preserve">FSTS</w:t>
            </w:r>
          </w:p>
        </w:tc>
        <w:tc>
          <w:tcPr/>
          <w:p>
            <w:pPr>
              <w:pStyle w:val="Compact"/>
            </w:pPr>
          </w:p>
        </w:tc>
        <w:tc>
          <w:tcPr/>
          <w:p>
            <w:pPr>
              <w:pStyle w:val="Compact"/>
              <w:jc w:val="left"/>
            </w:pPr>
            <w:r>
              <w:t xml:space="preserve">+3.078***</w:t>
            </w:r>
          </w:p>
        </w:tc>
        <w:tc>
          <w:tcPr/>
          <w:p>
            <w:pPr>
              <w:pStyle w:val="Compact"/>
              <w:jc w:val="left"/>
            </w:pPr>
            <w:r>
              <w:t xml:space="preserve">+2.643**</w:t>
            </w:r>
          </w:p>
        </w:tc>
        <w:tc>
          <w:tcPr/>
          <w:p>
            <w:pPr>
              <w:pStyle w:val="Compact"/>
              <w:jc w:val="left"/>
            </w:pPr>
            <w:r>
              <w:t xml:space="preserve">+2.726***</w:t>
            </w:r>
          </w:p>
        </w:tc>
        <w:tc>
          <w:tcPr/>
          <w:p>
            <w:pPr>
              <w:pStyle w:val="Compact"/>
              <w:jc w:val="left"/>
            </w:pPr>
            <w:r>
              <w:t xml:space="preserve">+2.408**</w:t>
            </w:r>
          </w:p>
        </w:tc>
        <w:tc>
          <w:tcPr/>
          <w:p>
            <w:pPr>
              <w:pStyle w:val="Compact"/>
              <w:jc w:val="left"/>
            </w:pPr>
            <w:r>
              <w:t xml:space="preserve">+3.109***</w:t>
            </w:r>
          </w:p>
        </w:tc>
        <w:tc>
          <w:tcPr/>
          <w:p>
            <w:pPr>
              <w:pStyle w:val="Compact"/>
              <w:jc w:val="left"/>
            </w:pPr>
            <w:r>
              <w:t xml:space="preserve">+2.791**</w:t>
            </w:r>
          </w:p>
        </w:tc>
      </w:tr>
      <w:tr>
        <w:tc>
          <w:tcPr/>
          <w:p>
            <w:pPr>
              <w:pStyle w:val="Compact"/>
            </w:pPr>
          </w:p>
        </w:tc>
        <w:tc>
          <w:tcPr/>
          <w:p>
            <w:pPr>
              <w:pStyle w:val="Compact"/>
            </w:pPr>
          </w:p>
        </w:tc>
        <w:tc>
          <w:tcPr/>
          <w:p>
            <w:pPr>
              <w:pStyle w:val="Compact"/>
              <w:jc w:val="left"/>
            </w:pPr>
            <w:r>
              <w:t xml:space="preserve">(0.805)</w:t>
            </w:r>
          </w:p>
        </w:tc>
        <w:tc>
          <w:tcPr/>
          <w:p>
            <w:pPr>
              <w:pStyle w:val="Compact"/>
              <w:jc w:val="left"/>
            </w:pPr>
            <w:r>
              <w:t xml:space="preserve">(0.836)</w:t>
            </w:r>
          </w:p>
        </w:tc>
        <w:tc>
          <w:tcPr/>
          <w:p>
            <w:pPr>
              <w:pStyle w:val="Compact"/>
              <w:jc w:val="left"/>
            </w:pPr>
            <w:r>
              <w:t xml:space="preserve">(0.817)</w:t>
            </w:r>
          </w:p>
        </w:tc>
        <w:tc>
          <w:tcPr/>
          <w:p>
            <w:pPr>
              <w:pStyle w:val="Compact"/>
              <w:jc w:val="left"/>
            </w:pPr>
            <w:r>
              <w:t xml:space="preserve">(0.845)</w:t>
            </w:r>
          </w:p>
        </w:tc>
        <w:tc>
          <w:tcPr/>
          <w:p>
            <w:pPr>
              <w:pStyle w:val="Compact"/>
              <w:jc w:val="left"/>
            </w:pPr>
            <w:r>
              <w:t xml:space="preserve">(0.826)</w:t>
            </w:r>
          </w:p>
        </w:tc>
        <w:tc>
          <w:tcPr/>
          <w:p>
            <w:pPr>
              <w:pStyle w:val="Compact"/>
              <w:jc w:val="left"/>
            </w:pPr>
            <w:r>
              <w:t xml:space="preserve">(0.850)</w:t>
            </w:r>
          </w:p>
        </w:tc>
      </w:tr>
      <w:tr>
        <w:tc>
          <w:tcPr/>
          <w:p>
            <w:pPr>
              <w:pStyle w:val="Compact"/>
              <w:jc w:val="left"/>
            </w:pPr>
            <w:r>
              <w:t xml:space="preserve">FSTS²</w:t>
            </w:r>
          </w:p>
        </w:tc>
        <w:tc>
          <w:tcPr/>
          <w:p>
            <w:pPr>
              <w:pStyle w:val="Compact"/>
            </w:pPr>
          </w:p>
        </w:tc>
        <w:tc>
          <w:tcPr/>
          <w:p>
            <w:pPr>
              <w:pStyle w:val="Compact"/>
              <w:jc w:val="left"/>
            </w:pPr>
            <w:r>
              <w:t xml:space="preserve">-1.898†</w:t>
            </w:r>
          </w:p>
        </w:tc>
        <w:tc>
          <w:tcPr/>
          <w:p>
            <w:pPr>
              <w:pStyle w:val="Compact"/>
              <w:jc w:val="left"/>
            </w:pPr>
            <w:r>
              <w:t xml:space="preserve">-1.418</w:t>
            </w:r>
          </w:p>
        </w:tc>
        <w:tc>
          <w:tcPr/>
          <w:p>
            <w:pPr>
              <w:pStyle w:val="Compact"/>
              <w:jc w:val="left"/>
            </w:pPr>
            <w:r>
              <w:t xml:space="preserve">-1.568</w:t>
            </w:r>
          </w:p>
        </w:tc>
        <w:tc>
          <w:tcPr/>
          <w:p>
            <w:pPr>
              <w:pStyle w:val="Compact"/>
              <w:jc w:val="left"/>
            </w:pPr>
            <w:r>
              <w:t xml:space="preserve">-1.203</w:t>
            </w:r>
          </w:p>
        </w:tc>
        <w:tc>
          <w:tcPr/>
          <w:p>
            <w:pPr>
              <w:pStyle w:val="Compact"/>
              <w:jc w:val="left"/>
            </w:pPr>
            <w:r>
              <w:t xml:space="preserve">-3.277**</w:t>
            </w:r>
          </w:p>
        </w:tc>
        <w:tc>
          <w:tcPr/>
          <w:p>
            <w:pPr>
              <w:pStyle w:val="Compact"/>
              <w:jc w:val="left"/>
            </w:pPr>
            <w:r>
              <w:t xml:space="preserve">-2.872*</w:t>
            </w:r>
          </w:p>
        </w:tc>
      </w:tr>
      <w:tr>
        <w:tc>
          <w:tcPr/>
          <w:p>
            <w:pPr>
              <w:pStyle w:val="Compact"/>
            </w:pPr>
          </w:p>
        </w:tc>
        <w:tc>
          <w:tcPr/>
          <w:p>
            <w:pPr>
              <w:pStyle w:val="Compact"/>
            </w:pPr>
          </w:p>
        </w:tc>
        <w:tc>
          <w:tcPr/>
          <w:p>
            <w:pPr>
              <w:pStyle w:val="Compact"/>
              <w:jc w:val="left"/>
            </w:pPr>
            <w:r>
              <w:t xml:space="preserve">(1.079)</w:t>
            </w:r>
          </w:p>
        </w:tc>
        <w:tc>
          <w:tcPr/>
          <w:p>
            <w:pPr>
              <w:pStyle w:val="Compact"/>
              <w:jc w:val="left"/>
            </w:pPr>
            <w:r>
              <w:t xml:space="preserve">(1.111)</w:t>
            </w:r>
          </w:p>
        </w:tc>
        <w:tc>
          <w:tcPr/>
          <w:p>
            <w:pPr>
              <w:pStyle w:val="Compact"/>
              <w:jc w:val="left"/>
            </w:pPr>
            <w:r>
              <w:t xml:space="preserve">(1.080)</w:t>
            </w:r>
          </w:p>
        </w:tc>
        <w:tc>
          <w:tcPr/>
          <w:p>
            <w:pPr>
              <w:pStyle w:val="Compact"/>
              <w:jc w:val="left"/>
            </w:pPr>
            <w:r>
              <w:t xml:space="preserve">(1.114)</w:t>
            </w:r>
          </w:p>
        </w:tc>
        <w:tc>
          <w:tcPr/>
          <w:p>
            <w:pPr>
              <w:pStyle w:val="Compact"/>
              <w:jc w:val="left"/>
            </w:pPr>
            <w:r>
              <w:t xml:space="preserve">(1.103)</w:t>
            </w:r>
          </w:p>
        </w:tc>
        <w:tc>
          <w:tcPr/>
          <w:p>
            <w:pPr>
              <w:pStyle w:val="Compact"/>
              <w:jc w:val="left"/>
            </w:pPr>
            <w:r>
              <w:t xml:space="preserve">(1.145)</w:t>
            </w:r>
          </w:p>
        </w:tc>
      </w:tr>
      <w:tr>
        <w:tc>
          <w:tcPr/>
          <w:p>
            <w:pPr>
              <w:pStyle w:val="Compact"/>
              <w:jc w:val="left"/>
            </w:pPr>
            <w:r>
              <w:t xml:space="preserve">TCI (z)</w:t>
            </w:r>
          </w:p>
        </w:tc>
        <w:tc>
          <w:tcPr/>
          <w:p>
            <w:pPr>
              <w:pStyle w:val="Compact"/>
            </w:pPr>
          </w:p>
        </w:tc>
        <w:tc>
          <w:tcPr/>
          <w:p>
            <w:pPr>
              <w:pStyle w:val="Compact"/>
            </w:pPr>
          </w:p>
        </w:tc>
        <w:tc>
          <w:tcPr/>
          <w:p>
            <w:pPr>
              <w:pStyle w:val="Compact"/>
              <w:jc w:val="left"/>
            </w:pPr>
            <w:r>
              <w:t xml:space="preserve">+0.171***</w:t>
            </w:r>
          </w:p>
        </w:tc>
        <w:tc>
          <w:tcPr/>
          <w:p>
            <w:pPr>
              <w:pStyle w:val="Compact"/>
            </w:pPr>
          </w:p>
        </w:tc>
        <w:tc>
          <w:tcPr/>
          <w:p>
            <w:pPr>
              <w:pStyle w:val="Compact"/>
              <w:jc w:val="left"/>
            </w:pPr>
            <w:r>
              <w:t xml:space="preserve">+0.155***</w:t>
            </w:r>
          </w:p>
        </w:tc>
        <w:tc>
          <w:tcPr/>
          <w:p>
            <w:pPr>
              <w:pStyle w:val="Compact"/>
            </w:pPr>
          </w:p>
        </w:tc>
        <w:tc>
          <w:tcPr/>
          <w:p>
            <w:pPr>
              <w:pStyle w:val="Compact"/>
              <w:jc w:val="left"/>
            </w:pPr>
            <w:r>
              <w:t xml:space="preserve">+0.152***</w:t>
            </w:r>
          </w:p>
        </w:tc>
      </w:tr>
      <w:tr>
        <w:tc>
          <w:tcPr/>
          <w:p>
            <w:pPr>
              <w:pStyle w:val="Compact"/>
            </w:pPr>
          </w:p>
        </w:tc>
        <w:tc>
          <w:tcPr/>
          <w:p>
            <w:pPr>
              <w:pStyle w:val="Compact"/>
            </w:pPr>
          </w:p>
        </w:tc>
        <w:tc>
          <w:tcPr/>
          <w:p>
            <w:pPr>
              <w:pStyle w:val="Compact"/>
            </w:pPr>
          </w:p>
        </w:tc>
        <w:tc>
          <w:tcPr/>
          <w:p>
            <w:pPr>
              <w:pStyle w:val="Compact"/>
              <w:jc w:val="left"/>
            </w:pPr>
            <w:r>
              <w:t xml:space="preserve">(0.044)</w:t>
            </w:r>
          </w:p>
        </w:tc>
        <w:tc>
          <w:tcPr/>
          <w:p>
            <w:pPr>
              <w:pStyle w:val="Compact"/>
            </w:pPr>
          </w:p>
        </w:tc>
        <w:tc>
          <w:tcPr/>
          <w:p>
            <w:pPr>
              <w:pStyle w:val="Compact"/>
              <w:jc w:val="left"/>
            </w:pPr>
            <w:r>
              <w:t xml:space="preserve">(0.046)</w:t>
            </w:r>
          </w:p>
        </w:tc>
        <w:tc>
          <w:tcPr/>
          <w:p>
            <w:pPr>
              <w:pStyle w:val="Compact"/>
            </w:pPr>
          </w:p>
        </w:tc>
        <w:tc>
          <w:tcPr/>
          <w:p>
            <w:pPr>
              <w:pStyle w:val="Compact"/>
              <w:jc w:val="left"/>
            </w:pPr>
            <w:r>
              <w:t xml:space="preserve">(0.046)</w:t>
            </w:r>
          </w:p>
        </w:tc>
      </w:tr>
      <w:tr>
        <w:tc>
          <w:tcPr/>
          <w:p>
            <w:pPr>
              <w:pStyle w:val="Compact"/>
              <w:jc w:val="left"/>
            </w:pPr>
            <w:r>
              <w:t xml:space="preserve">DAI (z)</w:t>
            </w:r>
          </w:p>
        </w:tc>
        <w:tc>
          <w:tcPr/>
          <w:p>
            <w:pPr>
              <w:pStyle w:val="Compact"/>
            </w:pPr>
          </w:p>
        </w:tc>
        <w:tc>
          <w:tcPr/>
          <w:p>
            <w:pPr>
              <w:pStyle w:val="Compact"/>
            </w:pPr>
          </w:p>
        </w:tc>
        <w:tc>
          <w:tcPr/>
          <w:p>
            <w:pPr>
              <w:pStyle w:val="Compact"/>
            </w:pPr>
          </w:p>
        </w:tc>
        <w:tc>
          <w:tcPr/>
          <w:p>
            <w:pPr>
              <w:pStyle w:val="Compact"/>
              <w:jc w:val="left"/>
            </w:pPr>
            <w:r>
              <w:t xml:space="preserve">+0.119**</w:t>
            </w:r>
          </w:p>
        </w:tc>
        <w:tc>
          <w:tcPr/>
          <w:p>
            <w:pPr>
              <w:pStyle w:val="Compact"/>
              <w:jc w:val="left"/>
            </w:pPr>
            <w:r>
              <w:t xml:space="preserve">+0.094*</w:t>
            </w:r>
          </w:p>
        </w:tc>
        <w:tc>
          <w:tcPr/>
          <w:p>
            <w:pPr>
              <w:pStyle w:val="Compact"/>
              <w:jc w:val="left"/>
            </w:pPr>
            <w:r>
              <w:t xml:space="preserve">+0.063</w:t>
            </w:r>
          </w:p>
        </w:tc>
        <w:tc>
          <w:tcPr/>
          <w:p>
            <w:pPr>
              <w:pStyle w:val="Compact"/>
              <w:jc w:val="left"/>
            </w:pPr>
            <w:r>
              <w:t xml:space="preserve">+0.039</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(0.039)</w:t>
            </w:r>
          </w:p>
        </w:tc>
        <w:tc>
          <w:tcPr/>
          <w:p>
            <w:pPr>
              <w:pStyle w:val="Compact"/>
              <w:jc w:val="left"/>
            </w:pPr>
            <w:r>
              <w:t xml:space="preserve">(0.039)</w:t>
            </w:r>
          </w:p>
        </w:tc>
        <w:tc>
          <w:tcPr/>
          <w:p>
            <w:pPr>
              <w:pStyle w:val="Compact"/>
              <w:jc w:val="left"/>
            </w:pPr>
            <w:r>
              <w:t xml:space="preserve">(0.049)</w:t>
            </w:r>
          </w:p>
        </w:tc>
        <w:tc>
          <w:tcPr/>
          <w:p>
            <w:pPr>
              <w:pStyle w:val="Compact"/>
              <w:jc w:val="left"/>
            </w:pPr>
            <w:r>
              <w:t xml:space="preserve">(0.049)</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-1.037</w:t>
            </w:r>
          </w:p>
        </w:tc>
        <w:tc>
          <w:tcPr/>
          <w:p>
            <w:pPr>
              <w:pStyle w:val="Compact"/>
              <w:jc w:val="left"/>
            </w:pPr>
            <w:r>
              <w:t xml:space="preserve">-1.018</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(0.790)</w:t>
            </w:r>
          </w:p>
        </w:tc>
        <w:tc>
          <w:tcPr/>
          <w:p>
            <w:pPr>
              <w:pStyle w:val="Compact"/>
              <w:jc w:val="left"/>
            </w:pPr>
            <w:r>
              <w:t xml:space="preserve">(0.777)</w:t>
            </w:r>
          </w:p>
        </w:tc>
      </w:tr>
      <w:tr>
        <w:tc>
          <w:tcPr/>
          <w:p>
            <w:pPr>
              <w:pStyle w:val="Compact"/>
              <w:jc w:val="left"/>
            </w:pPr>
            <w:r>
              <w:t xml:space="preserve">FSTS² × DAI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+3.307*</w:t>
            </w:r>
          </w:p>
        </w:tc>
        <w:tc>
          <w:tcPr/>
          <w:p>
            <w:pPr>
              <w:pStyle w:val="Compact"/>
              <w:jc w:val="left"/>
            </w:pPr>
            <w:r>
              <w:t xml:space="preserve">+3.220*</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(1.345)</w:t>
            </w:r>
          </w:p>
        </w:tc>
        <w:tc>
          <w:tcPr/>
          <w:p>
            <w:pPr>
              <w:pStyle w:val="Compact"/>
              <w:jc w:val="left"/>
            </w:pPr>
            <w:r>
              <w:t xml:space="preserve">(1.384)</w:t>
            </w:r>
          </w:p>
        </w:tc>
      </w:tr>
      <w:tr>
        <w:tc>
          <w:tcPr/>
          <w:p>
            <w:pPr>
              <w:pStyle w:val="Compact"/>
              <w:jc w:val="left"/>
            </w:pPr>
            <w:r>
              <w:t xml:space="preserve">Firm size (ln)</w:t>
            </w:r>
          </w:p>
        </w:tc>
        <w:tc>
          <w:tcPr/>
          <w:p>
            <w:pPr>
              <w:pStyle w:val="Compact"/>
              <w:jc w:val="left"/>
            </w:pPr>
            <w:r>
              <w:t xml:space="preserve">-0.127***</w:t>
            </w:r>
          </w:p>
        </w:tc>
        <w:tc>
          <w:tcPr/>
          <w:p>
            <w:pPr>
              <w:pStyle w:val="Compact"/>
              <w:jc w:val="left"/>
            </w:pPr>
            <w:r>
              <w:t xml:space="preserve">-0.129***</w:t>
            </w:r>
          </w:p>
        </w:tc>
        <w:tc>
          <w:tcPr/>
          <w:p>
            <w:pPr>
              <w:pStyle w:val="Compact"/>
              <w:jc w:val="left"/>
            </w:pPr>
            <w:r>
              <w:t xml:space="preserve">-0.177***</w:t>
            </w:r>
          </w:p>
        </w:tc>
        <w:tc>
          <w:tcPr/>
          <w:p>
            <w:pPr>
              <w:pStyle w:val="Compact"/>
              <w:jc w:val="left"/>
            </w:pPr>
            <w:r>
              <w:t xml:space="preserve">-0.143***</w:t>
            </w:r>
          </w:p>
        </w:tc>
        <w:tc>
          <w:tcPr/>
          <w:p>
            <w:pPr>
              <w:pStyle w:val="Compact"/>
              <w:jc w:val="left"/>
            </w:pPr>
            <w:r>
              <w:t xml:space="preserve">-0.184***</w:t>
            </w:r>
          </w:p>
        </w:tc>
        <w:tc>
          <w:tcPr/>
          <w:p>
            <w:pPr>
              <w:pStyle w:val="Compact"/>
              <w:jc w:val="left"/>
            </w:pPr>
            <w:r>
              <w:t xml:space="preserve">-0.130***</w:t>
            </w:r>
          </w:p>
        </w:tc>
        <w:tc>
          <w:tcPr/>
          <w:p>
            <w:pPr>
              <w:pStyle w:val="Compact"/>
              <w:jc w:val="left"/>
            </w:pPr>
            <w:r>
              <w:t xml:space="preserve">-0.171***</w:t>
            </w:r>
          </w:p>
        </w:tc>
      </w:tr>
      <w:tr>
        <w:tc>
          <w:tcPr/>
          <w:p>
            <w:pPr>
              <w:pStyle w:val="Compact"/>
              <w:jc w:val="left"/>
            </w:pPr>
            <w:r>
              <w:t xml:space="preserve">Firm age</w:t>
            </w:r>
          </w:p>
        </w:tc>
        <w:tc>
          <w:tcPr/>
          <w:p>
            <w:pPr>
              <w:pStyle w:val="Compact"/>
              <w:jc w:val="left"/>
            </w:pPr>
            <w:r>
              <w:t xml:space="preserve">+0.018***</w:t>
            </w:r>
          </w:p>
        </w:tc>
        <w:tc>
          <w:tcPr/>
          <w:p>
            <w:pPr>
              <w:pStyle w:val="Compact"/>
              <w:jc w:val="left"/>
            </w:pPr>
            <w:r>
              <w:t xml:space="preserve">+0.015***</w:t>
            </w:r>
          </w:p>
        </w:tc>
        <w:tc>
          <w:tcPr/>
          <w:p>
            <w:pPr>
              <w:pStyle w:val="Compact"/>
              <w:jc w:val="left"/>
            </w:pPr>
            <w:r>
              <w:t xml:space="preserve">+0.016***</w:t>
            </w:r>
          </w:p>
        </w:tc>
        <w:tc>
          <w:tcPr/>
          <w:p>
            <w:pPr>
              <w:pStyle w:val="Compact"/>
              <w:jc w:val="left"/>
            </w:pPr>
            <w:r>
              <w:t xml:space="preserve">+0.016***</w:t>
            </w:r>
          </w:p>
        </w:tc>
        <w:tc>
          <w:tcPr/>
          <w:p>
            <w:pPr>
              <w:pStyle w:val="Compact"/>
              <w:jc w:val="left"/>
            </w:pPr>
            <w:r>
              <w:t xml:space="preserve">+0.016***</w:t>
            </w:r>
          </w:p>
        </w:tc>
        <w:tc>
          <w:tcPr/>
          <w:p>
            <w:pPr>
              <w:pStyle w:val="Compact"/>
              <w:jc w:val="left"/>
            </w:pPr>
            <w:r>
              <w:t xml:space="preserve">+0.015***</w:t>
            </w:r>
          </w:p>
        </w:tc>
        <w:tc>
          <w:tcPr/>
          <w:p>
            <w:pPr>
              <w:pStyle w:val="Compact"/>
              <w:jc w:val="left"/>
            </w:pPr>
            <w:r>
              <w:t xml:space="preserve">+0.016***</w:t>
            </w:r>
          </w:p>
        </w:tc>
      </w:tr>
      <w:tr>
        <w:tc>
          <w:tcPr/>
          <w:p>
            <w:pPr>
              <w:pStyle w:val="Compact"/>
              <w:jc w:val="left"/>
            </w:pPr>
            <w:r>
              <w:t xml:space="preserve">Foreign-owned</w:t>
            </w:r>
          </w:p>
        </w:tc>
        <w:tc>
          <w:tcPr/>
          <w:p>
            <w:pPr>
              <w:pStyle w:val="Compact"/>
              <w:jc w:val="left"/>
            </w:pPr>
            <w:r>
              <w:t xml:space="preserve">+0.443***</w:t>
            </w:r>
          </w:p>
        </w:tc>
        <w:tc>
          <w:tcPr/>
          <w:p>
            <w:pPr>
              <w:pStyle w:val="Compact"/>
              <w:jc w:val="left"/>
            </w:pPr>
            <w:r>
              <w:t xml:space="preserve">+0.330***</w:t>
            </w:r>
          </w:p>
        </w:tc>
        <w:tc>
          <w:tcPr/>
          <w:p>
            <w:pPr>
              <w:pStyle w:val="Compact"/>
              <w:jc w:val="left"/>
            </w:pPr>
            <w:r>
              <w:t xml:space="preserve">+0.319***</w:t>
            </w:r>
          </w:p>
        </w:tc>
        <w:tc>
          <w:tcPr/>
          <w:p>
            <w:pPr>
              <w:pStyle w:val="Compact"/>
              <w:jc w:val="left"/>
            </w:pPr>
            <w:r>
              <w:t xml:space="preserve">+0.327***</w:t>
            </w:r>
          </w:p>
        </w:tc>
        <w:tc>
          <w:tcPr/>
          <w:p>
            <w:pPr>
              <w:pStyle w:val="Compact"/>
              <w:jc w:val="left"/>
            </w:pPr>
            <w:r>
              <w:t xml:space="preserve">+0.315***</w:t>
            </w:r>
          </w:p>
        </w:tc>
        <w:tc>
          <w:tcPr/>
          <w:p>
            <w:pPr>
              <w:pStyle w:val="Compact"/>
              <w:jc w:val="left"/>
            </w:pPr>
            <w:r>
              <w:t xml:space="preserve">+0.316***</w:t>
            </w:r>
          </w:p>
        </w:tc>
        <w:tc>
          <w:tcPr/>
          <w:p>
            <w:pPr>
              <w:pStyle w:val="Compact"/>
              <w:jc w:val="left"/>
            </w:pPr>
            <w:r>
              <w:t xml:space="preserve">+0.304***</w:t>
            </w:r>
          </w:p>
        </w:tc>
      </w:tr>
      <w:tr>
        <w:tc>
          <w:tcPr/>
          <w:p>
            <w:pPr>
              <w:pStyle w:val="Compact"/>
              <w:jc w:val="left"/>
            </w:pPr>
            <w:r>
              <w:t xml:space="preserve">Sector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Constant</w:t>
            </w:r>
          </w:p>
        </w:tc>
        <w:tc>
          <w:tcPr/>
          <w:p>
            <w:pPr>
              <w:pStyle w:val="Compact"/>
              <w:jc w:val="left"/>
            </w:pPr>
            <w:r>
              <w:t xml:space="preserve">+11.433***</w:t>
            </w:r>
          </w:p>
        </w:tc>
        <w:tc>
          <w:tcPr/>
          <w:p>
            <w:pPr>
              <w:pStyle w:val="Compact"/>
              <w:jc w:val="left"/>
            </w:pPr>
            <w:r>
              <w:t xml:space="preserve">+11.537***</w:t>
            </w:r>
          </w:p>
        </w:tc>
        <w:tc>
          <w:tcPr/>
          <w:p>
            <w:pPr>
              <w:pStyle w:val="Compact"/>
              <w:jc w:val="left"/>
            </w:pPr>
            <w:r>
              <w:t xml:space="preserve">+11.656***</w:t>
            </w:r>
          </w:p>
        </w:tc>
        <w:tc>
          <w:tcPr/>
          <w:p>
            <w:pPr>
              <w:pStyle w:val="Compact"/>
              <w:jc w:val="left"/>
            </w:pPr>
            <w:r>
              <w:t xml:space="preserve">+11.558***</w:t>
            </w:r>
          </w:p>
        </w:tc>
        <w:tc>
          <w:tcPr/>
          <w:p>
            <w:pPr>
              <w:pStyle w:val="Compact"/>
              <w:jc w:val="left"/>
            </w:pPr>
            <w:r>
              <w:t xml:space="preserve">+11.664***</w:t>
            </w:r>
          </w:p>
        </w:tc>
        <w:tc>
          <w:tcPr/>
          <w:p>
            <w:pPr>
              <w:pStyle w:val="Compact"/>
              <w:jc w:val="left"/>
            </w:pPr>
            <w:r>
              <w:t xml:space="preserve">+11.550***</w:t>
            </w:r>
          </w:p>
        </w:tc>
        <w:tc>
          <w:tcPr/>
          <w:p>
            <w:pPr>
              <w:pStyle w:val="Compact"/>
              <w:jc w:val="left"/>
            </w:pPr>
            <w:r>
              <w:t xml:space="preserve">+11.655***</w:t>
            </w:r>
          </w:p>
        </w:tc>
      </w:tr>
      <w:tr>
        <w:tc>
          <w:tcPr/>
          <w:p>
            <w:pPr>
              <w:pStyle w:val="Compact"/>
              <w:jc w:val="left"/>
            </w:pPr>
            <w:r>
              <w:t xml:space="preserve">N</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623</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c>
          <w:tcPr/>
          <w:p>
            <w:pPr>
              <w:pStyle w:val="Compact"/>
              <w:jc w:val="left"/>
            </w:pPr>
            <w:r>
              <w:t xml:space="preserve">617</w:t>
            </w:r>
          </w:p>
        </w:tc>
      </w:tr>
      <w:tr>
        <w:tc>
          <w:tcPr/>
          <w:p>
            <w:pPr>
              <w:pStyle w:val="Compact"/>
              <w:jc w:val="left"/>
            </w:pPr>
            <w:r>
              <w:t xml:space="preserve">R²</w:t>
            </w:r>
          </w:p>
        </w:tc>
        <w:tc>
          <w:tcPr/>
          <w:p>
            <w:pPr>
              <w:pStyle w:val="Compact"/>
              <w:jc w:val="left"/>
            </w:pPr>
            <w:r>
              <w:t xml:space="preserve">0.104</w:t>
            </w:r>
          </w:p>
        </w:tc>
        <w:tc>
          <w:tcPr/>
          <w:p>
            <w:pPr>
              <w:pStyle w:val="Compact"/>
              <w:jc w:val="left"/>
            </w:pPr>
            <w:r>
              <w:t xml:space="preserve">0.175</w:t>
            </w:r>
          </w:p>
        </w:tc>
        <w:tc>
          <w:tcPr/>
          <w:p>
            <w:pPr>
              <w:pStyle w:val="Compact"/>
              <w:jc w:val="left"/>
            </w:pPr>
            <w:r>
              <w:t xml:space="preserve">0.197</w:t>
            </w:r>
          </w:p>
        </w:tc>
        <w:tc>
          <w:tcPr/>
          <w:p>
            <w:pPr>
              <w:pStyle w:val="Compact"/>
              <w:jc w:val="left"/>
            </w:pPr>
            <w:r>
              <w:t xml:space="preserve">0.184</w:t>
            </w:r>
          </w:p>
        </w:tc>
        <w:tc>
          <w:tcPr/>
          <w:p>
            <w:pPr>
              <w:pStyle w:val="Compact"/>
              <w:jc w:val="left"/>
            </w:pPr>
            <w:r>
              <w:t xml:space="preserve">0.201</w:t>
            </w:r>
          </w:p>
        </w:tc>
        <w:tc>
          <w:tcPr/>
          <w:p>
            <w:pPr>
              <w:pStyle w:val="Compact"/>
              <w:jc w:val="left"/>
            </w:pPr>
            <w:r>
              <w:t xml:space="preserve">0.194</w:t>
            </w:r>
          </w:p>
        </w:tc>
        <w:tc>
          <w:tcPr/>
          <w:p>
            <w:pPr>
              <w:pStyle w:val="Compact"/>
              <w:jc w:val="left"/>
            </w:pPr>
            <w:r>
              <w:t xml:space="preserve">0.211</w:t>
            </w:r>
          </w:p>
        </w:tc>
      </w:tr>
      <w:tr>
        <w:tc>
          <w:tcPr/>
          <w:p>
            <w:pPr>
              <w:pStyle w:val="Compact"/>
              <w:jc w:val="left"/>
            </w:pPr>
            <w:r>
              <w:t xml:space="preserve">Adj. R²</w:t>
            </w:r>
          </w:p>
        </w:tc>
        <w:tc>
          <w:tcPr/>
          <w:p>
            <w:pPr>
              <w:pStyle w:val="Compact"/>
              <w:jc w:val="left"/>
            </w:pPr>
            <w:r>
              <w:t xml:space="preserve">0.096</w:t>
            </w:r>
          </w:p>
        </w:tc>
        <w:tc>
          <w:tcPr/>
          <w:p>
            <w:pPr>
              <w:pStyle w:val="Compact"/>
              <w:jc w:val="left"/>
            </w:pPr>
            <w:r>
              <w:t xml:space="preserve">0.166</w:t>
            </w:r>
          </w:p>
        </w:tc>
        <w:tc>
          <w:tcPr/>
          <w:p>
            <w:pPr>
              <w:pStyle w:val="Compact"/>
              <w:jc w:val="left"/>
            </w:pPr>
            <w:r>
              <w:t xml:space="preserve">0.186</w:t>
            </w:r>
          </w:p>
        </w:tc>
        <w:tc>
          <w:tcPr/>
          <w:p>
            <w:pPr>
              <w:pStyle w:val="Compact"/>
              <w:jc w:val="left"/>
            </w:pPr>
            <w:r>
              <w:t xml:space="preserve">0.173</w:t>
            </w:r>
          </w:p>
        </w:tc>
        <w:tc>
          <w:tcPr/>
          <w:p>
            <w:pPr>
              <w:pStyle w:val="Compact"/>
              <w:jc w:val="left"/>
            </w:pPr>
            <w:r>
              <w:t xml:space="preserve">0.189</w:t>
            </w:r>
          </w:p>
        </w:tc>
        <w:tc>
          <w:tcPr/>
          <w:p>
            <w:pPr>
              <w:pStyle w:val="Compact"/>
              <w:jc w:val="left"/>
            </w:pPr>
            <w:r>
              <w:t xml:space="preserve">0.181</w:t>
            </w:r>
          </w:p>
        </w:tc>
        <w:tc>
          <w:tcPr/>
          <w:p>
            <w:pPr>
              <w:pStyle w:val="Compact"/>
              <w:jc w:val="left"/>
            </w:pPr>
            <w:r>
              <w:t xml:space="preserve">0.196</w:t>
            </w:r>
          </w:p>
        </w:tc>
      </w:tr>
    </w:tbl>
    <w:p>
      <w:pPr>
        <w:pStyle w:val="BodyText"/>
      </w:pPr>
      <w:r>
        <w:t xml:space="preserve">Notes: The dependent variable is log labour productivity. HC1 robust</w:t>
      </w:r>
      <w:r>
        <w:t xml:space="preserve"> </w:t>
      </w:r>
      <w:r>
        <w:t xml:space="preserve">standard errors are reported in parentheses. FSTS is mean-centered</w:t>
      </w:r>
      <w:r>
        <w:t xml:space="preserve"> </w:t>
      </w:r>
      <w:r>
        <w:t xml:space="preserve">before squaring. All models include firm size, firm age, foreign</w:t>
      </w:r>
      <w:r>
        <w:t xml:space="preserve"> </w:t>
      </w:r>
      <w:r>
        <w:t xml:space="preserve">ownership, and broad sector fixed effects. Models containing DAI use N =</w:t>
      </w:r>
      <w:r>
        <w:t xml:space="preserve"> </w:t>
      </w:r>
      <w:r>
        <w:t xml:space="preserve">617 because six firms have missing values on DAI-related variables.</w:t>
      </w:r>
      <w:r>
        <w:t xml:space="preserve"> </w:t>
      </w:r>
      <w:r>
        <w:t xml:space="preserve">Table 2 reports the main hierarchical regression results. The baseline</w:t>
      </w:r>
      <w:r>
        <w:t xml:space="preserve"> </w:t>
      </w:r>
      <w:r>
        <w:t xml:space="preserve">quadratic specification indicates a strongly positive linear FSTS term</w:t>
      </w:r>
      <w:r>
        <w:t xml:space="preserve"> </w:t>
      </w:r>
      <w:r>
        <w:t xml:space="preserve">and a marginally negative squared term, suggesting that the</w:t>
      </w:r>
      <w:r>
        <w:t xml:space="preserve"> </w:t>
      </w:r>
      <w:r>
        <w:t xml:space="preserve">internationalization–performance relationship is better read as</w:t>
      </w:r>
      <w:r>
        <w:t xml:space="preserve"> </w:t>
      </w:r>
      <w:r>
        <w:t xml:space="preserve">predominantly monotonic positive with mild quadratic curvature rather</w:t>
      </w:r>
      <w:r>
        <w:t xml:space="preserve"> </w:t>
      </w:r>
      <w:r>
        <w:t xml:space="preserve">than as a formally established inverted-U. The direct-effect models</w:t>
      </w:r>
      <w:r>
        <w:t xml:space="preserve"> </w:t>
      </w:r>
      <w:r>
        <w:t xml:space="preserve">further indicate that TCI is positively associated with labour</w:t>
      </w:r>
      <w:r>
        <w:t xml:space="preserve"> </w:t>
      </w:r>
      <w:r>
        <w:t xml:space="preserve">productivity and that its role is substantively stronger and more stable</w:t>
      </w:r>
      <w:r>
        <w:t xml:space="preserve"> </w:t>
      </w:r>
      <w:r>
        <w:t xml:space="preserve">than that of DAI as a universal average effect. Once DAI is introduced</w:t>
      </w:r>
      <w:r>
        <w:t xml:space="preserve"> </w:t>
      </w:r>
      <w:r>
        <w:t xml:space="preserve">jointly with TCI, its direct coefficient attenuates, which suggests that</w:t>
      </w:r>
      <w:r>
        <w:t xml:space="preserve"> </w:t>
      </w:r>
      <w:r>
        <w:t xml:space="preserve">part of the average DAI–productivity association overlaps with broader</w:t>
      </w:r>
      <w:r>
        <w:t xml:space="preserve"> </w:t>
      </w:r>
      <w:r>
        <w:t xml:space="preserve">productivity-relevant firm heterogeneity already captured by TCI. The</w:t>
      </w:r>
      <w:r>
        <w:t xml:space="preserve"> </w:t>
      </w:r>
      <w:r>
        <w:t xml:space="preserve">full model then suggests that the most consequential DAI result is not a</w:t>
      </w:r>
      <w:r>
        <w:t xml:space="preserve"> </w:t>
      </w:r>
      <w:r>
        <w:t xml:space="preserve">large unconditional premium, but a positive quadratic moderation pattern</w:t>
      </w:r>
      <w:r>
        <w:t xml:space="preserve"> </w:t>
      </w:r>
      <w:r>
        <w:t xml:space="preserve">indicating that the relevance of digital adoption becomes more positive</w:t>
      </w:r>
      <w:r>
        <w:t xml:space="preserve"> </w:t>
      </w:r>
      <w:r>
        <w:t xml:space="preserve">as export intensity rises. The strongest evidence for DAI appears in the</w:t>
      </w:r>
      <w:r>
        <w:t xml:space="preserve"> </w:t>
      </w:r>
      <w:r>
        <w:t xml:space="preserve">moderation specifications. In the full model (Model M8), the direct DAI</w:t>
      </w:r>
      <w:r>
        <w:t xml:space="preserve"> </w:t>
      </w:r>
      <w:r>
        <w:t xml:space="preserve">term is small and not statistically significant (β = 0.039, p = .419),</w:t>
      </w:r>
      <w:r>
        <w:t xml:space="preserve"> </w:t>
      </w:r>
      <w:r>
        <w:t xml:space="preserve">the linear interaction with FSTS is negative but does not reach</w:t>
      </w:r>
      <w:r>
        <w:t xml:space="preserve"> </w:t>
      </w:r>
      <w:r>
        <w:t xml:space="preserve">conventional significance (β = −1.018, p = .190), and the quadratic</w:t>
      </w:r>
      <w:r>
        <w:t xml:space="preserve"> </w:t>
      </w:r>
      <w:r>
        <w:t xml:space="preserve">interaction term is positive and statistically significant (β = 3.220,</w:t>
      </w:r>
      <w:r>
        <w:t xml:space="preserve"> </w:t>
      </w:r>
      <w:r>
        <w:t xml:space="preserve">SE = 1.384, p = .020). Model M8 also produces the highest explanatory</w:t>
      </w:r>
      <w:r>
        <w:t xml:space="preserve"> </w:t>
      </w:r>
      <w:r>
        <w:t xml:space="preserve">power among the main specifications, with R² = 0.211 and adjusted R² =</w:t>
      </w:r>
      <w:r>
        <w:t xml:space="preserve"> </w:t>
      </w:r>
      <w:r>
        <w:t xml:space="preserve">0.196. Read substantively, these estimates indicate that the</w:t>
      </w:r>
      <w:r>
        <w:t xml:space="preserve"> </w:t>
      </w:r>
      <w:r>
        <w:t xml:space="preserve">productivity relevance of digital adoption becomes more positive at</w:t>
      </w:r>
      <w:r>
        <w:t xml:space="preserve"> </w:t>
      </w:r>
      <w:r>
        <w:t xml:space="preserve">higher levels of export intensity, with the clearest signal concentrated</w:t>
      </w:r>
      <w:r>
        <w:t xml:space="preserve"> </w:t>
      </w:r>
      <w:r>
        <w:t xml:space="preserve">in the high-export tail rather than distributed uniformly across the</w:t>
      </w:r>
      <w:r>
        <w:t xml:space="preserve"> </w:t>
      </w:r>
      <w:r>
        <w:t xml:space="preserve">sample. One clarification is important for interpretation. Because FSTS</w:t>
      </w:r>
      <w:r>
        <w:t xml:space="preserve"> </w:t>
      </w:r>
      <w:r>
        <w:t xml:space="preserve">is mean-centered before squaring and the interaction terms are</w:t>
      </w:r>
      <w:r>
        <w:t xml:space="preserve"> </w:t>
      </w:r>
      <w:r>
        <w:t xml:space="preserve">constructed from the centered measure, the coefficient on DAI in Model</w:t>
      </w:r>
      <w:r>
        <w:t xml:space="preserve"> </w:t>
      </w:r>
      <w:r>
        <w:t xml:space="preserve">M8 is not numerically equivalent to the marginal effect of DAI at FSTS =</w:t>
      </w:r>
      <w:r>
        <w:t xml:space="preserve"> </w:t>
      </w:r>
      <w:r>
        <w:t xml:space="preserve">0 on the original scale. For that reason, the near-zero direct DAI</w:t>
      </w:r>
      <w:r>
        <w:t xml:space="preserve"> </w:t>
      </w:r>
      <w:r>
        <w:t xml:space="preserve">coefficient in M8 should not be read as contradicting the small positive</w:t>
      </w:r>
      <w:r>
        <w:t xml:space="preserve"> </w:t>
      </w:r>
      <w:r>
        <w:t xml:space="preserve">marginal effect reported for domestic firms in Table 4. The more</w:t>
      </w:r>
      <w:r>
        <w:t xml:space="preserve"> </w:t>
      </w:r>
      <w:r>
        <w:t xml:space="preserve">relevant substantive pattern is that the DAI association is weak across</w:t>
      </w:r>
      <w:r>
        <w:t xml:space="preserve"> </w:t>
      </w:r>
      <w:r>
        <w:t xml:space="preserve">much of the distribution and becomes more positive only in the</w:t>
      </w:r>
      <w:r>
        <w:t xml:space="preserve"> </w:t>
      </w:r>
      <w:r>
        <w:t xml:space="preserve">high-export tail, where cross-border coordination demands are denser but</w:t>
      </w:r>
      <w:r>
        <w:t xml:space="preserve"> </w:t>
      </w:r>
      <w:r>
        <w:t xml:space="preserve">empirical support is also thinner. Table 4. Marginal effects of DAI</w:t>
      </w:r>
      <w:r>
        <w:t xml:space="preserve"> </w:t>
      </w:r>
      <w:r>
        <w:t xml:space="preserve">across selected FSTS levels (from Model M8).</w:t>
      </w:r>
    </w:p>
    <w:tbl>
      <w:tblPr>
        <w:tblStyle w:val="Table"/>
        <w:tblW w:type="pct" w:w="5000"/>
        <w:tblLook w:firstRow="1" w:lastRow="0" w:firstColumn="0" w:lastColumn="0" w:noHBand="0" w:noVBand="0" w:val="0020"/>
        <w:jc w:val="start"/>
      </w:tblPr>
      <w:tblGrid>
        <w:gridCol w:w="2099"/>
        <w:gridCol w:w="2290"/>
        <w:gridCol w:w="667"/>
        <w:gridCol w:w="954"/>
        <w:gridCol w:w="1908"/>
      </w:tblGrid>
      <w:tr>
        <w:trPr>
          <w:tblHeader w:val="true"/>
        </w:trPr>
        <w:tc>
          <w:tcPr/>
          <w:p>
            <w:pPr>
              <w:pStyle w:val="Compact"/>
              <w:jc w:val="left"/>
            </w:pPr>
            <w:r>
              <w:t xml:space="preserve">FSTS level</w:t>
            </w:r>
          </w:p>
        </w:tc>
        <w:tc>
          <w:tcPr/>
          <w:p>
            <w:pPr>
              <w:pStyle w:val="Compact"/>
              <w:jc w:val="left"/>
            </w:pPr>
            <w:r>
              <w:t xml:space="preserve">Marginal effect of DAI</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95% CI</w:t>
            </w:r>
          </w:p>
        </w:tc>
      </w:tr>
      <w:tr>
        <w:tc>
          <w:tcPr/>
          <w:p>
            <w:pPr>
              <w:pStyle w:val="Compact"/>
              <w:jc w:val="left"/>
            </w:pPr>
            <w:r>
              <w:t xml:space="preserve">FSTS = 0% (domestic)</w:t>
            </w:r>
          </w:p>
        </w:tc>
        <w:tc>
          <w:tcPr/>
          <w:p>
            <w:pPr>
              <w:pStyle w:val="Compact"/>
              <w:jc w:val="left"/>
            </w:pPr>
            <w:r>
              <w:t xml:space="preserve">+0.094</w:t>
            </w:r>
          </w:p>
        </w:tc>
        <w:tc>
          <w:tcPr/>
          <w:p>
            <w:pPr>
              <w:pStyle w:val="Compact"/>
              <w:jc w:val="left"/>
            </w:pPr>
            <w:r>
              <w:t xml:space="preserve">0.041</w:t>
            </w:r>
          </w:p>
        </w:tc>
        <w:tc>
          <w:tcPr/>
          <w:p>
            <w:pPr>
              <w:pStyle w:val="Compact"/>
              <w:jc w:val="left"/>
            </w:pPr>
            <w:r>
              <w:t xml:space="preserve">.021*</w:t>
            </w:r>
          </w:p>
        </w:tc>
        <w:tc>
          <w:tcPr/>
          <w:p>
            <w:pPr>
              <w:pStyle w:val="Compact"/>
              <w:jc w:val="left"/>
            </w:pPr>
            <w:r>
              <w:t xml:space="preserve">[+0.014, +0.173]</w:t>
            </w:r>
          </w:p>
        </w:tc>
      </w:tr>
      <w:tr>
        <w:tc>
          <w:tcPr/>
          <w:p>
            <w:pPr>
              <w:pStyle w:val="Compact"/>
              <w:jc w:val="left"/>
            </w:pPr>
            <w:r>
              <w:t xml:space="preserve">FSTS = 5%</w:t>
            </w:r>
          </w:p>
        </w:tc>
        <w:tc>
          <w:tcPr/>
          <w:p>
            <w:pPr>
              <w:pStyle w:val="Compact"/>
              <w:jc w:val="left"/>
            </w:pPr>
            <w:r>
              <w:t xml:space="preserve">+0.036</w:t>
            </w:r>
          </w:p>
        </w:tc>
        <w:tc>
          <w:tcPr/>
          <w:p>
            <w:pPr>
              <w:pStyle w:val="Compact"/>
              <w:jc w:val="left"/>
            </w:pPr>
            <w:r>
              <w:t xml:space="preserve">0.050</w:t>
            </w:r>
          </w:p>
        </w:tc>
        <w:tc>
          <w:tcPr/>
          <w:p>
            <w:pPr>
              <w:pStyle w:val="Compact"/>
              <w:jc w:val="left"/>
            </w:pPr>
            <w:r>
              <w:t xml:space="preserve">.476</w:t>
            </w:r>
          </w:p>
        </w:tc>
        <w:tc>
          <w:tcPr/>
          <w:p>
            <w:pPr>
              <w:pStyle w:val="Compact"/>
              <w:jc w:val="left"/>
            </w:pPr>
            <w:r>
              <w:t xml:space="preserve">[-0.063, +0.134]</w:t>
            </w:r>
          </w:p>
        </w:tc>
      </w:tr>
      <w:tr>
        <w:tc>
          <w:tcPr/>
          <w:p>
            <w:pPr>
              <w:pStyle w:val="Compact"/>
              <w:jc w:val="left"/>
            </w:pPr>
            <w:r>
              <w:t xml:space="preserve">FSTS = 10%</w:t>
            </w:r>
          </w:p>
        </w:tc>
        <w:tc>
          <w:tcPr/>
          <w:p>
            <w:pPr>
              <w:pStyle w:val="Compact"/>
              <w:jc w:val="left"/>
            </w:pPr>
            <w:r>
              <w:t xml:space="preserve">-0.006</w:t>
            </w:r>
          </w:p>
        </w:tc>
        <w:tc>
          <w:tcPr/>
          <w:p>
            <w:pPr>
              <w:pStyle w:val="Compact"/>
              <w:jc w:val="left"/>
            </w:pPr>
            <w:r>
              <w:t xml:space="preserve">0.077</w:t>
            </w:r>
          </w:p>
        </w:tc>
        <w:tc>
          <w:tcPr/>
          <w:p>
            <w:pPr>
              <w:pStyle w:val="Compact"/>
              <w:jc w:val="left"/>
            </w:pPr>
            <w:r>
              <w:t xml:space="preserve">.938</w:t>
            </w:r>
          </w:p>
        </w:tc>
        <w:tc>
          <w:tcPr/>
          <w:p>
            <w:pPr>
              <w:pStyle w:val="Compact"/>
              <w:jc w:val="left"/>
            </w:pPr>
            <w:r>
              <w:t xml:space="preserve">[-0.157, +0.145]</w:t>
            </w:r>
          </w:p>
        </w:tc>
      </w:tr>
      <w:tr>
        <w:tc>
          <w:tcPr/>
          <w:p>
            <w:pPr>
              <w:pStyle w:val="Compact"/>
              <w:jc w:val="left"/>
            </w:pPr>
            <w:r>
              <w:t xml:space="preserve">FSTS = 15%</w:t>
            </w:r>
          </w:p>
        </w:tc>
        <w:tc>
          <w:tcPr/>
          <w:p>
            <w:pPr>
              <w:pStyle w:val="Compact"/>
              <w:jc w:val="left"/>
            </w:pPr>
            <w:r>
              <w:t xml:space="preserve">-0.032</w:t>
            </w:r>
          </w:p>
        </w:tc>
        <w:tc>
          <w:tcPr/>
          <w:p>
            <w:pPr>
              <w:pStyle w:val="Compact"/>
              <w:jc w:val="left"/>
            </w:pPr>
            <w:r>
              <w:t xml:space="preserve">0.104</w:t>
            </w:r>
          </w:p>
        </w:tc>
        <w:tc>
          <w:tcPr/>
          <w:p>
            <w:pPr>
              <w:pStyle w:val="Compact"/>
              <w:jc w:val="left"/>
            </w:pPr>
            <w:r>
              <w:t xml:space="preserve">.761</w:t>
            </w:r>
          </w:p>
        </w:tc>
        <w:tc>
          <w:tcPr/>
          <w:p>
            <w:pPr>
              <w:pStyle w:val="Compact"/>
              <w:jc w:val="left"/>
            </w:pPr>
            <w:r>
              <w:t xml:space="preserve">[-0.235, +0.172]</w:t>
            </w:r>
          </w:p>
        </w:tc>
      </w:tr>
      <w:tr>
        <w:tc>
          <w:tcPr/>
          <w:p>
            <w:pPr>
              <w:pStyle w:val="Compact"/>
              <w:jc w:val="left"/>
            </w:pPr>
            <w:r>
              <w:t xml:space="preserve">FSTS = 20%</w:t>
            </w:r>
          </w:p>
        </w:tc>
        <w:tc>
          <w:tcPr/>
          <w:p>
            <w:pPr>
              <w:pStyle w:val="Compact"/>
              <w:jc w:val="left"/>
            </w:pPr>
            <w:r>
              <w:t xml:space="preserve">-0.041</w:t>
            </w:r>
          </w:p>
        </w:tc>
        <w:tc>
          <w:tcPr/>
          <w:p>
            <w:pPr>
              <w:pStyle w:val="Compact"/>
              <w:jc w:val="left"/>
            </w:pPr>
            <w:r>
              <w:t xml:space="preserve">0.127</w:t>
            </w:r>
          </w:p>
        </w:tc>
        <w:tc>
          <w:tcPr/>
          <w:p>
            <w:pPr>
              <w:pStyle w:val="Compact"/>
              <w:jc w:val="left"/>
            </w:pPr>
            <w:r>
              <w:t xml:space="preserve">.747</w:t>
            </w:r>
          </w:p>
        </w:tc>
        <w:tc>
          <w:tcPr/>
          <w:p>
            <w:pPr>
              <w:pStyle w:val="Compact"/>
              <w:jc w:val="left"/>
            </w:pPr>
            <w:r>
              <w:t xml:space="preserve">[-0.291, +0.209]</w:t>
            </w:r>
          </w:p>
        </w:tc>
      </w:tr>
      <w:tr>
        <w:tc>
          <w:tcPr/>
          <w:p>
            <w:pPr>
              <w:pStyle w:val="Compact"/>
              <w:jc w:val="left"/>
            </w:pPr>
            <w:r>
              <w:t xml:space="preserve">FSTS = 30%</w:t>
            </w:r>
          </w:p>
        </w:tc>
        <w:tc>
          <w:tcPr/>
          <w:p>
            <w:pPr>
              <w:pStyle w:val="Compact"/>
              <w:jc w:val="left"/>
            </w:pPr>
            <w:r>
              <w:t xml:space="preserve">-0.012</w:t>
            </w:r>
          </w:p>
        </w:tc>
        <w:tc>
          <w:tcPr/>
          <w:p>
            <w:pPr>
              <w:pStyle w:val="Compact"/>
              <w:jc w:val="left"/>
            </w:pPr>
            <w:r>
              <w:t xml:space="preserve">0.164</w:t>
            </w:r>
          </w:p>
        </w:tc>
        <w:tc>
          <w:tcPr/>
          <w:p>
            <w:pPr>
              <w:pStyle w:val="Compact"/>
              <w:jc w:val="left"/>
            </w:pPr>
            <w:r>
              <w:t xml:space="preserve">.942</w:t>
            </w:r>
          </w:p>
        </w:tc>
        <w:tc>
          <w:tcPr/>
          <w:p>
            <w:pPr>
              <w:pStyle w:val="Compact"/>
              <w:jc w:val="left"/>
            </w:pPr>
            <w:r>
              <w:t xml:space="preserve">[-0.332, +0.309]</w:t>
            </w:r>
          </w:p>
        </w:tc>
      </w:tr>
      <w:tr>
        <w:tc>
          <w:tcPr/>
          <w:p>
            <w:pPr>
              <w:pStyle w:val="Compact"/>
              <w:jc w:val="left"/>
            </w:pPr>
            <w:r>
              <w:t xml:space="preserve">FSTS = 50%</w:t>
            </w:r>
          </w:p>
        </w:tc>
        <w:tc>
          <w:tcPr/>
          <w:p>
            <w:pPr>
              <w:pStyle w:val="Compact"/>
              <w:jc w:val="left"/>
            </w:pPr>
            <w:r>
              <w:t xml:space="preserve">+0.240</w:t>
            </w:r>
          </w:p>
        </w:tc>
        <w:tc>
          <w:tcPr/>
          <w:p>
            <w:pPr>
              <w:pStyle w:val="Compact"/>
              <w:jc w:val="left"/>
            </w:pPr>
            <w:r>
              <w:t xml:space="preserve">0.220</w:t>
            </w:r>
          </w:p>
        </w:tc>
        <w:tc>
          <w:tcPr/>
          <w:p>
            <w:pPr>
              <w:pStyle w:val="Compact"/>
              <w:jc w:val="left"/>
            </w:pPr>
            <w:r>
              <w:t xml:space="preserve">.276</w:t>
            </w:r>
          </w:p>
        </w:tc>
        <w:tc>
          <w:tcPr/>
          <w:p>
            <w:pPr>
              <w:pStyle w:val="Compact"/>
              <w:jc w:val="left"/>
            </w:pPr>
            <w:r>
              <w:t xml:space="preserve">[-0.192, +0.671]</w:t>
            </w:r>
          </w:p>
        </w:tc>
      </w:tr>
      <w:tr>
        <w:tc>
          <w:tcPr/>
          <w:p>
            <w:pPr>
              <w:pStyle w:val="Compact"/>
              <w:jc w:val="left"/>
            </w:pPr>
            <w:r>
              <w:t xml:space="preserve">FSTS = 70%</w:t>
            </w:r>
          </w:p>
        </w:tc>
        <w:tc>
          <w:tcPr/>
          <w:p>
            <w:pPr>
              <w:pStyle w:val="Compact"/>
              <w:jc w:val="left"/>
            </w:pPr>
            <w:r>
              <w:t xml:space="preserve">+0.749</w:t>
            </w:r>
          </w:p>
        </w:tc>
        <w:tc>
          <w:tcPr/>
          <w:p>
            <w:pPr>
              <w:pStyle w:val="Compact"/>
              <w:jc w:val="left"/>
            </w:pPr>
            <w:r>
              <w:t xml:space="preserve">0.342</w:t>
            </w:r>
          </w:p>
        </w:tc>
        <w:tc>
          <w:tcPr/>
          <w:p>
            <w:pPr>
              <w:pStyle w:val="Compact"/>
              <w:jc w:val="left"/>
            </w:pPr>
            <w:r>
              <w:t xml:space="preserve">.029*</w:t>
            </w:r>
          </w:p>
        </w:tc>
        <w:tc>
          <w:tcPr/>
          <w:p>
            <w:pPr>
              <w:pStyle w:val="Compact"/>
              <w:jc w:val="left"/>
            </w:pPr>
            <w:r>
              <w:t xml:space="preserve">[+0.079, +1.420]</w:t>
            </w:r>
          </w:p>
        </w:tc>
      </w:tr>
      <w:tr>
        <w:tc>
          <w:tcPr/>
          <w:p>
            <w:pPr>
              <w:pStyle w:val="Compact"/>
              <w:jc w:val="left"/>
            </w:pPr>
            <w:r>
              <w:t xml:space="preserve">FSTS = 100%</w:t>
            </w:r>
          </w:p>
        </w:tc>
        <w:tc>
          <w:tcPr/>
          <w:p>
            <w:pPr>
              <w:pStyle w:val="Compact"/>
              <w:jc w:val="left"/>
            </w:pPr>
            <w:r>
              <w:t xml:space="preserve">+1.996</w:t>
            </w:r>
          </w:p>
        </w:tc>
        <w:tc>
          <w:tcPr/>
          <w:p>
            <w:pPr>
              <w:pStyle w:val="Compact"/>
              <w:jc w:val="left"/>
            </w:pPr>
            <w:r>
              <w:t xml:space="preserve">0.767</w:t>
            </w:r>
          </w:p>
        </w:tc>
        <w:tc>
          <w:tcPr/>
          <w:p>
            <w:pPr>
              <w:pStyle w:val="Compact"/>
              <w:jc w:val="left"/>
            </w:pPr>
            <w:r>
              <w:t xml:space="preserve">.009**</w:t>
            </w:r>
          </w:p>
        </w:tc>
        <w:tc>
          <w:tcPr/>
          <w:p>
            <w:pPr>
              <w:pStyle w:val="Compact"/>
              <w:jc w:val="left"/>
            </w:pPr>
            <w:r>
              <w:t xml:space="preserve">[+0.492, +3.500]</w:t>
            </w:r>
          </w:p>
        </w:tc>
      </w:tr>
    </w:tbl>
    <w:p>
      <w:pPr>
        <w:pStyle w:val="BodyText"/>
      </w:pPr>
      <w:r>
        <w:t xml:space="preserve">Notes: Marginal effects are computed from Model M8 for a</w:t>
      </w:r>
      <w:r>
        <w:t xml:space="preserve"> </w:t>
      </w:r>
      <w:r>
        <w:t xml:space="preserve">one-standard-deviation increase in DAI. Standard errors are derived</w:t>
      </w:r>
      <w:r>
        <w:t xml:space="preserve"> </w:t>
      </w:r>
      <w:r>
        <w:t xml:space="preserve">using the delta method. The estimates indicate that the productivity</w:t>
      </w:r>
      <w:r>
        <w:t xml:space="preserve"> </w:t>
      </w:r>
      <w:r>
        <w:t xml:space="preserve">association of DAI is statistically weak across much of the observed</w:t>
      </w:r>
      <w:r>
        <w:t xml:space="preserve"> </w:t>
      </w:r>
      <w:r>
        <w:t xml:space="preserve">export range but becomes positive and significant among high-intensity</w:t>
      </w:r>
      <w:r>
        <w:t xml:space="preserve"> </w:t>
      </w:r>
      <w:r>
        <w:t xml:space="preserve">exporters. Table 4 and Figure 2 translate the interaction estimates from</w:t>
      </w:r>
      <w:r>
        <w:t xml:space="preserve"> </w:t>
      </w:r>
      <w:r>
        <w:t xml:space="preserve">Model M8 into substantively interpretable marginal effects across the</w:t>
      </w:r>
      <w:r>
        <w:t xml:space="preserve"> </w:t>
      </w:r>
      <w:r>
        <w:t xml:space="preserve">export-intensity distribution. At FSTS = 0, the marginal effect of DAI</w:t>
      </w:r>
      <w:r>
        <w:t xml:space="preserve"> </w:t>
      </w:r>
      <w:r>
        <w:t xml:space="preserve">is small but positive and statistically significant (+0.094, p = .021),</w:t>
      </w:r>
      <w:r>
        <w:t xml:space="preserve"> </w:t>
      </w:r>
      <w:r>
        <w:t xml:space="preserve">indicating only a modest baseline association among purely domestic</w:t>
      </w:r>
      <w:r>
        <w:t xml:space="preserve"> </w:t>
      </w:r>
      <w:r>
        <w:t xml:space="preserve">firms. Across the low-export and middle export range, however, the</w:t>
      </w:r>
      <w:r>
        <w:t xml:space="preserve"> </w:t>
      </w:r>
      <w:r>
        <w:t xml:space="preserve">marginal effect is statistically indistinguishable from zero, which</w:t>
      </w:r>
      <w:r>
        <w:t xml:space="preserve"> </w:t>
      </w:r>
      <w:r>
        <w:t xml:space="preserve">indicates that basic digital adoption does not generate a large</w:t>
      </w:r>
      <w:r>
        <w:t xml:space="preserve"> </w:t>
      </w:r>
      <w:r>
        <w:t xml:space="preserve">universal labour-productivity premium across the full sample. By</w:t>
      </w:r>
      <w:r>
        <w:t xml:space="preserve"> </w:t>
      </w:r>
      <w:r>
        <w:t xml:space="preserve">contrast, the marginal effect becomes positive and statistically</w:t>
      </w:r>
      <w:r>
        <w:t xml:space="preserve"> </w:t>
      </w:r>
      <w:r>
        <w:t xml:space="preserve">significant among high-intensity exporters, reaching +0.749 at FSTS =</w:t>
      </w:r>
      <w:r>
        <w:t xml:space="preserve"> </w:t>
      </w:r>
      <w:r>
        <w:t xml:space="preserve">70% and +1.996 at FSTS = 100% (Table 4). This pattern supports the</w:t>
      </w:r>
      <w:r>
        <w:t xml:space="preserve"> </w:t>
      </w:r>
      <w:r>
        <w:t xml:space="preserve">interpretation of DAI as a scale-enabling complement whose productivity</w:t>
      </w:r>
      <w:r>
        <w:t xml:space="preserve"> </w:t>
      </w:r>
      <w:r>
        <w:t xml:space="preserve">relevance emerges more clearly when firms face denser cross-border</w:t>
      </w:r>
      <w:r>
        <w:t xml:space="preserve"> </w:t>
      </w:r>
      <w:r>
        <w:t xml:space="preserve">coordination and transaction demands. In this setting, foundational</w:t>
      </w:r>
      <w:r>
        <w:t xml:space="preserve"> </w:t>
      </w:r>
      <w:r>
        <w:t xml:space="preserve">digital adoption is better interpreted as a conditional scaling resource</w:t>
      </w:r>
      <w:r>
        <w:t xml:space="preserve"> </w:t>
      </w:r>
      <w:r>
        <w:t xml:space="preserve">whose productivity relevance becomes more visible at higher export</w:t>
      </w:r>
      <w:r>
        <w:t xml:space="preserve"> </w:t>
      </w:r>
      <w:r>
        <w:t xml:space="preserve">intensity, while remaining weak or statistically indistinct across much</w:t>
      </w:r>
      <w:r>
        <w:t xml:space="preserve"> </w:t>
      </w:r>
      <w:r>
        <w:t xml:space="preserve">of the distribution. Figure 2: Marginal effects of DAI on log labour</w:t>
      </w:r>
      <w:r>
        <w:t xml:space="preserve"> </w:t>
      </w:r>
      <w:r>
        <w:t xml:space="preserve">productivity at varying FSTS levels (Singapore, N=617)</w:t>
      </w:r>
    </w:p>
    <w:p>
      <w:pPr>
        <w:pStyle w:val="BodyText"/>
      </w:pPr>
      <w:r>
        <w:rPr>
          <w:iCs/>
          <w:i/>
        </w:rPr>
        <w:t xml:space="preserve">Figure 2.</w:t>
      </w:r>
      <w:r>
        <w:t xml:space="preserve"> </w:t>
      </w:r>
      <w:r>
        <w:t xml:space="preserve">Marginal effect of digital adoption (DAI) across export</w:t>
      </w:r>
      <w:r>
        <w:t xml:space="preserve"> </w:t>
      </w:r>
      <w:r>
        <w:t xml:space="preserve">intensity, canonical M8 (N = 617). Solid line = marginal effect of a</w:t>
      </w:r>
      <w:r>
        <w:t xml:space="preserve"> </w:t>
      </w:r>
      <w:r>
        <w:t xml:space="preserve">one-standard-deviation increase in DAI on ln(labour productivity);</w:t>
      </w:r>
      <w:r>
        <w:t xml:space="preserve"> </w:t>
      </w:r>
      <w:r>
        <w:t xml:space="preserve">shaded band = 95% CI computed via the delta method. The lower panels</w:t>
      </w:r>
      <w:r>
        <w:t xml:space="preserve"> </w:t>
      </w:r>
      <w:r>
        <w:t xml:space="preserve">show every observation as a rug strip and the count of firms in each</w:t>
      </w:r>
      <w:r>
        <w:t xml:space="preserve"> </w:t>
      </w:r>
      <w:r>
        <w:t xml:space="preserve">10-percentage-point FSTS bin. The shaded grey region marks the</w:t>
      </w:r>
      <w:r>
        <w:t xml:space="preserve"> </w:t>
      </w:r>
      <w:r>
        <w:t xml:space="preserve">thin-support area (FSTS &gt; 70%, ~3.2% of firms): coefficient estimates</w:t>
      </w:r>
      <w:r>
        <w:t xml:space="preserve"> </w:t>
      </w:r>
      <w:r>
        <w:t xml:space="preserve">in this region are consistent with a more positive DAI–productivity</w:t>
      </w:r>
      <w:r>
        <w:t xml:space="preserve"> </w:t>
      </w:r>
      <w:r>
        <w:t xml:space="preserve">association at high export intensity but rest on sparse data. Figure 3:</w:t>
      </w:r>
      <w:r>
        <w:t xml:space="preserve"> </w:t>
      </w:r>
      <w:r>
        <w:t xml:space="preserve">Predicted I–P curve with bootstrap confidence band (Singapore, OLS M2)</w:t>
      </w:r>
    </w:p>
    <w:p>
      <w:pPr>
        <w:pStyle w:val="BodyText"/>
      </w:pPr>
      <w:r>
        <w:rPr>
          <w:iCs/>
          <w:i/>
        </w:rPr>
        <w:t xml:space="preserve">Figure 3.</w:t>
      </w:r>
      <w:r>
        <w:t xml:space="preserve"> </w:t>
      </w:r>
      <w:r>
        <w:t xml:space="preserve">Predicted internationalization–performance curve. Predicted</w:t>
      </w:r>
      <w:r>
        <w:t xml:space="preserve"> </w:t>
      </w:r>
      <w:r>
        <w:t xml:space="preserve">relationship between export intensity and labour productivity with 95%</w:t>
      </w:r>
      <w:r>
        <w:t xml:space="preserve"> </w:t>
      </w:r>
      <w:r>
        <w:t xml:space="preserve">confidence bands from the canonical quadratic specification (M2). The</w:t>
      </w:r>
      <w:r>
        <w:t xml:space="preserve"> </w:t>
      </w:r>
      <w:r>
        <w:t xml:space="preserve">implied turning point occurs near FSTS = 85.7% on the original scale</w:t>
      </w:r>
      <w:r>
        <w:t xml:space="preserve"> </w:t>
      </w:r>
      <w:r>
        <w:t xml:space="preserve">(−β₁/2β₂ on mean-centered FSTS ≈ 81.1%; adding back the sample mean of</w:t>
      </w:r>
      <w:r>
        <w:t xml:space="preserve"> </w:t>
      </w:r>
      <w:r>
        <w:t xml:space="preserve">0.045 gives ≈ 85.7%, Aiken and West, 1991), but its 95% percentile</w:t>
      </w:r>
      <w:r>
        <w:t xml:space="preserve"> </w:t>
      </w:r>
      <w:r>
        <w:t xml:space="preserve">cluster-bootstrap confidence interval (5,000 replications) spans [58%,</w:t>
      </w:r>
      <w:r>
        <w:t xml:space="preserve"> </w:t>
      </w:r>
      <w:r>
        <w:t xml:space="preserve">398%] (median 83%, IQR [70%, 107%]); the inverted-U shape is</w:t>
      </w:r>
      <w:r>
        <w:t xml:space="preserve"> </w:t>
      </w:r>
      <w:r>
        <w:t xml:space="preserve">recovered in 94.9% of bootstrap replications, but its precise location</w:t>
      </w:r>
      <w:r>
        <w:t xml:space="preserve"> </w:t>
      </w:r>
      <w:r>
        <w:t xml:space="preserve">is only loosely identified. The shaded red vertical band marks the</w:t>
      </w:r>
      <w:r>
        <w:t xml:space="preserve"> </w:t>
      </w:r>
      <w:r>
        <w:t xml:space="preserve">bootstrap CI for the turning point. The estimate should therefore be</w:t>
      </w:r>
      <w:r>
        <w:t xml:space="preserve"> </w:t>
      </w:r>
      <w:r>
        <w:t xml:space="preserve">interpreted as descriptive of the data rather than as structurally</w:t>
      </w:r>
      <w:r>
        <w:t xml:space="preserve"> </w:t>
      </w:r>
      <w:r>
        <w:t xml:space="preserve">identified evidence of an inverted-U.</w:t>
      </w:r>
    </w:p>
    <w:bookmarkEnd w:id="47"/>
    <w:bookmarkStart w:id="48" w:name="robustness-checks"/>
    <w:p>
      <w:pPr>
        <w:pStyle w:val="Heading3"/>
      </w:pPr>
      <w:r>
        <w:t xml:space="preserve">4.5 Robustness checks</w:t>
      </w:r>
    </w:p>
    <w:p>
      <w:pPr>
        <w:pStyle w:val="FirstParagraph"/>
      </w:pPr>
      <w:r>
        <w:t xml:space="preserve">The robustness analysis suggests that the core inference about DAI</w:t>
      </w:r>
      <w:r>
        <w:t xml:space="preserve"> </w:t>
      </w:r>
      <w:r>
        <w:t xml:space="preserve">moderation is broadly stable, although its statistical strength varies</w:t>
      </w:r>
      <w:r>
        <w:t xml:space="preserve"> </w:t>
      </w:r>
      <w:r>
        <w:t xml:space="preserve">across measurement choices and sample restrictions. In the baseline full</w:t>
      </w:r>
      <w:r>
        <w:t xml:space="preserve"> </w:t>
      </w:r>
      <w:r>
        <w:t xml:space="preserve">specification, the positive quadratic DAI interaction is statistically</w:t>
      </w:r>
      <w:r>
        <w:t xml:space="preserve"> </w:t>
      </w:r>
      <w:r>
        <w:t xml:space="preserve">significant, and the same positive sign is preserved across all reported</w:t>
      </w:r>
      <w:r>
        <w:t xml:space="preserve"> </w:t>
      </w:r>
      <w:r>
        <w:t xml:space="preserve">robustness models. This sign stability matters because it indicates that</w:t>
      </w:r>
      <w:r>
        <w:t xml:space="preserve"> </w:t>
      </w:r>
      <w:r>
        <w:t xml:space="preserve">the central argument is not driven by a single operational definition.</w:t>
      </w:r>
      <w:r>
        <w:t xml:space="preserve"> </w:t>
      </w:r>
      <w:r>
        <w:t xml:space="preserve">The R1 robustness specification restricts DAI to the single</w:t>
      </w:r>
      <w:r>
        <w:t xml:space="preserve"> </w:t>
      </w:r>
      <w:r>
        <w:t xml:space="preserve">website-presence indicator (c22b only) to verify that the moderation</w:t>
      </w:r>
      <w:r>
        <w:t xml:space="preserve"> </w:t>
      </w:r>
      <w:r>
        <w:t xml:space="preserve">signal is not driven by the electronic-payment indicators rather than</w:t>
      </w:r>
      <w:r>
        <w:t xml:space="preserve"> </w:t>
      </w:r>
      <w:r>
        <w:t xml:space="preserve">the cross-border coordination logic invoked in the theory. When DAI is</w:t>
      </w:r>
      <w:r>
        <w:t xml:space="preserve"> </w:t>
      </w:r>
      <w:r>
        <w:t xml:space="preserve">reduced to this thinner, website-only measure, the moderation result</w:t>
      </w:r>
      <w:r>
        <w:t xml:space="preserve"> </w:t>
      </w:r>
      <w:r>
        <w:t xml:space="preserve">weakens, suggesting that the richer baseline index draws meaningful</w:t>
      </w:r>
      <w:r>
        <w:t xml:space="preserve"> </w:t>
      </w:r>
      <w:r>
        <w:t xml:space="preserve">explanatory variation from the electronic-payment indicators as well as</w:t>
      </w:r>
      <w:r>
        <w:t xml:space="preserve"> </w:t>
      </w:r>
      <w:r>
        <w:t xml:space="preserve">from digital presence. By contrast, when the sample excludes micro-firms</w:t>
      </w:r>
      <w:r>
        <w:t xml:space="preserve"> </w:t>
      </w:r>
      <w:r>
        <w:t xml:space="preserve">or is restricted to SMEs, the positive quadratic moderation pattern</w:t>
      </w:r>
      <w:r>
        <w:t xml:space="preserve"> </w:t>
      </w:r>
      <w:r>
        <w:t xml:space="preserve">remains visible and in some cases becomes stronger. The exporters-only</w:t>
      </w:r>
      <w:r>
        <w:t xml:space="preserve"> </w:t>
      </w:r>
      <w:r>
        <w:t xml:space="preserve">subsample is less stable because the number of exporting firms is small</w:t>
      </w:r>
      <w:r>
        <w:t xml:space="preserve"> </w:t>
      </w:r>
      <w:r>
        <w:t xml:space="preserve">and the right tail remains thin, so those estimates should be described</w:t>
      </w:r>
      <w:r>
        <w:t xml:space="preserve"> </w:t>
      </w:r>
      <w:r>
        <w:t xml:space="preserve">as suggestive rather than definitive. An item-swap falsification test</w:t>
      </w:r>
      <w:r>
        <w:t xml:space="preserve"> </w:t>
      </w:r>
      <w:r>
        <w:t xml:space="preserve">further supports the construct boundary between TCI and DAI: when the</w:t>
      </w:r>
      <w:r>
        <w:t xml:space="preserve"> </w:t>
      </w:r>
      <w:r>
        <w:t xml:space="preserve">website indicator (c22b) is reassigned from DAI to TCI, the joint</w:t>
      </w:r>
      <w:r>
        <w:t xml:space="preserve"> </w:t>
      </w:r>
      <w:r>
        <w:t xml:space="preserve">significance of the DAI moderation block collapses (joint F drops from</w:t>
      </w:r>
      <w:r>
        <w:t xml:space="preserve"> </w:t>
      </w:r>
      <w:r>
        <w:t xml:space="preserve">3.21 [p = .041] in the canonical specification to 1.86 [p = .157]),</w:t>
      </w:r>
      <w:r>
        <w:t xml:space="preserve"> </w:t>
      </w:r>
      <w:r>
        <w:t xml:space="preserve">whereas swapping technology indicators in the opposite direction</w:t>
      </w:r>
      <w:r>
        <w:t xml:space="preserve"> </w:t>
      </w:r>
      <w:r>
        <w:t xml:space="preserve">preserves the moderation pattern. The conditional-scaling interpretation</w:t>
      </w:r>
      <w:r>
        <w:t xml:space="preserve"> </w:t>
      </w:r>
      <w:r>
        <w:t xml:space="preserve">therefore depends on the foundational digital-infrastructure indicators</w:t>
      </w:r>
      <w:r>
        <w:t xml:space="preserve"> </w:t>
      </w:r>
      <w:r>
        <w:t xml:space="preserve">(website plus electronic payments) being correctly grouped under DAI</w:t>
      </w:r>
      <w:r>
        <w:t xml:space="preserve"> </w:t>
      </w:r>
      <w:r>
        <w:t xml:space="preserve">rather than absorbed into a broader capability construct. Cohen’s f² for</w:t>
      </w:r>
      <w:r>
        <w:t xml:space="preserve"> </w:t>
      </w:r>
      <w:r>
        <w:t xml:space="preserve">the TCI direct effect (comparing M2 with M5) is approximately 0.027, in</w:t>
      </w:r>
      <w:r>
        <w:t xml:space="preserve"> </w:t>
      </w:r>
      <w:r>
        <w:t xml:space="preserve">the small-to-medium range; Cohen’s f² for the DAI moderation block</w:t>
      </w:r>
      <w:r>
        <w:t xml:space="preserve"> </w:t>
      </w:r>
      <w:r>
        <w:t xml:space="preserve">(comparing M7 with M8) is approximately 0.012, below Cohen’s (1988)</w:t>
      </w:r>
      <w:r>
        <w:t xml:space="preserve"> </w:t>
      </w:r>
      <w:r>
        <w:t xml:space="preserve">conventional small-effect threshold of 0.02. The exporters-only</w:t>
      </w:r>
      <w:r>
        <w:t xml:space="preserve"> </w:t>
      </w:r>
      <w:r>
        <w:t xml:space="preserve">subsample (N = 84) is underpowered for effects of this magnitude; the</w:t>
      </w:r>
      <w:r>
        <w:t xml:space="preserve"> </w:t>
      </w:r>
      <w:r>
        <w:t xml:space="preserve">consolidated power-bounded inferential reading is established at</w:t>
      </w:r>
      <w:r>
        <w:t xml:space="preserve"> </w:t>
      </w:r>
      <w:r>
        <w:t xml:space="preserve">Section 3.4(ii) and is not repeated here. Taken together, the strongest</w:t>
      </w:r>
      <w:r>
        <w:t xml:space="preserve"> </w:t>
      </w:r>
      <w:r>
        <w:t xml:space="preserve">empirical claim of Section 4 is therefore not that digital adoption</w:t>
      </w:r>
      <w:r>
        <w:t xml:space="preserve"> </w:t>
      </w:r>
      <w:r>
        <w:t xml:space="preserve">yields a large average productivity premium, but that its association</w:t>
      </w:r>
      <w:r>
        <w:t xml:space="preserve"> </w:t>
      </w:r>
      <w:r>
        <w:t xml:space="preserve">with productivity becomes more positive as export intensity rises within</w:t>
      </w:r>
      <w:r>
        <w:t xml:space="preserve"> </w:t>
      </w:r>
      <w:r>
        <w:t xml:space="preserve">the Singapore sample, with the clearest signal concentrated in the</w:t>
      </w:r>
      <w:r>
        <w:t xml:space="preserve"> </w:t>
      </w:r>
      <w:r>
        <w:t xml:space="preserve">high-export tail.</w:t>
      </w:r>
    </w:p>
    <w:p>
      <w:pPr>
        <w:pStyle w:val="BodyText"/>
      </w:pPr>
      <w:r>
        <w:rPr>
          <w:bCs/>
          <w:b/>
        </w:rPr>
        <w:t xml:space="preserve">Additional robustness notes.</w:t>
      </w:r>
      <w:r>
        <w:t xml:space="preserve"> </w:t>
      </w:r>
      <w:r>
        <w:t xml:space="preserve">(i)</w:t>
      </w:r>
      <w:r>
        <w:t xml:space="preserve"> </w:t>
      </w:r>
      <w:r>
        <w:rPr>
          <w:iCs/>
          <w:i/>
        </w:rPr>
        <w:t xml:space="preserve">Exporters-only subsample</w:t>
      </w:r>
      <w:r>
        <w:t xml:space="preserve"> </w:t>
      </w:r>
      <w:r>
        <w:t xml:space="preserve">(R5,</w:t>
      </w:r>
      <w:r>
        <w:t xml:space="preserve"> </w:t>
      </w:r>
      <w:r>
        <w:t xml:space="preserve">FSTS &gt; 0; N = 84): the positive quadratic DAI interaction retains its</w:t>
      </w:r>
      <w:r>
        <w:t xml:space="preserve"> </w:t>
      </w:r>
      <w:r>
        <w:t xml:space="preserve">sign (β=+1.987) and the joint F-test is statistically significant (F =</w:t>
      </w:r>
      <w:r>
        <w:t xml:space="preserve"> </w:t>
      </w:r>
      <w:r>
        <w:t xml:space="preserve">4.54, p = .014), corroborating the amplification mechanism documented in</w:t>
      </w:r>
      <w:r>
        <w:t xml:space="preserve"> </w:t>
      </w:r>
      <w:r>
        <w:t xml:space="preserve">the full sample; the power-bounded inferential reading of this</w:t>
      </w:r>
      <w:r>
        <w:t xml:space="preserve"> </w:t>
      </w:r>
      <w:r>
        <w:t xml:space="preserve">exporters-only result is established at Section 3.4(ii) and is not repeated</w:t>
      </w:r>
      <w:r>
        <w:t xml:space="preserve"> </w:t>
      </w:r>
      <w:r>
        <w:t xml:space="preserve">here. (ii)</w:t>
      </w:r>
      <w:r>
        <w:t xml:space="preserve"> </w:t>
      </w:r>
      <w:r>
        <w:rPr>
          <w:iCs/>
          <w:i/>
        </w:rPr>
        <w:t xml:space="preserve">Export participation selection</w:t>
      </w:r>
      <w:r>
        <w:t xml:space="preserve">: the inverse-Mills-ratio</w:t>
      </w:r>
      <w:r>
        <w:t xml:space="preserve"> </w:t>
      </w:r>
      <w:r>
        <w:t xml:space="preserve">sensitivity diagnostic for selection at the extensive margin of</w:t>
      </w:r>
      <w:r>
        <w:t xml:space="preserve"> </w:t>
      </w:r>
      <w:r>
        <w:t xml:space="preserve">exporting is reported at Section 3.4(iv); the diagnostic is consistent with</w:t>
      </w:r>
      <w:r>
        <w:t xml:space="preserve"> </w:t>
      </w:r>
      <w:r>
        <w:t xml:space="preserve">robustness of the H3 amplification mechanism to mild Heckman-style</w:t>
      </w:r>
      <w:r>
        <w:t xml:space="preserve"> </w:t>
      </w:r>
      <w:r>
        <w:t xml:space="preserve">selection adjustment, with the key DAI × FSTS² interaction altered by</w:t>
      </w:r>
      <w:r>
        <w:t xml:space="preserve"> </w:t>
      </w:r>
      <w:r>
        <w:t xml:space="preserve">|Δ| &lt; 0.02. (iii)</w:t>
      </w:r>
      <w:r>
        <w:t xml:space="preserve"> </w:t>
      </w:r>
      <w:r>
        <w:rPr>
          <w:iCs/>
          <w:i/>
        </w:rPr>
        <w:t xml:space="preserve">Tobit alternative</w:t>
      </w:r>
      <w:r>
        <w:t xml:space="preserve">: because FSTS is bounded on</w:t>
      </w:r>
      <w:r>
        <w:t xml:space="preserve"> </w:t>
      </w:r>
      <w:r>
        <w:t xml:space="preserve">[0, 1], a Tobit specification (censored at 0) was estimated as a</w:t>
      </w:r>
      <w:r>
        <w:t xml:space="preserve"> </w:t>
      </w:r>
      <w:r>
        <w:t xml:space="preserve">robustness check; the positive quadratic DAI interaction retains its</w:t>
      </w:r>
      <w:r>
        <w:t xml:space="preserve"> </w:t>
      </w:r>
      <w:r>
        <w:t xml:space="preserve">sign and direction, consistent with the OLS results reported in Table 3.</w:t>
      </w:r>
      <w:r>
        <w:t xml:space="preserve"> </w:t>
      </w:r>
      <w:r>
        <w:t xml:space="preserve">Table 3. Robustness checks for primary findings (six specifications).</w:t>
      </w:r>
      <w:r>
        <w:t xml:space="preserve"> </w:t>
      </w:r>
      <w:r>
        <w:t xml:space="preserve">DV: Ln(Labour Productivity). HC1 robust standard errors. Each row</w:t>
      </w:r>
      <w:r>
        <w:t xml:space="preserve"> </w:t>
      </w:r>
      <w:r>
        <w:t xml:space="preserve">reports a separate full-specification regression with controls.</w:t>
      </w:r>
    </w:p>
    <w:tbl>
      <w:tblPr>
        <w:tblStyle w:val="Table"/>
        <w:tblW w:type="pct" w:w="5000"/>
        <w:tblLook w:firstRow="1" w:lastRow="0" w:firstColumn="0" w:lastColumn="0" w:noHBand="0" w:noVBand="0" w:val="0020"/>
        <w:jc w:val="start"/>
      </w:tblPr>
      <w:tblGrid>
        <w:gridCol w:w="3095"/>
        <w:gridCol w:w="455"/>
        <w:gridCol w:w="1183"/>
        <w:gridCol w:w="1183"/>
        <w:gridCol w:w="1183"/>
        <w:gridCol w:w="819"/>
      </w:tblGrid>
      <w:tr>
        <w:trPr>
          <w:tblHeader w:val="true"/>
        </w:trPr>
        <w:tc>
          <w:tcPr/>
          <w:p>
            <w:pPr>
              <w:pStyle w:val="Compact"/>
              <w:jc w:val="left"/>
            </w:pPr>
            <w:r>
              <w:t xml:space="preserve">Specification</w:t>
            </w:r>
          </w:p>
        </w:tc>
        <w:tc>
          <w:tcPr/>
          <w:p>
            <w:pPr>
              <w:pStyle w:val="Compact"/>
              <w:jc w:val="left"/>
            </w:pPr>
            <w:r>
              <w:t xml:space="preserve">N</w:t>
            </w:r>
          </w:p>
        </w:tc>
        <w:tc>
          <w:tcPr/>
          <w:p>
            <w:pPr>
              <w:pStyle w:val="Compact"/>
              <w:jc w:val="left"/>
            </w:pPr>
            <w:r>
              <w:t xml:space="preserve">TCI β_z</w:t>
            </w:r>
          </w:p>
        </w:tc>
        <w:tc>
          <w:tcPr/>
          <w:p>
            <w:pPr>
              <w:pStyle w:val="Compact"/>
              <w:jc w:val="left"/>
            </w:pPr>
            <w:r>
              <w:t xml:space="preserve">FSTS² × DAI</w:t>
            </w:r>
          </w:p>
        </w:tc>
        <w:tc>
          <w:tcPr/>
          <w:p>
            <w:pPr>
              <w:pStyle w:val="Compact"/>
              <w:jc w:val="left"/>
            </w:pPr>
            <w:r>
              <w:t xml:space="preserve">Joint F (p)</w:t>
            </w:r>
          </w:p>
        </w:tc>
        <w:tc>
          <w:tcPr/>
          <w:p>
            <w:pPr>
              <w:pStyle w:val="Compact"/>
              <w:jc w:val="left"/>
            </w:pPr>
            <w:r>
              <w:t xml:space="preserve">Adj. R²</w:t>
            </w:r>
          </w:p>
        </w:tc>
      </w:tr>
      <w:tr>
        <w:tc>
          <w:tcPr/>
          <w:p>
            <w:pPr>
              <w:pStyle w:val="Compact"/>
              <w:jc w:val="left"/>
            </w:pPr>
            <w:r>
              <w:t xml:space="preserve">Baseline (TCI_full + DAI_rich)</w:t>
            </w:r>
          </w:p>
        </w:tc>
        <w:tc>
          <w:tcPr/>
          <w:p>
            <w:pPr>
              <w:pStyle w:val="Compact"/>
              <w:jc w:val="left"/>
            </w:pPr>
            <w:r>
              <w:t xml:space="preserve">617</w:t>
            </w:r>
          </w:p>
        </w:tc>
        <w:tc>
          <w:tcPr/>
          <w:p>
            <w:pPr>
              <w:pStyle w:val="Compact"/>
              <w:jc w:val="left"/>
            </w:pPr>
            <w:r>
              <w:t xml:space="preserve">0.152***</w:t>
            </w:r>
          </w:p>
        </w:tc>
        <w:tc>
          <w:tcPr/>
          <w:p>
            <w:pPr>
              <w:pStyle w:val="Compact"/>
              <w:jc w:val="left"/>
            </w:pPr>
            <w:r>
              <w:t xml:space="preserve">3.220*</w:t>
            </w:r>
          </w:p>
        </w:tc>
        <w:tc>
          <w:tcPr/>
          <w:p>
            <w:pPr>
              <w:pStyle w:val="Compact"/>
              <w:jc w:val="left"/>
            </w:pPr>
            <w:r>
              <w:t xml:space="preserve">3.21 (.041)</w:t>
            </w:r>
          </w:p>
        </w:tc>
        <w:tc>
          <w:tcPr/>
          <w:p>
            <w:pPr>
              <w:pStyle w:val="Compact"/>
              <w:jc w:val="left"/>
            </w:pPr>
            <w:r>
              <w:t xml:space="preserve">0.196</w:t>
            </w:r>
          </w:p>
        </w:tc>
      </w:tr>
      <w:tr>
        <w:tc>
          <w:tcPr/>
          <w:p>
            <w:pPr>
              <w:pStyle w:val="Compact"/>
              <w:jc w:val="left"/>
            </w:pPr>
            <w:r>
              <w:t xml:space="preserve">R1: DAI_thin (website c22b only)</w:t>
            </w:r>
          </w:p>
        </w:tc>
        <w:tc>
          <w:tcPr/>
          <w:p>
            <w:pPr>
              <w:pStyle w:val="Compact"/>
              <w:jc w:val="left"/>
            </w:pPr>
            <w:r>
              <w:t xml:space="preserve">623</w:t>
            </w:r>
          </w:p>
        </w:tc>
        <w:tc>
          <w:tcPr/>
          <w:p>
            <w:pPr>
              <w:pStyle w:val="Compact"/>
              <w:jc w:val="left"/>
            </w:pPr>
            <w:r>
              <w:t xml:space="preserve">0.180***</w:t>
            </w:r>
          </w:p>
        </w:tc>
        <w:tc>
          <w:tcPr/>
          <w:p>
            <w:pPr>
              <w:pStyle w:val="Compact"/>
              <w:jc w:val="left"/>
            </w:pPr>
            <w:r>
              <w:t xml:space="preserve">1.348</w:t>
            </w:r>
          </w:p>
        </w:tc>
        <w:tc>
          <w:tcPr/>
          <w:p>
            <w:pPr>
              <w:pStyle w:val="Compact"/>
              <w:jc w:val="left"/>
            </w:pPr>
            <w:r>
              <w:t xml:space="preserve">2.27 (.104)</w:t>
            </w:r>
          </w:p>
        </w:tc>
        <w:tc>
          <w:tcPr/>
          <w:p>
            <w:pPr>
              <w:pStyle w:val="Compact"/>
              <w:jc w:val="left"/>
            </w:pPr>
            <w:r>
              <w:t xml:space="preserve">0.185</w:t>
            </w:r>
          </w:p>
        </w:tc>
      </w:tr>
      <w:tr>
        <w:tc>
          <w:tcPr/>
          <w:p>
            <w:pPr>
              <w:pStyle w:val="Compact"/>
              <w:jc w:val="left"/>
            </w:pPr>
            <w:r>
              <w:t xml:space="preserve">R2: TCI_thin (e6 + b8)</w:t>
            </w:r>
          </w:p>
        </w:tc>
        <w:tc>
          <w:tcPr/>
          <w:p>
            <w:pPr>
              <w:pStyle w:val="Compact"/>
              <w:jc w:val="left"/>
            </w:pPr>
            <w:r>
              <w:t xml:space="preserve">611</w:t>
            </w:r>
          </w:p>
        </w:tc>
        <w:tc>
          <w:tcPr/>
          <w:p>
            <w:pPr>
              <w:pStyle w:val="Compact"/>
              <w:jc w:val="left"/>
            </w:pPr>
            <w:r>
              <w:t xml:space="preserve">0.149**</w:t>
            </w:r>
          </w:p>
        </w:tc>
        <w:tc>
          <w:tcPr/>
          <w:p>
            <w:pPr>
              <w:pStyle w:val="Compact"/>
              <w:jc w:val="left"/>
            </w:pPr>
            <w:r>
              <w:t xml:space="preserve">2.581*</w:t>
            </w:r>
          </w:p>
        </w:tc>
        <w:tc>
          <w:tcPr/>
          <w:p>
            <w:pPr>
              <w:pStyle w:val="Compact"/>
              <w:jc w:val="left"/>
            </w:pPr>
            <w:r>
              <w:t xml:space="preserve">3.03 (.049)</w:t>
            </w:r>
          </w:p>
        </w:tc>
        <w:tc>
          <w:tcPr/>
          <w:p>
            <w:pPr>
              <w:pStyle w:val="Compact"/>
              <w:jc w:val="left"/>
            </w:pPr>
            <w:r>
              <w:t xml:space="preserve">0.186</w:t>
            </w:r>
          </w:p>
        </w:tc>
      </w:tr>
      <w:tr>
        <w:tc>
          <w:tcPr/>
          <w:p>
            <w:pPr>
              <w:pStyle w:val="Compact"/>
              <w:jc w:val="left"/>
            </w:pPr>
            <w:r>
              <w:t xml:space="preserve">R3: Excl micro-firms (&lt;10 empl)</w:t>
            </w:r>
          </w:p>
        </w:tc>
        <w:tc>
          <w:tcPr/>
          <w:p>
            <w:pPr>
              <w:pStyle w:val="Compact"/>
              <w:jc w:val="left"/>
            </w:pPr>
            <w:r>
              <w:t xml:space="preserve">464</w:t>
            </w:r>
          </w:p>
        </w:tc>
        <w:tc>
          <w:tcPr/>
          <w:p>
            <w:pPr>
              <w:pStyle w:val="Compact"/>
              <w:jc w:val="left"/>
            </w:pPr>
            <w:r>
              <w:t xml:space="preserve">0.187***</w:t>
            </w:r>
          </w:p>
        </w:tc>
        <w:tc>
          <w:tcPr/>
          <w:p>
            <w:pPr>
              <w:pStyle w:val="Compact"/>
              <w:jc w:val="left"/>
            </w:pPr>
            <w:r>
              <w:t xml:space="preserve">4.252**</w:t>
            </w:r>
          </w:p>
        </w:tc>
        <w:tc>
          <w:tcPr/>
          <w:p>
            <w:pPr>
              <w:pStyle w:val="Compact"/>
              <w:jc w:val="left"/>
            </w:pPr>
            <w:r>
              <w:t xml:space="preserve">4.48 (.012)</w:t>
            </w:r>
          </w:p>
        </w:tc>
        <w:tc>
          <w:tcPr/>
          <w:p>
            <w:pPr>
              <w:pStyle w:val="Compact"/>
              <w:jc w:val="left"/>
            </w:pPr>
            <w:r>
              <w:t xml:space="preserve">0.231</w:t>
            </w:r>
          </w:p>
        </w:tc>
      </w:tr>
      <w:tr>
        <w:tc>
          <w:tcPr/>
          <w:p>
            <w:pPr>
              <w:pStyle w:val="Compact"/>
              <w:jc w:val="left"/>
            </w:pPr>
            <w:r>
              <w:t xml:space="preserve">R4: SMEs only (≤200 empl)</w:t>
            </w:r>
          </w:p>
        </w:tc>
        <w:tc>
          <w:tcPr/>
          <w:p>
            <w:pPr>
              <w:pStyle w:val="Compact"/>
              <w:jc w:val="left"/>
            </w:pPr>
            <w:r>
              <w:t xml:space="preserve">595</w:t>
            </w:r>
          </w:p>
        </w:tc>
        <w:tc>
          <w:tcPr/>
          <w:p>
            <w:pPr>
              <w:pStyle w:val="Compact"/>
              <w:jc w:val="left"/>
            </w:pPr>
            <w:r>
              <w:t xml:space="preserve">0.160***</w:t>
            </w:r>
          </w:p>
        </w:tc>
        <w:tc>
          <w:tcPr/>
          <w:p>
            <w:pPr>
              <w:pStyle w:val="Compact"/>
              <w:jc w:val="left"/>
            </w:pPr>
            <w:r>
              <w:t xml:space="preserve">3.600**</w:t>
            </w:r>
          </w:p>
        </w:tc>
        <w:tc>
          <w:tcPr/>
          <w:p>
            <w:pPr>
              <w:pStyle w:val="Compact"/>
              <w:jc w:val="left"/>
            </w:pPr>
            <w:r>
              <w:t xml:space="preserve">3.61 (.028)</w:t>
            </w:r>
          </w:p>
        </w:tc>
        <w:tc>
          <w:tcPr/>
          <w:p>
            <w:pPr>
              <w:pStyle w:val="Compact"/>
              <w:jc w:val="left"/>
            </w:pPr>
            <w:r>
              <w:t xml:space="preserve">0.202</w:t>
            </w:r>
          </w:p>
        </w:tc>
      </w:tr>
      <w:tr>
        <w:tc>
          <w:tcPr/>
          <w:p>
            <w:pPr>
              <w:pStyle w:val="Compact"/>
              <w:jc w:val="left"/>
            </w:pPr>
            <w:r>
              <w:t xml:space="preserve">R5: Exporters only (FSTS &gt; 0)</w:t>
            </w:r>
          </w:p>
        </w:tc>
        <w:tc>
          <w:tcPr/>
          <w:p>
            <w:pPr>
              <w:pStyle w:val="Compact"/>
              <w:jc w:val="left"/>
            </w:pPr>
            <w:r>
              <w:t xml:space="preserve">84</w:t>
            </w:r>
          </w:p>
        </w:tc>
        <w:tc>
          <w:tcPr/>
          <w:p>
            <w:pPr>
              <w:pStyle w:val="Compact"/>
              <w:jc w:val="left"/>
            </w:pPr>
            <w:r>
              <w:t xml:space="preserve">0.130</w:t>
            </w:r>
          </w:p>
        </w:tc>
        <w:tc>
          <w:tcPr/>
          <w:p>
            <w:pPr>
              <w:pStyle w:val="Compact"/>
              <w:jc w:val="left"/>
            </w:pPr>
            <w:r>
              <w:t xml:space="preserve">1.987</w:t>
            </w:r>
          </w:p>
        </w:tc>
        <w:tc>
          <w:tcPr/>
          <w:p>
            <w:pPr>
              <w:pStyle w:val="Compact"/>
              <w:jc w:val="left"/>
            </w:pPr>
            <w:r>
              <w:t xml:space="preserve">4.54 (.014)</w:t>
            </w:r>
          </w:p>
        </w:tc>
        <w:tc>
          <w:tcPr/>
          <w:p>
            <w:pPr>
              <w:pStyle w:val="Compact"/>
              <w:jc w:val="left"/>
            </w:pPr>
            <w:r>
              <w:t xml:space="preserve">0.165</w:t>
            </w:r>
          </w:p>
        </w:tc>
      </w:tr>
    </w:tbl>
    <w:p>
      <w:pPr>
        <w:pStyle w:val="BodyText"/>
      </w:pPr>
      <w:r>
        <w:t xml:space="preserve">Notes: Each row reports a separate full-specification regression with</w:t>
      </w:r>
      <w:r>
        <w:t xml:space="preserve"> </w:t>
      </w:r>
      <w:r>
        <w:t xml:space="preserve">controls. Joint F refers to the test that the two DAI interaction terms</w:t>
      </w:r>
      <w:r>
        <w:t xml:space="preserve"> </w:t>
      </w:r>
      <w:r>
        <w:t xml:space="preserve">are jointly equal to zero. The positive sign of the quadratic DAI</w:t>
      </w:r>
      <w:r>
        <w:t xml:space="preserve"> </w:t>
      </w:r>
      <w:r>
        <w:t xml:space="preserve">moderation term is preserved across all specifications, although</w:t>
      </w:r>
      <w:r>
        <w:t xml:space="preserve"> </w:t>
      </w:r>
      <w:r>
        <w:t xml:space="preserve">statistical strength attenuates in more restrictive subsamples. DAI</w:t>
      </w:r>
      <w:r>
        <w:t xml:space="preserve"> </w:t>
      </w:r>
      <w:r>
        <w:t xml:space="preserve">should be interpreted as a Tier 1–2 digital-adoption construct rather</w:t>
      </w:r>
      <w:r>
        <w:t xml:space="preserve"> </w:t>
      </w:r>
      <w:r>
        <w:t xml:space="preserve">than as a broader measure of digitally integrated organizational</w:t>
      </w:r>
      <w:r>
        <w:t xml:space="preserve"> </w:t>
      </w:r>
      <w:r>
        <w:t xml:space="preserve">capability. Table 3 evaluates whether the core inference is sensitive to</w:t>
      </w:r>
      <w:r>
        <w:t xml:space="preserve"> </w:t>
      </w:r>
      <w:r>
        <w:t xml:space="preserve">measurement choice and sample composition. Across all reported</w:t>
      </w:r>
      <w:r>
        <w:t xml:space="preserve"> </w:t>
      </w:r>
      <w:r>
        <w:t xml:space="preserve">robustness specifications, the quadratic DAI moderation term retains a</w:t>
      </w:r>
      <w:r>
        <w:t xml:space="preserve"> </w:t>
      </w:r>
      <w:r>
        <w:t xml:space="preserve">positive sign, which strengthens confidence that the main result is not</w:t>
      </w:r>
      <w:r>
        <w:t xml:space="preserve"> </w:t>
      </w:r>
      <w:r>
        <w:t xml:space="preserve">driven by a single operational decision. At the same time, the weakening</w:t>
      </w:r>
      <w:r>
        <w:t xml:space="preserve"> </w:t>
      </w:r>
      <w:r>
        <w:t xml:space="preserve">of statistical significance in the thinner website-only specification</w:t>
      </w:r>
      <w:r>
        <w:t xml:space="preserve"> </w:t>
      </w:r>
      <w:r>
        <w:t xml:space="preserve">suggests that the richer DAI baseline draws meaningful explanatory</w:t>
      </w:r>
      <w:r>
        <w:t xml:space="preserve"> </w:t>
      </w:r>
      <w:r>
        <w:t xml:space="preserve">variation from the electronic-payment indicators in addition to simple</w:t>
      </w:r>
      <w:r>
        <w:t xml:space="preserve"> </w:t>
      </w:r>
      <w:r>
        <w:t xml:space="preserve">digital presence. The exporters-only subsample is less stable because</w:t>
      </w:r>
      <w:r>
        <w:t xml:space="preserve"> </w:t>
      </w:r>
      <w:r>
        <w:t xml:space="preserve">the number of exporting firms is limited and the right tail of export</w:t>
      </w:r>
      <w:r>
        <w:t xml:space="preserve"> </w:t>
      </w:r>
      <w:r>
        <w:t xml:space="preserve">intensity remains thin, so these estimates should be interpreted</w:t>
      </w:r>
      <w:r>
        <w:t xml:space="preserve"> </w:t>
      </w:r>
      <w:r>
        <w:t xml:space="preserve">cautiously. Taken together, the robustness results support the argument</w:t>
      </w:r>
      <w:r>
        <w:t xml:space="preserve"> </w:t>
      </w:r>
      <w:r>
        <w:t xml:space="preserve">that foundational digital adoption acts as a contingent scaling</w:t>
      </w:r>
      <w:r>
        <w:t xml:space="preserve"> </w:t>
      </w:r>
      <w:r>
        <w:t xml:space="preserve">complement, while also reinforcing that the evidence is strongest when</w:t>
      </w:r>
      <w:r>
        <w:t xml:space="preserve"> </w:t>
      </w:r>
      <w:r>
        <w:t xml:space="preserve">interpreted within the Tier 1–2 measurement boundary of the DAI</w:t>
      </w:r>
      <w:r>
        <w:t xml:space="preserve"> </w:t>
      </w:r>
      <w:r>
        <w:t xml:space="preserve">construct.</w:t>
      </w:r>
    </w:p>
    <w:bookmarkEnd w:id="48"/>
    <w:bookmarkEnd w:id="49"/>
    <w:bookmarkStart w:id="52" w:name="discussion"/>
    <w:p>
      <w:pPr>
        <w:pStyle w:val="Heading2"/>
      </w:pPr>
      <w:r>
        <w:t xml:space="preserve">5 Discussion</w:t>
      </w:r>
    </w:p>
    <w:bookmarkStart w:id="50" w:name="theoretical-implications"/>
    <w:p>
      <w:pPr>
        <w:pStyle w:val="Heading3"/>
      </w:pPr>
      <w:r>
        <w:t xml:space="preserve">5.1 Theoretical implications</w:t>
      </w:r>
    </w:p>
    <w:p>
      <w:pPr>
        <w:pStyle w:val="FirstParagraph"/>
      </w:pPr>
      <w:r>
        <w:t xml:space="preserve">Three theoretical implications follow from these findings. First, the</w:t>
      </w:r>
      <w:r>
        <w:t xml:space="preserve"> </w:t>
      </w:r>
      <w:r>
        <w:t xml:space="preserve">TCI result supports a capability-depth interpretation of firm</w:t>
      </w:r>
      <w:r>
        <w:t xml:space="preserve"> </w:t>
      </w:r>
      <w:r>
        <w:t xml:space="preserve">performance in internationalizing firms. Technological capability is</w:t>
      </w:r>
      <w:r>
        <w:t xml:space="preserve"> </w:t>
      </w:r>
      <w:r>
        <w:t xml:space="preserve">positively associated with labour productivity in a way that is more</w:t>
      </w:r>
      <w:r>
        <w:t xml:space="preserve"> </w:t>
      </w:r>
      <w:r>
        <w:t xml:space="preserve">stable than any moderation pattern identified in the present design,</w:t>
      </w:r>
      <w:r>
        <w:t xml:space="preserve"> </w:t>
      </w:r>
      <w:r>
        <w:t xml:space="preserve">which is consistent with the view that internal capability depth is</w:t>
      </w:r>
      <w:r>
        <w:t xml:space="preserve"> </w:t>
      </w:r>
      <w:r>
        <w:t xml:space="preserve">associated with a stronger productivity base from which firms engage</w:t>
      </w:r>
      <w:r>
        <w:t xml:space="preserve"> </w:t>
      </w:r>
      <w:r>
        <w:t xml:space="preserve">international markets. This interpretation fits the absorptive-capacity</w:t>
      </w:r>
      <w:r>
        <w:t xml:space="preserve"> </w:t>
      </w:r>
      <w:r>
        <w:t xml:space="preserve">and technological-capability traditions by emphasizing learning,</w:t>
      </w:r>
      <w:r>
        <w:t xml:space="preserve"> </w:t>
      </w:r>
      <w:r>
        <w:t xml:space="preserve">innovation, and technology absorption as firm-internal sources of</w:t>
      </w:r>
      <w:r>
        <w:t xml:space="preserve"> </w:t>
      </w:r>
      <w:r>
        <w:t xml:space="preserve">productivity heterogeneity rather than as clearly identified shifters of</w:t>
      </w:r>
      <w:r>
        <w:t xml:space="preserve"> </w:t>
      </w:r>
      <w:r>
        <w:t xml:space="preserve">I–P curvature. Second, the evidence qualifies rather than overturns the</w:t>
      </w:r>
      <w:r>
        <w:t xml:space="preserve"> </w:t>
      </w:r>
      <w:r>
        <w:t xml:space="preserve">conventional nonlinear I–P literature. In the Singapore sample, the</w:t>
      </w:r>
      <w:r>
        <w:t xml:space="preserve"> </w:t>
      </w:r>
      <w:r>
        <w:t xml:space="preserve">fitted quadratic displays mild curvature, but the right-side decline is</w:t>
      </w:r>
      <w:r>
        <w:t xml:space="preserve"> </w:t>
      </w:r>
      <w:r>
        <w:t xml:space="preserve">not formally identified within the export-intensity range occupied by</w:t>
      </w:r>
      <w:r>
        <w:t xml:space="preserve"> </w:t>
      </w:r>
      <w:r>
        <w:t xml:space="preserve">most firms, and the implied turning point lies in a sparsely populated</w:t>
      </w:r>
      <w:r>
        <w:t xml:space="preserve"> </w:t>
      </w:r>
      <w:r>
        <w:t xml:space="preserve">upper tail. The appropriate theoretical reading is therefore not that</w:t>
      </w:r>
      <w:r>
        <w:t xml:space="preserve"> </w:t>
      </w:r>
      <w:r>
        <w:t xml:space="preserve">this study establishes a general boundary condition for digitally mature</w:t>
      </w:r>
      <w:r>
        <w:t xml:space="preserve"> </w:t>
      </w:r>
      <w:r>
        <w:t xml:space="preserve">economies, but that it provides within-context evidence from Singapore</w:t>
      </w:r>
      <w:r>
        <w:t xml:space="preserve"> </w:t>
      </w:r>
      <w:r>
        <w:t xml:space="preserve">showing how the conventional I–P logic appears when most firms remain</w:t>
      </w:r>
      <w:r>
        <w:t xml:space="preserve"> </w:t>
      </w:r>
      <w:r>
        <w:t xml:space="preserve">clustered at very low export intensity and the upper tail is thin. In</w:t>
      </w:r>
      <w:r>
        <w:t xml:space="preserve"> </w:t>
      </w:r>
      <w:r>
        <w:t xml:space="preserve">that sense, the study sharpens interpretation of the nonlinear</w:t>
      </w:r>
      <w:r>
        <w:t xml:space="preserve"> </w:t>
      </w:r>
      <w:r>
        <w:t xml:space="preserve">literature without claiming that a single-country cross-section can</w:t>
      </w:r>
      <w:r>
        <w:t xml:space="preserve"> </w:t>
      </w:r>
      <w:r>
        <w:t xml:space="preserve">separate a context-specific mechanism from Singapore-specific</w:t>
      </w:r>
      <w:r>
        <w:t xml:space="preserve"> </w:t>
      </w:r>
      <w:r>
        <w:t xml:space="preserve">institutional features. Third, the DAI result suggests that foundational</w:t>
      </w:r>
      <w:r>
        <w:t xml:space="preserve"> </w:t>
      </w:r>
      <w:r>
        <w:t xml:space="preserve">digital adoption is better understood as a conditional scaling resource</w:t>
      </w:r>
      <w:r>
        <w:t xml:space="preserve"> </w:t>
      </w:r>
      <w:r>
        <w:t xml:space="preserve">than as a uniform firm-level productivity premium. Across much of the</w:t>
      </w:r>
      <w:r>
        <w:t xml:space="preserve"> </w:t>
      </w:r>
      <w:r>
        <w:t xml:space="preserve">observed export-intensity distribution, the DAI association is weak or</w:t>
      </w:r>
      <w:r>
        <w:t xml:space="preserve"> </w:t>
      </w:r>
      <w:r>
        <w:t xml:space="preserve">statistically indistinct, but it becomes more positive in the</w:t>
      </w:r>
      <w:r>
        <w:t xml:space="preserve"> </w:t>
      </w:r>
      <w:r>
        <w:t xml:space="preserve">high-export tail, where firms face denser cross-border coordination and</w:t>
      </w:r>
      <w:r>
        <w:t xml:space="preserve"> </w:t>
      </w:r>
      <w:r>
        <w:t xml:space="preserve">transaction demands. This pattern is consistent with the idea that Tier</w:t>
      </w:r>
      <w:r>
        <w:t xml:space="preserve"> </w:t>
      </w:r>
      <w:r>
        <w:t xml:space="preserve">1–2 digital adoption matters most when firms have sufficient</w:t>
      </w:r>
      <w:r>
        <w:t xml:space="preserve"> </w:t>
      </w:r>
      <w:r>
        <w:t xml:space="preserve">international throughput to use digital interfaces and</w:t>
      </w:r>
      <w:r>
        <w:t xml:space="preserve"> </w:t>
      </w:r>
      <w:r>
        <w:t xml:space="preserve">transaction-enabling systems intensively, with the caveat that the</w:t>
      </w:r>
      <w:r>
        <w:t xml:space="preserve"> </w:t>
      </w:r>
      <w:r>
        <w:t xml:space="preserve">evidence is concentrated in a thin-support region and should therefore</w:t>
      </w:r>
      <w:r>
        <w:t xml:space="preserve"> </w:t>
      </w:r>
      <w:r>
        <w:t xml:space="preserve">be interpreted cautiously. From a transaction-cost perspective (Coase</w:t>
      </w:r>
      <w:r>
        <w:t xml:space="preserve"> </w:t>
      </w:r>
      <w:r>
        <w:t xml:space="preserve">1937; Williamson 1985), the conditional pattern is consistent with</w:t>
      </w:r>
      <w:r>
        <w:t xml:space="preserve"> </w:t>
      </w:r>
      <w:r>
        <w:t xml:space="preserve">foundational digital interfaces absorbing coordination and</w:t>
      </w:r>
      <w:r>
        <w:t xml:space="preserve"> </w:t>
      </w:r>
      <w:r>
        <w:t xml:space="preserve">information-processing costs that scale super-linearly with cross-border</w:t>
      </w:r>
      <w:r>
        <w:t xml:space="preserve"> </w:t>
      </w:r>
      <w:r>
        <w:t xml:space="preserve">transaction volume; below the threshold at which firms operate at high</w:t>
      </w:r>
      <w:r>
        <w:t xml:space="preserve"> </w:t>
      </w:r>
      <w:r>
        <w:t xml:space="preserve">export intensity, the marginal benefit of these systems may not exceed</w:t>
      </w:r>
      <w:r>
        <w:t xml:space="preserve"> </w:t>
      </w:r>
      <w:r>
        <w:t xml:space="preserve">the fixed costs of installation and routine use, which would explain why</w:t>
      </w:r>
      <w:r>
        <w:t xml:space="preserve"> </w:t>
      </w:r>
      <w:r>
        <w:t xml:space="preserve">no uniform productivity premium is observed across the full sample. The</w:t>
      </w:r>
      <w:r>
        <w:t xml:space="preserve"> </w:t>
      </w:r>
      <w:r>
        <w:t xml:space="preserve">absence of a uniform DAI premium across the full sample is itself</w:t>
      </w:r>
      <w:r>
        <w:t xml:space="preserve"> </w:t>
      </w:r>
      <w:r>
        <w:t xml:space="preserve">theoretically informative: in an environment where Tier 1–2 digital</w:t>
      </w:r>
      <w:r>
        <w:t xml:space="preserve"> </w:t>
      </w:r>
      <w:r>
        <w:t xml:space="preserve">tools are near-universally diffused, these tools cannot generate</w:t>
      </w:r>
      <w:r>
        <w:t xml:space="preserve"> </w:t>
      </w:r>
      <w:r>
        <w:t xml:space="preserve">cross-sectional productivity advantages in domestic operations</w:t>
      </w:r>
      <w:r>
        <w:t xml:space="preserve"> </w:t>
      </w:r>
      <w:r>
        <w:t xml:space="preserve">consistent with the digital saturation paradox outlined in the</w:t>
      </w:r>
      <w:r>
        <w:t xml:space="preserve"> </w:t>
      </w:r>
      <w:r>
        <w:t xml:space="preserve">introduction. Their measurable return surfaces only when the scaling</w:t>
      </w:r>
      <w:r>
        <w:t xml:space="preserve"> </w:t>
      </w:r>
      <w:r>
        <w:t xml:space="preserve">demands of high export intensity justify intensive use of digital</w:t>
      </w:r>
      <w:r>
        <w:t xml:space="preserve"> </w:t>
      </w:r>
      <w:r>
        <w:t xml:space="preserve">interfaces and transaction systems. The scale of Singapore’s innovation</w:t>
      </w:r>
      <w:r>
        <w:t xml:space="preserve"> </w:t>
      </w:r>
      <w:r>
        <w:t xml:space="preserve">ecosystem, 25,000 attendees and record 6,800 startup applications from</w:t>
      </w:r>
      <w:r>
        <w:t xml:space="preserve"> </w:t>
      </w:r>
      <w:r>
        <w:t xml:space="preserve">150 markets at the 2025 Singapore Week of Innovation and Technology</w:t>
      </w:r>
      <w:r>
        <w:t xml:space="preserve"> </w:t>
      </w:r>
      <w:r>
        <w:t xml:space="preserve">(Enterprise Singapore, 2025), and 22,000 delegates from 110 regions at</w:t>
      </w:r>
      <w:r>
        <w:t xml:space="preserve"> </w:t>
      </w:r>
      <w:r>
        <w:t xml:space="preserve">the Asia Tech x Singapore summit co-organised by the Infocomm Media</w:t>
      </w:r>
      <w:r>
        <w:t xml:space="preserve"> </w:t>
      </w:r>
      <w:r>
        <w:t xml:space="preserve">Development Authority (IMDA, 2025), confirming that Singapore’s</w:t>
      </w:r>
      <w:r>
        <w:t xml:space="preserve"> </w:t>
      </w:r>
      <w:r>
        <w:t xml:space="preserve">advanced digital maturity extends well beyond the Tier 1–2 foundational</w:t>
      </w:r>
      <w:r>
        <w:t xml:space="preserve"> </w:t>
      </w:r>
      <w:r>
        <w:t xml:space="preserve">layer captured by DAI, and that higher-tier digital capabilities</w:t>
      </w:r>
      <w:r>
        <w:t xml:space="preserve"> </w:t>
      </w:r>
      <w:r>
        <w:t xml:space="preserve">(automation, AI deployment, platform orchestration) remain unmeasured in</w:t>
      </w:r>
      <w:r>
        <w:t xml:space="preserve"> </w:t>
      </w:r>
      <w:r>
        <w:t xml:space="preserve">the present design but are embedded in the surrounding innovation</w:t>
      </w:r>
      <w:r>
        <w:t xml:space="preserve"> </w:t>
      </w:r>
      <w:r>
        <w:t xml:space="preserve">ecosystem.</w:t>
      </w:r>
    </w:p>
    <w:p>
      <w:pPr>
        <w:pStyle w:val="BodyText"/>
      </w:pPr>
      <w:r>
        <w:rPr>
          <w:bCs/>
          <w:b/>
        </w:rPr>
        <w:t xml:space="preserve">Adjudicating the three candidate mechanisms (Section 2.3.4).</w:t>
      </w:r>
      <w:r>
        <w:t xml:space="preserve"> </w:t>
      </w:r>
      <w:r>
        <w:t xml:space="preserve">The Singapore evidence is most consistent with</w:t>
      </w:r>
      <w:r>
        <w:t xml:space="preserve"> </w:t>
      </w:r>
      <w:r>
        <w:rPr>
          <w:iCs/>
          <w:i/>
        </w:rPr>
        <w:t xml:space="preserve">amplification</w:t>
      </w:r>
      <w:r>
        <w:t xml:space="preserve">. The distinguishing signature is the sign of the</w:t>
      </w:r>
      <w:r>
        <w:t xml:space="preserve"> </w:t>
      </w:r>
      <w:r>
        <w:rPr>
          <w:iCs/>
          <w:i/>
        </w:rPr>
        <w:t xml:space="preserve">quadratic</w:t>
      </w:r>
      <w:r>
        <w:t xml:space="preserve"> </w:t>
      </w:r>
      <w:r>
        <w:t xml:space="preserve">interaction: the positive FSTS² × DAI coefficient (β = +3.220, p = .020) implies that DAI’s productivity contribution grows super-linearly with export-intensity scale, which a level-shift</w:t>
      </w:r>
      <w:r>
        <w:t xml:space="preserve"> </w:t>
      </w:r>
      <w:r>
        <w:rPr>
          <w:iCs/>
          <w:i/>
        </w:rPr>
        <w:t xml:space="preserve">substitution</w:t>
      </w:r>
      <w:r>
        <w:t xml:space="preserve"> </w:t>
      </w:r>
      <w:r>
        <w:t xml:space="preserve">mechanism would not produce. The quadratic sign is preserved across sample restrictions (R1 thin-website, R3 excl. micro-firms, R4 SMEs only, R5 exporters-only) and indicator-sensitivity diagnostics, which is inconsistent with a pure</w:t>
      </w:r>
      <w:r>
        <w:t xml:space="preserve"> </w:t>
      </w:r>
      <w:r>
        <w:rPr>
          <w:iCs/>
          <w:i/>
        </w:rPr>
        <w:t xml:space="preserve">selection</w:t>
      </w:r>
      <w:r>
        <w:t xml:space="preserve"> </w:t>
      </w:r>
      <w:r>
        <w:t xml:space="preserve">story (under which the joint correlation should attenuate when the firms driving it are removed). Selection cannot be fully eliminated without an instrument unavailable in the single-wave design, and the Section 3.4(iv) Heckman check indicates mild but non-eliminating extensive-margin selection; amplification is therefore the focal mechanism with selection retained as a bounded residual concern. The contribution is thus not a universal digitalization mechanism but a clarification that foundational digital adoption and technological capability are analytically distinct and associated with performance through different patterns. Prior conceptual work on digital internationalization (Banalieva and Dhanaraj 2019; Stallkamp and Schotter 2021) has outpaced firm-level evidence on how foundational digital adoption interacts with export intensity within a single advanced economy; these findings provide one such data point.</w:t>
      </w:r>
    </w:p>
    <w:p>
      <w:pPr>
        <w:pStyle w:val="BodyText"/>
      </w:pPr>
      <w:r>
        <w:rPr>
          <w:bCs/>
          <w:b/>
        </w:rPr>
        <w:t xml:space="preserve">Construct-tier boundary and institutional transferability.</w:t>
      </w:r>
      <w:r>
        <w:t xml:space="preserve"> </w:t>
      </w:r>
      <w:r>
        <w:t xml:space="preserve">The amplification reading is tied to the</w:t>
      </w:r>
      <w:r>
        <w:t xml:space="preserve"> </w:t>
      </w:r>
      <w:r>
        <w:rPr>
          <w:iCs/>
          <w:i/>
        </w:rPr>
        <w:t xml:space="preserve">Tier-1+2</w:t>
      </w:r>
      <w:r>
        <w:t xml:space="preserve"> </w:t>
      </w:r>
      <w:r>
        <w:t xml:space="preserve">composition of DAI (website presence, c22b, plus two-way electronic-payment intensity, k33/k38). The signal is concentrated in the Tier-2 transaction-enabling layer: in the Section 4.5 R1 specification, reducing DAI to the Tier-1 website-only binary weakens the quadratic interaction substantially (β drops from +3.220 to +1.348; joint F = 2.27, p = .104), and an item-swap falsification (moving c22b to TCI) further weakens it. This has a transferability implication. In advanced-economy settings where Tier-2 payment rails are diffused alongside Tier-1 presence, a Tier-1+2 composite retains discriminatory power and the amplification mechanism is detectable. In transitional economies where Tier-2 infrastructure remains institutionally bounded (cross-border payment rails reached systemic scale only in the late 2010s across lower-middle-income Asia; World Bank 2024), a Tier-1-only construct loses discriminatory power as the diffusion ceiling is approached, and any export-intensity association is more plausibly read as construct-tier obsolescence. The amplification ceiling is therefore not a Singapore idiosyncrasy but a Tier-1+2 threshold effect: economies that upgrade payment infrastructure to Tier-2 coverage should expect the conditional-complementarity pattern to become empirically legible. This reframes Singapore as a leading indicator rather than an outlier, and positions the findings as a within-context boundary case at the advanced-economy ceiling rather than a broadly applicable digital-complementarity claim.</w:t>
      </w:r>
    </w:p>
    <w:bookmarkEnd w:id="50"/>
    <w:bookmarkStart w:id="51" w:name="managerial-implications"/>
    <w:p>
      <w:pPr>
        <w:pStyle w:val="Heading3"/>
      </w:pPr>
      <w:r>
        <w:t xml:space="preserve">5.2 Managerial implications</w:t>
      </w:r>
    </w:p>
    <w:p>
      <w:pPr>
        <w:pStyle w:val="FirstParagraph"/>
      </w:pPr>
      <w:r>
        <w:t xml:space="preserve">For firms in Singapore and comparable high-digital-infrastructure contexts, foundational digital adoption is most strongly associated with productivity when firms already operate at relatively high export intensity, where digital interfaces and electronic-payment systems function as scaling mechanisms for coordinating larger cross-border volumes. For deeply export-engaged firms the implication is strategic: foundational digital systems matter most when coordination demands across customers, suppliers, and foreign markets become dense enough for intensive use. For domestically concentrated or low-intensity firms, basic digital functionality is already widespread and is unlikely to yield a large standalone productivity premium; for the intermediate range, gains are likelier when digital investment is aligned with customer integration, supplier coordination, and export readiness. More broadly, managers should not treat technological capability and digital adoption as interchangeable: capability-building supports a broad productivity base, whereas foundational digital adoption becomes relevant under the coordination intensity of deeper internationalization, so the two should be sequenced to the firm’s actual stage of export expansion.</w:t>
      </w:r>
    </w:p>
    <w:bookmarkEnd w:id="51"/>
    <w:bookmarkEnd w:id="52"/>
    <w:bookmarkStart w:id="53" w:name="conclusion"/>
    <w:p>
      <w:pPr>
        <w:pStyle w:val="Heading2"/>
      </w:pPr>
      <w:r>
        <w:t xml:space="preserve">6 Conclusion</w:t>
      </w:r>
    </w:p>
    <w:p>
      <w:pPr>
        <w:pStyle w:val="FirstParagraph"/>
      </w:pPr>
      <w:r>
        <w:t xml:space="preserve">This study revisits the internationalization–performance relationship by distinguishing technological capability from foundational digital adoption among firms in Singapore (WBES 2023). Technological capability is positively associated with labour productivity, whereas digital adoption shows a conditional association that becomes more positive only at higher export intensity, supporting a distinction between firm-internal capability depth and foundational digitally enabled transaction capacity rather than a single digital-capability construct. The study also qualifies the nonlinear I–P literature in this setting: within the observed export-intensity range the pattern is better characterized as predominantly positive with mild quadratic curvature than as a formally identified inverted-U, because the implied turning point lies in a sparsely populated, imprecisely located upper tail. The evidence neither overturns the established literature nor establishes a general boundary condition for digitally mature economies; it provides within-context evidence on how the conventional nonlinear logic appears in a highly digitalized environment where most firms remain at low export intensity. These conclusions are bounded to the present design and point toward comparative and longitudinal research before broader cross-setting claims can be sustained.</w:t>
      </w:r>
    </w:p>
    <w:bookmarkEnd w:id="53"/>
    <w:bookmarkStart w:id="54" w:name="limitations-and-future-research"/>
    <w:p>
      <w:pPr>
        <w:pStyle w:val="Heading2"/>
      </w:pPr>
      <w:r>
        <w:t xml:space="preserve">7 Limitations and Future Research</w:t>
      </w:r>
    </w:p>
    <w:p>
      <w:pPr>
        <w:pStyle w:val="FirstParagraph"/>
      </w:pPr>
      <w:r>
        <w:t xml:space="preserve">Three limitations warrant caution. First, the analysis is a single-country cross-section, so inference is associational rather than causal; the observed relationships may reflect reverse causation, omitted variables, or productivity-driven selection into exporting and digital adoption. Second, the sample has a thin right tail of high-intensity exporters (the 75th percentile of FSTS is zero; only a small fraction occupy the high-export range where the turning point and the strongest DAI moderation appear). The implied turning point is therefore descriptive rather than structurally identified, with a wide 95% bootstrap CI ([58%, 398%]) despite an inverted-U shape in 94.9% of resamples; the DAI moderation survives leave-one-out, trimmed-tail, and indicator-sensitivity diagnostics but is necessarily less precise in the small exporter subsample (N = 84). Third, the DAI construct captures Tier 1–2 digital adoption (digital presence and electronic-transaction usage) rather than deeper process integration or digital dynamic capability, and the moderation weakens when the foundational indicators are dropped. Future research should test whether the same conditional pattern appears in other digitally advanced economies and under richer measures of process integration and higher-order capabilities, using panel data, successive survey waves, linked administrative records, or quasi-experimental designs (e.g., instruments such as firm-to-port distance or customs-clearance times for export intensity, and regional broadband coverage or within-sector peer adoption for digital adoption), while noting that such designs require adequate first-stage strength and credible exclusion restrictions (Wolfolds and Siegel 2019).</w:t>
      </w:r>
    </w:p>
    <w:bookmarkEnd w:id="54"/>
    <w:bookmarkStart w:id="56" w:name="data-availability-statement"/>
    <w:p>
      <w:pPr>
        <w:pStyle w:val="Heading2"/>
      </w:pPr>
      <w:r>
        <w:t xml:space="preserve">Data Availability Statement</w:t>
      </w:r>
    </w:p>
    <w:p>
      <w:pPr>
        <w:pStyle w:val="FirstParagraph"/>
      </w:pPr>
      <w:r>
        <w:t xml:space="preserve">The data analyzed in this study are from the World Bank Enterprise</w:t>
      </w:r>
      <w:r>
        <w:t xml:space="preserve"> </w:t>
      </w:r>
      <w:r>
        <w:t xml:space="preserve">Survey (WBES) Singapore 2023 wave, publicly available at</w:t>
      </w:r>
      <w:r>
        <w:t xml:space="preserve"> </w:t>
      </w:r>
      <w:hyperlink r:id="rId55">
        <w:r>
          <w:rPr>
            <w:rStyle w:val="Hyperlink"/>
          </w:rPr>
          <w:t xml:space="preserve">www.enterprisesurveys.org</w:t>
        </w:r>
      </w:hyperlink>
      <w:r>
        <w:t xml:space="preserve">. Analysis</w:t>
      </w:r>
      <w:r>
        <w:t xml:space="preserve"> </w:t>
      </w:r>
      <w:r>
        <w:t xml:space="preserve">scripts to replicate the results are available from the corresponding</w:t>
      </w:r>
      <w:r>
        <w:t xml:space="preserve"> </w:t>
      </w:r>
      <w:r>
        <w:t xml:space="preserve">author on reasonable request.</w:t>
      </w:r>
    </w:p>
    <w:bookmarkEnd w:id="56"/>
    <w:bookmarkStart w:id="57" w:name="acknowledgements"/>
    <w:p>
      <w:pPr>
        <w:pStyle w:val="Heading2"/>
      </w:pPr>
      <w:r>
        <w:t xml:space="preserve">Acknowledgements</w:t>
      </w:r>
    </w:p>
    <w:p>
      <w:pPr>
        <w:pStyle w:val="FirstParagraph"/>
      </w:pPr>
      <w:r>
        <w:t xml:space="preserve">We thank the Enterprise Analysis Unit of the Development Economics</w:t>
      </w:r>
      <w:r>
        <w:t xml:space="preserve"> </w:t>
      </w:r>
      <w:r>
        <w:t xml:space="preserve">Global Indicators Group of the World Bank for the data.</w:t>
      </w:r>
    </w:p>
    <w:bookmarkEnd w:id="57"/>
    <w:bookmarkStart w:id="58" w:name="funding"/>
    <w:p>
      <w:pPr>
        <w:pStyle w:val="Heading2"/>
      </w:pPr>
      <w:r>
        <w:t xml:space="preserve">Funding</w:t>
      </w:r>
    </w:p>
    <w:p>
      <w:pPr>
        <w:pStyle w:val="FirstParagraph"/>
      </w:pPr>
      <w:r>
        <w:t xml:space="preserve">This research received no external funding.</w:t>
      </w:r>
    </w:p>
    <w:bookmarkEnd w:id="58"/>
    <w:bookmarkStart w:id="59" w:name="conflict-of-interest"/>
    <w:p>
      <w:pPr>
        <w:pStyle w:val="Heading2"/>
      </w:pPr>
      <w:r>
        <w:t xml:space="preserve">Conflict of Interest</w:t>
      </w:r>
    </w:p>
    <w:p>
      <w:pPr>
        <w:pStyle w:val="FirstParagraph"/>
      </w:pPr>
      <w:r>
        <w:t xml:space="preserve">The authors declare no conflicts of interest.</w:t>
      </w:r>
    </w:p>
    <w:bookmarkEnd w:id="59"/>
    <w:bookmarkStart w:id="61" w:name="ai-and-data-availability"/>
    <w:p>
      <w:pPr>
        <w:pStyle w:val="Heading2"/>
      </w:pPr>
      <w:r>
        <w:t xml:space="preserve">AI and Data Availability</w:t>
      </w:r>
    </w:p>
    <w:p>
      <w:pPr>
        <w:pStyle w:val="FirstParagraph"/>
      </w:pPr>
      <w:r>
        <w:rPr>
          <w:bCs/>
          <w:b/>
        </w:rPr>
        <w:t xml:space="preserve">AI use disclosure</w:t>
      </w:r>
      <w:r>
        <w:t xml:space="preserve">: Grammarly was used for grammar and spelling</w:t>
      </w:r>
      <w:r>
        <w:t xml:space="preserve"> </w:t>
      </w:r>
      <w:r>
        <w:t xml:space="preserve">corrections only. No AI tools were used for idea generation, literature</w:t>
      </w:r>
      <w:r>
        <w:t xml:space="preserve"> </w:t>
      </w:r>
      <w:r>
        <w:t xml:space="preserve">synthesis, data analysis, or content creation.</w:t>
      </w:r>
    </w:p>
    <w:p>
      <w:pPr>
        <w:pStyle w:val="BodyText"/>
      </w:pPr>
      <w:r>
        <w:rPr>
          <w:bCs/>
          <w:b/>
        </w:rPr>
        <w:t xml:space="preserve">Data availability</w:t>
      </w:r>
      <w:r>
        <w:t xml:space="preserve">: The data supporting this study were obtained from</w:t>
      </w:r>
      <w:r>
        <w:t xml:space="preserve"> </w:t>
      </w:r>
      <w:r>
        <w:t xml:space="preserve">the World Bank Enterprise Surveys (WBES) B-READY 2023 Singapore dataset,</w:t>
      </w:r>
      <w:r>
        <w:t xml:space="preserve"> </w:t>
      </w:r>
      <w:r>
        <w:t xml:space="preserve">publicly available at</w:t>
      </w:r>
      <w:r>
        <w:t xml:space="preserve"> </w:t>
      </w:r>
      <w:hyperlink r:id="rId60">
        <w:r>
          <w:rPr>
            <w:rStyle w:val="Hyperlink"/>
          </w:rPr>
          <w:t xml:space="preserve">https://www.enterprisesurveys.org</w:t>
        </w:r>
      </w:hyperlink>
      <w:r>
        <w:t xml:space="preserve">. Processed</w:t>
      </w:r>
      <w:r>
        <w:t xml:space="preserve"> </w:t>
      </w:r>
      <w:r>
        <w:t xml:space="preserve">data and replication code are available from the corresponding author</w:t>
      </w:r>
      <w:r>
        <w:t xml:space="preserve"> </w:t>
      </w:r>
      <w:r>
        <w:t xml:space="preserve">upon reasonable request.</w:t>
      </w:r>
    </w:p>
    <w:bookmarkEnd w:id="61"/>
    <w:bookmarkStart w:id="62" w:name="references"/>
    <w:p>
      <w:pPr>
        <w:pStyle w:val="Heading2"/>
      </w:pPr>
      <w:r>
        <w:t xml:space="preserve">References</w:t>
      </w:r>
    </w:p>
    <w:p>
      <w:pPr>
        <w:pStyle w:val="FirstParagraph"/>
      </w:pPr>
      <w:r>
        <w:t xml:space="preserve">Aguinis, H., Beaty, J.C., Boik, R.J. and Pierce, C.A. (2005),</w:t>
      </w:r>
      <w:r>
        <w:t xml:space="preserve"> </w:t>
      </w:r>
      <w:r>
        <w:t xml:space="preserve">“</w:t>
      </w:r>
      <w:r>
        <w:t xml:space="preserve">Effect size and power in assessing moderating effects of categorical variables using multiple regression: A 30-year review</w:t>
      </w:r>
      <w:r>
        <w:t xml:space="preserve">”</w:t>
      </w:r>
      <w:r>
        <w:t xml:space="preserve">,</w:t>
      </w:r>
      <w:r>
        <w:t xml:space="preserve"> </w:t>
      </w:r>
      <w:r>
        <w:rPr>
          <w:iCs/>
          <w:i/>
        </w:rPr>
        <w:t xml:space="preserve">Journal of Applied Psychology</w:t>
      </w:r>
      <w:r>
        <w:t xml:space="preserve">, Vol. 90 No. 1, pp. 94-107, doi: 10.1037/0021-9010.90.1.94.</w:t>
      </w:r>
    </w:p>
    <w:p>
      <w:pPr>
        <w:pStyle w:val="BodyText"/>
      </w:pPr>
      <w:r>
        <w:t xml:space="preserve">Aiken, L.S. and West, S.G. (1991),</w:t>
      </w:r>
      <w:r>
        <w:t xml:space="preserve"> </w:t>
      </w:r>
      <w:r>
        <w:rPr>
          <w:iCs/>
          <w:i/>
        </w:rPr>
        <w:t xml:space="preserve">Multiple regression: Testing and interpreting interactions</w:t>
      </w:r>
      <w:r>
        <w:t xml:space="preserve">, Sage.</w:t>
      </w:r>
    </w:p>
    <w:p>
      <w:pPr>
        <w:pStyle w:val="BodyText"/>
      </w:pPr>
      <w:r>
        <w:t xml:space="preserve">Avenyo, E.K., Tregenna, F. and Kraemer-Mbula, E. (2021),</w:t>
      </w:r>
      <w:r>
        <w:t xml:space="preserve"> </w:t>
      </w:r>
      <w:r>
        <w:t xml:space="preserve">“</w:t>
      </w:r>
      <w:r>
        <w:t xml:space="preserve">Do productive capabilities affect export performance? Microeconomic evidence from sub-Saharan Africa</w:t>
      </w:r>
      <w:r>
        <w:t xml:space="preserve">”</w:t>
      </w:r>
      <w:r>
        <w:t xml:space="preserve">,</w:t>
      </w:r>
      <w:r>
        <w:t xml:space="preserve"> </w:t>
      </w:r>
      <w:r>
        <w:rPr>
          <w:iCs/>
          <w:i/>
        </w:rPr>
        <w:t xml:space="preserve">The European Journal of Development Research</w:t>
      </w:r>
      <w:r>
        <w:t xml:space="preserve">, Vol. 33 No. 2, pp. 304-329, doi: 10.1057/s41287-020-00328-2.</w:t>
      </w:r>
    </w:p>
    <w:p>
      <w:pPr>
        <w:pStyle w:val="BodyText"/>
      </w:pPr>
      <w:r>
        <w:t xml:space="preserve">Banalieva, E.R. and Dhanaraj, C. (2019),</w:t>
      </w:r>
      <w:r>
        <w:t xml:space="preserve"> </w:t>
      </w:r>
      <w:r>
        <w:t xml:space="preserve">“</w:t>
      </w:r>
      <w:r>
        <w:t xml:space="preserve">Internalization theory for the digital economy</w:t>
      </w:r>
      <w:r>
        <w:t xml:space="preserve">”</w:t>
      </w:r>
      <w:r>
        <w:t xml:space="preserve">,</w:t>
      </w:r>
      <w:r>
        <w:t xml:space="preserve"> </w:t>
      </w:r>
      <w:r>
        <w:rPr>
          <w:iCs/>
          <w:i/>
        </w:rPr>
        <w:t xml:space="preserve">Journal of International Business Studies</w:t>
      </w:r>
      <w:r>
        <w:t xml:space="preserve">, Vol. 50 No. 8, pp. 1372-1387, doi: 10.1057/s41267-019-00243-7.</w:t>
      </w:r>
    </w:p>
    <w:p>
      <w:pPr>
        <w:pStyle w:val="BodyText"/>
      </w:pPr>
      <w:r>
        <w:t xml:space="preserve">Barney, J. (1991),</w:t>
      </w:r>
      <w:r>
        <w:t xml:space="preserve"> </w:t>
      </w:r>
      <w:r>
        <w:t xml:space="preserve">“</w:t>
      </w:r>
      <w:r>
        <w:t xml:space="preserve">Firm resources and sustained competitive advantage</w:t>
      </w:r>
      <w:r>
        <w:t xml:space="preserve">”</w:t>
      </w:r>
      <w:r>
        <w:t xml:space="preserve">,</w:t>
      </w:r>
      <w:r>
        <w:t xml:space="preserve"> </w:t>
      </w:r>
      <w:r>
        <w:rPr>
          <w:iCs/>
          <w:i/>
        </w:rPr>
        <w:t xml:space="preserve">Journal of Management</w:t>
      </w:r>
      <w:r>
        <w:t xml:space="preserve">, Vol. 17 No. 1, pp. 99-120, doi: 10.1177/014920639101700108.</w:t>
      </w:r>
    </w:p>
    <w:p>
      <w:pPr>
        <w:pStyle w:val="BodyText"/>
      </w:pPr>
      <w:r>
        <w:t xml:space="preserve">Bharadwaj, A., El Sawy, O.A., Pavlou, P.A. and Venkatraman, N. (2013),</w:t>
      </w:r>
      <w:r>
        <w:t xml:space="preserve"> </w:t>
      </w:r>
      <w:r>
        <w:t xml:space="preserve">“</w:t>
      </w:r>
      <w:r>
        <w:t xml:space="preserve">Digital business strategy: Toward a next generation of insights</w:t>
      </w:r>
      <w:r>
        <w:t xml:space="preserve">”</w:t>
      </w:r>
      <w:r>
        <w:t xml:space="preserve">,</w:t>
      </w:r>
      <w:r>
        <w:t xml:space="preserve"> </w:t>
      </w:r>
      <w:r>
        <w:rPr>
          <w:iCs/>
          <w:i/>
        </w:rPr>
        <w:t xml:space="preserve">MIS Quarterly</w:t>
      </w:r>
      <w:r>
        <w:t xml:space="preserve">, Vol. 37 No. 2, pp. 471-482, doi: 10.25300/MISQ/2013/37:2.3.</w:t>
      </w:r>
    </w:p>
    <w:p>
      <w:pPr>
        <w:pStyle w:val="BodyText"/>
      </w:pPr>
      <w:r>
        <w:t xml:space="preserve">Coase, R.H. (1937),</w:t>
      </w:r>
      <w:r>
        <w:t xml:space="preserve"> </w:t>
      </w:r>
      <w:r>
        <w:t xml:space="preserve">“</w:t>
      </w:r>
      <w:r>
        <w:t xml:space="preserve">The nature of the firm</w:t>
      </w:r>
      <w:r>
        <w:t xml:space="preserve">”</w:t>
      </w:r>
      <w:r>
        <w:t xml:space="preserve">,</w:t>
      </w:r>
      <w:r>
        <w:t xml:space="preserve"> </w:t>
      </w:r>
      <w:r>
        <w:rPr>
          <w:iCs/>
          <w:i/>
        </w:rPr>
        <w:t xml:space="preserve">Economica</w:t>
      </w:r>
      <w:r>
        <w:t xml:space="preserve">, Vol. 4 No. 16, pp. 386-405, doi: 10.1111/j.1468-0335.1937.tb00002.x.</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W.M. and Levinthal, D.A. (1990),</w:t>
      </w:r>
      <w:r>
        <w:t xml:space="preserve"> </w:t>
      </w:r>
      <w:r>
        <w:t xml:space="preserve">“</w:t>
      </w:r>
      <w:r>
        <w:t xml:space="preserve">Absorptive capacity: A new perspective on learning and innovation</w:t>
      </w:r>
      <w:r>
        <w:t xml:space="preserve">”</w:t>
      </w:r>
      <w:r>
        <w:t xml:space="preserve">,</w:t>
      </w:r>
      <w:r>
        <w:t xml:space="preserve"> </w:t>
      </w:r>
      <w:r>
        <w:rPr>
          <w:iCs/>
          <w:i/>
        </w:rPr>
        <w:t xml:space="preserve">Administrative Science Quarterly</w:t>
      </w:r>
      <w:r>
        <w:t xml:space="preserve">, Vol. 35 No. 1, pp. 128-152, doi: 10.2307/2393553.</w:t>
      </w:r>
    </w:p>
    <w:p>
      <w:pPr>
        <w:pStyle w:val="BodyText"/>
      </w:pPr>
      <w:r>
        <w:t xml:space="preserve">Coltman, T., Devinney, T.M., Midgley, D.F. and Venaik, S. (2008),</w:t>
      </w:r>
      <w:r>
        <w:t xml:space="preserve"> </w:t>
      </w:r>
      <w:r>
        <w:t xml:space="preserve">“</w:t>
      </w:r>
      <w:r>
        <w:t xml:space="preserve">Formative versus reflective measurement models: Two applications of formative measurement</w:t>
      </w:r>
      <w:r>
        <w:t xml:space="preserve">”</w:t>
      </w:r>
      <w:r>
        <w:t xml:space="preserve">,</w:t>
      </w:r>
      <w:r>
        <w:t xml:space="preserve"> </w:t>
      </w:r>
      <w:r>
        <w:rPr>
          <w:iCs/>
          <w:i/>
        </w:rPr>
        <w:t xml:space="preserve">Journal of Business Research</w:t>
      </w:r>
      <w:r>
        <w:t xml:space="preserve">, Vol. 61 No. 12, pp. 1250-1262, doi: 10.1016/j.jbusres.2008.01.013.</w:t>
      </w:r>
    </w:p>
    <w:p>
      <w:pPr>
        <w:pStyle w:val="BodyText"/>
      </w:pPr>
      <w:r>
        <w:t xml:space="preserve">Contractor, F.J., Kundu, S.K. and Hsu, C.-C. (2003),</w:t>
      </w:r>
      <w:r>
        <w:t xml:space="preserve"> </w:t>
      </w:r>
      <w:r>
        <w:t xml:space="preserve">“</w:t>
      </w:r>
      <w:r>
        <w:t xml:space="preserve">A three-stage theory of international expansion: The link between multinationality and performance in the service sector</w:t>
      </w:r>
      <w:r>
        <w:t xml:space="preserve">”</w:t>
      </w:r>
      <w:r>
        <w:t xml:space="preserve">,</w:t>
      </w:r>
      <w:r>
        <w:t xml:space="preserve"> </w:t>
      </w:r>
      <w:r>
        <w:rPr>
          <w:iCs/>
          <w:i/>
        </w:rPr>
        <w:t xml:space="preserve">Journal of International Business Studies</w:t>
      </w:r>
      <w:r>
        <w:t xml:space="preserve">, Vol. 34 No. 1, pp. 5-18, doi: 10.1057/palgrave.jibs.8400003.</w:t>
      </w:r>
    </w:p>
    <w:p>
      <w:pPr>
        <w:pStyle w:val="BodyText"/>
      </w:pPr>
      <w:r>
        <w:t xml:space="preserve">Haans, R.F.J., Pieters, C. and He, Z.-L. (2016),</w:t>
      </w:r>
      <w:r>
        <w:t xml:space="preserve"> </w:t>
      </w:r>
      <w:r>
        <w:t xml:space="preserve">“</w:t>
      </w:r>
      <w:r>
        <w:t xml:space="preserve">Thinking about U: Theorizing and testing U- and inverted U-shaped relationships in strategy research</w:t>
      </w:r>
      <w:r>
        <w:t xml:space="preserve">”</w:t>
      </w:r>
      <w:r>
        <w:t xml:space="preserve">,</w:t>
      </w:r>
      <w:r>
        <w:t xml:space="preserve"> </w:t>
      </w:r>
      <w:r>
        <w:rPr>
          <w:iCs/>
          <w:i/>
        </w:rPr>
        <w:t xml:space="preserve">Strategic Management Journal</w:t>
      </w:r>
      <w:r>
        <w:t xml:space="preserve">, Vol. 37 No. 7, pp. 1177-1195, doi: 10.1002/smj.2399.</w:t>
      </w:r>
    </w:p>
    <w:p>
      <w:pPr>
        <w:pStyle w:val="BodyText"/>
      </w:pPr>
      <w:r>
        <w:t xml:space="preserve">Hambrick, D.C. and Mason, P.A. (1984),</w:t>
      </w:r>
      <w:r>
        <w:t xml:space="preserve"> </w:t>
      </w:r>
      <w:r>
        <w:t xml:space="preserve">“</w:t>
      </w:r>
      <w:r>
        <w:t xml:space="preserve">Upper echelons: The organization as a reflection of its top managers</w:t>
      </w:r>
      <w:r>
        <w:t xml:space="preserve">”</w:t>
      </w:r>
      <w:r>
        <w:t xml:space="preserve">,</w:t>
      </w:r>
      <w:r>
        <w:t xml:space="preserve"> </w:t>
      </w:r>
      <w:r>
        <w:rPr>
          <w:iCs/>
          <w:i/>
        </w:rPr>
        <w:t xml:space="preserve">Academy of Management Review</w:t>
      </w:r>
      <w:r>
        <w:t xml:space="preserve">, Vol. 9 No. 2, pp. 193-206, doi: 10.5465/amr.1984.4277628.</w:t>
      </w:r>
    </w:p>
    <w:p>
      <w:pPr>
        <w:pStyle w:val="BodyText"/>
      </w:pPr>
      <w:r>
        <w:t xml:space="preserve">Hitt, M.A., Hoskisson, R.E. and Kim, H. (1997),</w:t>
      </w:r>
      <w:r>
        <w:t xml:space="preserve"> </w:t>
      </w:r>
      <w:r>
        <w:t xml:space="preserve">“</w:t>
      </w:r>
      <w:r>
        <w:t xml:space="preserve">International diversification: Effects on innovation and firm performance in product-diversified firms</w:t>
      </w:r>
      <w:r>
        <w:t xml:space="preserve">”</w:t>
      </w:r>
      <w:r>
        <w:t xml:space="preserve">,</w:t>
      </w:r>
      <w:r>
        <w:t xml:space="preserve"> </w:t>
      </w:r>
      <w:r>
        <w:rPr>
          <w:iCs/>
          <w:i/>
        </w:rPr>
        <w:t xml:space="preserve">Academy of Management Journal</w:t>
      </w:r>
      <w:r>
        <w:t xml:space="preserve">, Vol. 40 No. 4, pp. 767-798, doi: 10.5465/256948.</w:t>
      </w:r>
    </w:p>
    <w:p>
      <w:pPr>
        <w:pStyle w:val="BodyText"/>
      </w:pPr>
      <w:r>
        <w:t xml:space="preserve">Krammer, S.M.S., Strange, R. and Lashitew, A. (2018),</w:t>
      </w:r>
      <w:r>
        <w:t xml:space="preserve"> </w:t>
      </w:r>
      <w:r>
        <w:t xml:space="preserve">“</w:t>
      </w:r>
      <w:r>
        <w:t xml:space="preserve">The export performance of emerging economy firms</w:t>
      </w:r>
      <w:r>
        <w:t xml:space="preserve">”</w:t>
      </w:r>
      <w:r>
        <w:t xml:space="preserve">,</w:t>
      </w:r>
      <w:r>
        <w:t xml:space="preserve"> </w:t>
      </w:r>
      <w:r>
        <w:rPr>
          <w:iCs/>
          <w:i/>
        </w:rPr>
        <w:t xml:space="preserve">International Business Review</w:t>
      </w:r>
      <w:r>
        <w:t xml:space="preserve">, Vol. 27 No. 1, pp. 218-230, doi: 10.1016/j.ibusrev.2017.07.003.</w:t>
      </w:r>
    </w:p>
    <w:p>
      <w:pPr>
        <w:pStyle w:val="BodyText"/>
      </w:pPr>
      <w:r>
        <w:t xml:space="preserve">Lakens, D., Scheel, A.M. and Isager, P.M. (2018),</w:t>
      </w:r>
      <w:r>
        <w:t xml:space="preserve"> </w:t>
      </w:r>
      <w:r>
        <w:t xml:space="preserve">“</w:t>
      </w:r>
      <w:r>
        <w:t xml:space="preserve">Equivalence testing for psychological research: A tutorial</w:t>
      </w:r>
      <w:r>
        <w:t xml:space="preserve">”</w:t>
      </w:r>
      <w:r>
        <w:t xml:space="preserve">,</w:t>
      </w:r>
      <w:r>
        <w:t xml:space="preserve"> </w:t>
      </w:r>
      <w:r>
        <w:rPr>
          <w:iCs/>
          <w:i/>
        </w:rPr>
        <w:t xml:space="preserve">Advances in Methods and Practices in Psychological Science</w:t>
      </w:r>
      <w:r>
        <w:t xml:space="preserve">, Vol. 1 No. 2, pp. 259-269, doi: 10.1177/2515245918770963.</w:t>
      </w:r>
    </w:p>
    <w:p>
      <w:pPr>
        <w:pStyle w:val="BodyText"/>
      </w:pPr>
      <w:r>
        <w:t xml:space="preserve">Lall, S. (1992),</w:t>
      </w:r>
      <w:r>
        <w:t xml:space="preserve"> </w:t>
      </w:r>
      <w:r>
        <w:t xml:space="preserve">“</w:t>
      </w:r>
      <w:r>
        <w:t xml:space="preserve">Technological capabilities and industrialization</w:t>
      </w:r>
      <w:r>
        <w:t xml:space="preserve">”</w:t>
      </w:r>
      <w:r>
        <w:t xml:space="preserve">,</w:t>
      </w:r>
      <w:r>
        <w:t xml:space="preserve"> </w:t>
      </w:r>
      <w:r>
        <w:rPr>
          <w:iCs/>
          <w:i/>
        </w:rPr>
        <w:t xml:space="preserve">World Development</w:t>
      </w:r>
      <w:r>
        <w:t xml:space="preserve">, Vol. 20 No. 2, pp. 165-186, doi: 10.1016/0305-750X(92)90097-F.</w:t>
      </w:r>
    </w:p>
    <w:p>
      <w:pPr>
        <w:pStyle w:val="BodyText"/>
      </w:pPr>
      <w:r>
        <w:t xml:space="preserve">Lind, J.T. and Mehlum, H. (2010),</w:t>
      </w:r>
      <w:r>
        <w:t xml:space="preserve"> </w:t>
      </w:r>
      <w:r>
        <w:t xml:space="preserve">“</w:t>
      </w:r>
      <w:r>
        <w:t xml:space="preserve">With or without U? The appropriate test for a U-shaped relationship</w:t>
      </w:r>
      <w:r>
        <w:t xml:space="preserve">”</w:t>
      </w:r>
      <w:r>
        <w:t xml:space="preserve">,</w:t>
      </w:r>
      <w:r>
        <w:t xml:space="preserve"> </w:t>
      </w:r>
      <w:r>
        <w:rPr>
          <w:iCs/>
          <w:i/>
        </w:rPr>
        <w:t xml:space="preserve">Oxford Bulletin of Economics and Statistics</w:t>
      </w:r>
      <w:r>
        <w:t xml:space="preserve">, Vol. 72 No. 1, pp. 109-118, doi: 10.1111/j.1468-0084.2009.00569.x.</w:t>
      </w:r>
    </w:p>
    <w:p>
      <w:pPr>
        <w:pStyle w:val="BodyText"/>
      </w:pPr>
      <w:r>
        <w:t xml:space="preserve">Lu, J.W. and Beamish, P.W. (2004),</w:t>
      </w:r>
      <w:r>
        <w:t xml:space="preserve"> </w:t>
      </w:r>
      <w:r>
        <w:t xml:space="preserve">“</w:t>
      </w:r>
      <w:r>
        <w:t xml:space="preserve">International diversification and firm performance: The S-curve hypothesis</w:t>
      </w:r>
      <w:r>
        <w:t xml:space="preserve">”</w:t>
      </w:r>
      <w:r>
        <w:t xml:space="preserve">,</w:t>
      </w:r>
      <w:r>
        <w:t xml:space="preserve"> </w:t>
      </w:r>
      <w:r>
        <w:rPr>
          <w:iCs/>
          <w:i/>
        </w:rPr>
        <w:t xml:space="preserve">Academy of Management Journal</w:t>
      </w:r>
      <w:r>
        <w:t xml:space="preserve">, Vol. 47 No. 4, pp. 598-609, doi: 10.5465/20159604.</w:t>
      </w:r>
    </w:p>
    <w:p>
      <w:pPr>
        <w:pStyle w:val="BodyText"/>
      </w:pPr>
      <w:r>
        <w:t xml:space="preserve">Marano, V., Arregle, J.-L., Hitt, M.A., Spadafora, E. and van Essen, M. (2016),</w:t>
      </w:r>
      <w:r>
        <w:t xml:space="preserve"> </w:t>
      </w:r>
      <w:r>
        <w:t xml:space="preserve">“</w:t>
      </w:r>
      <w:r>
        <w:t xml:space="preserve">Home country institutions and the internationalization-performance relationship: A meta-analytic review</w:t>
      </w:r>
      <w:r>
        <w:t xml:space="preserve">”</w:t>
      </w:r>
      <w:r>
        <w:t xml:space="preserve">,</w:t>
      </w:r>
      <w:r>
        <w:t xml:space="preserve"> </w:t>
      </w:r>
      <w:r>
        <w:rPr>
          <w:iCs/>
          <w:i/>
        </w:rPr>
        <w:t xml:space="preserve">Journal of Management</w:t>
      </w:r>
      <w:r>
        <w:t xml:space="preserve">, Vol. 42 No. 5, pp. 1075-1110, doi: 10.1177/0149206315624963.</w:t>
      </w:r>
    </w:p>
    <w:p>
      <w:pPr>
        <w:pStyle w:val="BodyText"/>
      </w:pPr>
      <w:r>
        <w:t xml:space="preserve">O’Brien, R.M. (2007),</w:t>
      </w:r>
      <w:r>
        <w:t xml:space="preserve"> </w:t>
      </w:r>
      <w:r>
        <w:t xml:space="preserve">“</w:t>
      </w:r>
      <w:r>
        <w:t xml:space="preserve">A caution regarding rules of thumb for variance inflation factors</w:t>
      </w:r>
      <w:r>
        <w:t xml:space="preserve">”</w:t>
      </w:r>
      <w:r>
        <w:t xml:space="preserve">,</w:t>
      </w:r>
      <w:r>
        <w:t xml:space="preserve"> </w:t>
      </w:r>
      <w:r>
        <w:rPr>
          <w:iCs/>
          <w:i/>
        </w:rPr>
        <w:t xml:space="preserve">Quality &amp; Quantity</w:t>
      </w:r>
      <w:r>
        <w:t xml:space="preserve">, Vol. 41 No. 5, pp. 673-690, doi: 10.1007/s11135-006-9018-6.</w:t>
      </w:r>
    </w:p>
    <w:p>
      <w:pPr>
        <w:pStyle w:val="BodyText"/>
      </w:pPr>
      <w:r>
        <w:t xml:space="preserve">Peng, M.W. (2003),</w:t>
      </w:r>
      <w:r>
        <w:t xml:space="preserve"> </w:t>
      </w:r>
      <w:r>
        <w:t xml:space="preserve">“</w:t>
      </w:r>
      <w:r>
        <w:t xml:space="preserve">Institutional transitions and strategic choices</w:t>
      </w:r>
      <w:r>
        <w:t xml:space="preserve">”</w:t>
      </w:r>
      <w:r>
        <w:t xml:space="preserve">,</w:t>
      </w:r>
      <w:r>
        <w:t xml:space="preserve"> </w:t>
      </w:r>
      <w:r>
        <w:rPr>
          <w:iCs/>
          <w:i/>
        </w:rPr>
        <w:t xml:space="preserve">Academy of Management Review</w:t>
      </w:r>
      <w:r>
        <w:t xml:space="preserve">, Vol. 28 No. 2, pp. 275-296, doi: 10.5465/amr.2003.9416341.</w:t>
      </w:r>
    </w:p>
    <w:p>
      <w:pPr>
        <w:pStyle w:val="BodyText"/>
      </w:pPr>
      <w:r>
        <w:t xml:space="preserve">Peng, M.W., Wang, D.Y.L. and Jiang, Y. (2008),</w:t>
      </w:r>
      <w:r>
        <w:t xml:space="preserve"> </w:t>
      </w:r>
      <w:r>
        <w:t xml:space="preserve">“</w:t>
      </w:r>
      <w:r>
        <w:t xml:space="preserve">An institution-based view of international business strategy: A focus on emerging economies</w:t>
      </w:r>
      <w:r>
        <w:t xml:space="preserve">”</w:t>
      </w:r>
      <w:r>
        <w:t xml:space="preserve">,</w:t>
      </w:r>
      <w:r>
        <w:t xml:space="preserve"> </w:t>
      </w:r>
      <w:r>
        <w:rPr>
          <w:iCs/>
          <w:i/>
        </w:rPr>
        <w:t xml:space="preserve">Journal of International Business Studies</w:t>
      </w:r>
      <w:r>
        <w:t xml:space="preserve">, Vol. 39 No. 5, pp. 920-936, doi: 10.1057/palgrave.jibs.8400377.</w:t>
      </w:r>
    </w:p>
    <w:p>
      <w:pPr>
        <w:pStyle w:val="BodyText"/>
      </w:pPr>
      <w:r>
        <w:t xml:space="preserve">Stallkamp, M. and Schotter, A.P.J. (2021),</w:t>
      </w:r>
      <w:r>
        <w:t xml:space="preserve"> </w:t>
      </w:r>
      <w:r>
        <w:t xml:space="preserve">“</w:t>
      </w:r>
      <w:r>
        <w:t xml:space="preserve">Platforms without borders? The international strategies of digital platform firms</w:t>
      </w:r>
      <w:r>
        <w:t xml:space="preserve">”</w:t>
      </w:r>
      <w:r>
        <w:t xml:space="preserve">,</w:t>
      </w:r>
      <w:r>
        <w:t xml:space="preserve"> </w:t>
      </w:r>
      <w:r>
        <w:rPr>
          <w:iCs/>
          <w:i/>
        </w:rPr>
        <w:t xml:space="preserve">Global Strategy Journal</w:t>
      </w:r>
      <w:r>
        <w:t xml:space="preserve">, Vol. 11 No. 1, pp. 58-80, doi: 10.1002/gsj.1336.</w:t>
      </w:r>
    </w:p>
    <w:p>
      <w:pPr>
        <w:pStyle w:val="BodyText"/>
      </w:pPr>
      <w:r>
        <w:t xml:space="preserve">Teece, D.J. (2007),</w:t>
      </w:r>
      <w:r>
        <w:t xml:space="preserve"> </w:t>
      </w:r>
      <w:r>
        <w:t xml:space="preserve">“</w:t>
      </w:r>
      <w:r>
        <w:t xml:space="preserve">Explicating dynamic capabilities: The nature and microfoundations of (sustainable) enterprise performance</w:t>
      </w:r>
      <w:r>
        <w:t xml:space="preserve">”</w:t>
      </w:r>
      <w:r>
        <w:t xml:space="preserve">,</w:t>
      </w:r>
      <w:r>
        <w:t xml:space="preserve"> </w:t>
      </w:r>
      <w:r>
        <w:rPr>
          <w:iCs/>
          <w:i/>
        </w:rPr>
        <w:t xml:space="preserve">Strategic Management Journal</w:t>
      </w:r>
      <w:r>
        <w:t xml:space="preserve">, Vol. 28 No. 13, pp. 1319-1350, doi: 10.1002/smj.640.</w:t>
      </w:r>
    </w:p>
    <w:p>
      <w:pPr>
        <w:pStyle w:val="BodyText"/>
      </w:pPr>
      <w:r>
        <w:t xml:space="preserve">Verhoef, P.C., Broekhuizen, T., Bart, Y., Bhattacharya, A., Dong, J.Q., Fabian, N. and Haenlein, M. (2021),</w:t>
      </w:r>
      <w:r>
        <w:t xml:space="preserve"> </w:t>
      </w:r>
      <w:r>
        <w:t xml:space="preserve">“</w:t>
      </w:r>
      <w:r>
        <w:t xml:space="preserve">Digital transformation: A multidisciplinary reflection and research agenda</w:t>
      </w:r>
      <w:r>
        <w:t xml:space="preserve">”</w:t>
      </w:r>
      <w:r>
        <w:t xml:space="preserve">,</w:t>
      </w:r>
      <w:r>
        <w:t xml:space="preserve"> </w:t>
      </w:r>
      <w:r>
        <w:rPr>
          <w:iCs/>
          <w:i/>
        </w:rPr>
        <w:t xml:space="preserve">Journal of Business Research</w:t>
      </w:r>
      <w:r>
        <w:t xml:space="preserve">, Vol. 122, pp. 889-901, doi: 10.1016/j.jbusres.2019.09.022.</w:t>
      </w:r>
    </w:p>
    <w:p>
      <w:pPr>
        <w:pStyle w:val="BodyText"/>
      </w:pPr>
      <w:r>
        <w:t xml:space="preserve">Williamson, O.E. (1985),</w:t>
      </w:r>
      <w:r>
        <w:t xml:space="preserve"> </w:t>
      </w:r>
      <w:r>
        <w:rPr>
          <w:iCs/>
          <w:i/>
        </w:rPr>
        <w:t xml:space="preserve">The economic institutions of capitalism</w:t>
      </w:r>
      <w:r>
        <w:t xml:space="preserve">, Free Press.</w:t>
      </w:r>
    </w:p>
    <w:p>
      <w:pPr>
        <w:pStyle w:val="BodyText"/>
      </w:pPr>
      <w:r>
        <w:t xml:space="preserve">Wolfolds, S.E. and Siegel, J. (2019),</w:t>
      </w:r>
      <w:r>
        <w:t xml:space="preserve"> </w:t>
      </w:r>
      <w:r>
        <w:t xml:space="preserve">“</w:t>
      </w:r>
      <w:r>
        <w:t xml:space="preserve">Misaccounting for endogeneity: The peril of relying on the Heckman two-step method without a valid instrument</w:t>
      </w:r>
      <w:r>
        <w:t xml:space="preserve">”</w:t>
      </w:r>
      <w:r>
        <w:t xml:space="preserve">,</w:t>
      </w:r>
      <w:r>
        <w:t xml:space="preserve"> </w:t>
      </w:r>
      <w:r>
        <w:rPr>
          <w:iCs/>
          <w:i/>
        </w:rPr>
        <w:t xml:space="preserve">Strategic Management Journal</w:t>
      </w:r>
      <w:r>
        <w:t xml:space="preserve">, Vol. 40 No. 3, pp. 432-462, doi: 10.1002/smj.2995.</w:t>
      </w:r>
    </w:p>
    <w:p>
      <w:pPr>
        <w:pStyle w:val="BodyText"/>
      </w:pPr>
      <w:r>
        <w:rPr>
          <w:iCs/>
          <w:i/>
        </w:rPr>
        <w:t xml:space="preserve">Additional contextual sources (cited in Section 1.1 and Section 5.1)</w:t>
      </w:r>
    </w:p>
    <w:p>
      <w:pPr>
        <w:pStyle w:val="BodyText"/>
      </w:pPr>
      <w:r>
        <w:t xml:space="preserve">Enterprise Singapore (2025),</w:t>
      </w:r>
      <w:r>
        <w:t xml:space="preserve"> </w:t>
      </w:r>
      <w:r>
        <w:t xml:space="preserve">“</w:t>
      </w:r>
      <w:r>
        <w:t xml:space="preserve">SWITCH 2025 concludes 10th anniversary milestone with record 25,000 attendees</w:t>
      </w:r>
      <w:r>
        <w:t xml:space="preserve">”</w:t>
      </w:r>
      <w:r>
        <w:t xml:space="preserve">, press release, Enterprise Singapore, available at: https://www.enterprisesg.gov.sg/resources/media-centre/media-releases/2025/november/mr05225_switch-2025-concludes-10th-anniversary-milestone-with-record-25000-attendees-strengthens-position-as-premiere-platform-for-deep-tech-innovation (accessed 20 June 2026).</w:t>
      </w:r>
    </w:p>
    <w:p>
      <w:pPr>
        <w:pStyle w:val="BodyText"/>
      </w:pPr>
      <w:r>
        <w:t xml:space="preserve">GovTech Singapore (2024),</w:t>
      </w:r>
      <w:r>
        <w:t xml:space="preserve"> </w:t>
      </w:r>
      <w:r>
        <w:rPr>
          <w:iCs/>
          <w:i/>
        </w:rPr>
        <w:t xml:space="preserve">Our Digital Government Rankings</w:t>
      </w:r>
      <w:r>
        <w:t xml:space="preserve">, Government Technology Agency of Singapore, available at: https://www.tech.gov.sg/about-us/our-achievements/our-digital-government-rankings/ (accessed 20 June 2026).</w:t>
      </w:r>
    </w:p>
    <w:p>
      <w:pPr>
        <w:pStyle w:val="BodyText"/>
      </w:pPr>
      <w:r>
        <w:t xml:space="preserve">IMDA (2025),</w:t>
      </w:r>
      <w:r>
        <w:t xml:space="preserve"> </w:t>
      </w:r>
      <w:r>
        <w:t xml:space="preserve">“</w:t>
      </w:r>
      <w:r>
        <w:t xml:space="preserve">Asia Tech x Singapore turns five</w:t>
      </w:r>
      <w:r>
        <w:t xml:space="preserve">”</w:t>
      </w:r>
      <w:r>
        <w:t xml:space="preserve">, press release, Infocomm Media Development Authority, available at: https://www.imda.gov.sg/resources/press-releases-factsheets-and-speeches/press-releases/2025/asia-tech-x-singapore-turns-five (accessed 20 June 2026).</w:t>
      </w:r>
    </w:p>
    <w:p>
      <w:pPr>
        <w:pStyle w:val="BodyText"/>
      </w:pPr>
      <w:r>
        <w:t xml:space="preserve">StartupBlink (2025),</w:t>
      </w:r>
      <w:r>
        <w:t xml:space="preserve"> </w:t>
      </w:r>
      <w:r>
        <w:rPr>
          <w:iCs/>
          <w:i/>
        </w:rPr>
        <w:t xml:space="preserve">Global Startup Ecosystem Index 2025</w:t>
      </w:r>
      <w:r>
        <w:t xml:space="preserve">, StartupBlink Research, available at: https://www.startupblink.com/startup-ecosystem/singapore (accessed 20 June 2026).</w:t>
      </w:r>
    </w:p>
    <w:p>
      <w:pPr>
        <w:pStyle w:val="BodyText"/>
      </w:pPr>
      <w:r>
        <w:t xml:space="preserve">StartupBlink (2026),</w:t>
      </w:r>
      <w:r>
        <w:t xml:space="preserve"> </w:t>
      </w:r>
      <w:r>
        <w:rPr>
          <w:iCs/>
          <w:i/>
        </w:rPr>
        <w:t xml:space="preserve">Innovators Business Environment Index 2026</w:t>
      </w:r>
      <w:r>
        <w:t xml:space="preserve">, StartupBlink Research, available at: https://www.startupblink.com/blog/innovators-business-environment-index/ (accessed 20 June 2026).</w:t>
      </w:r>
    </w:p>
    <w:p>
      <w:pPr>
        <w:pStyle w:val="BodyText"/>
      </w:pPr>
      <w:r>
        <w:t xml:space="preserve">World Bank (2024),</w:t>
      </w:r>
      <w:r>
        <w:t xml:space="preserve"> </w:t>
      </w:r>
      <w:r>
        <w:rPr>
          <w:iCs/>
          <w:i/>
        </w:rPr>
        <w:t xml:space="preserve">World Bank Enterprise Survey: Singapore 2023</w:t>
      </w:r>
      <w:r>
        <w:t xml:space="preserve">, World Bank Enterprise Surveys, available at: https://www.enterprisesurveys.org (accessed 20 June 2026).</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www.enterprisesurveys.org" TargetMode="External" /><Relationship Type="http://schemas.openxmlformats.org/officeDocument/2006/relationships/hyperlink" Id="rId60"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55" Target="http://www.enterprisesurveys.org" TargetMode="External" /><Relationship Type="http://schemas.openxmlformats.org/officeDocument/2006/relationships/hyperlink" Id="rId60"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2026-06-24T15:39:11Z</dcterms:created>
  <dcterms:modified xsi:type="dcterms:W3CDTF">2026-06-24T15:39:11Z</dcterms:modified>
</cp:coreProperties>
</file>

<file path=docProps/custom.xml><?xml version="1.0" encoding="utf-8"?>
<Properties xmlns="http://schemas.openxmlformats.org/officeDocument/2006/custom-properties" xmlns:vt="http://schemas.openxmlformats.org/officeDocument/2006/docPropsVTypes"/>
</file>