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Internationalization and Firm Performance across 49 Asian and Pacific Economies: Institutional Regimes, Digital Capabilities, and Managerial Characteristics as Contingency Factors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Global Strategy Journal (GSJ), Wiley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  <w:r>
        <w:t xml:space="preserve"> </w:t>
      </w:r>
      <w:r>
        <w:t xml:space="preserve">- Position: PhD Candidate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huongp1323001@gstudent.ctu.edu.vn</w:t>
      </w:r>
      <w:r>
        <w:t xml:space="preserve"> </w:t>
      </w:r>
      <w:r>
        <w:t xml:space="preserve">- ORCID: 0000-0002-7711-2487</w:t>
      </w:r>
    </w:p>
    <w:p>
      <w:pPr>
        <w:pStyle w:val="BodyText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  <w:r>
        <w:t xml:space="preserve"> </w:t>
      </w:r>
      <w:r>
        <w:t xml:space="preserve">- Title: Associate Professor (PGS.TS.)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patu@ctu.edu.vn</w:t>
      </w:r>
      <w:r>
        <w:t xml:space="preserve"> </w:t>
      </w:r>
      <w:r>
        <w:t xml:space="preserve">- ORCID: 0000-0003-0667-3137</w:t>
      </w:r>
    </w:p>
    <w:bookmarkEnd w:id="21"/>
    <w:bookmarkStart w:id="22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2"/>
    <w:bookmarkStart w:id="23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Generative AI:</w:t>
      </w:r>
      <w:r>
        <w:t xml:space="preserve"> </w:t>
      </w:r>
      <w:r>
        <w:t xml:space="preserve">Grammarly used for language only; no generative AI produced substantive content.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2026-06-27T11:27:36Z</dcterms:created>
  <dcterms:modified xsi:type="dcterms:W3CDTF">2026-06-27T11:27:36Z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