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bfe34f8038b4507e8c70d3a05ca8c31ec14942"/>
    <w:p>
      <w:pPr>
        <w:pStyle w:val="Heading1"/>
      </w:pPr>
      <w:r>
        <w:t xml:space="preserve">Cover Letter — Journal of International Business Policy</w:t>
      </w:r>
    </w:p>
    <w:p>
      <w:pPr>
        <w:pStyle w:val="FirstParagraph"/>
      </w:pPr>
      <w:r>
        <w:t xml:space="preserve">25 June 2026</w:t>
      </w:r>
    </w:p>
    <w:p>
      <w:pPr>
        <w:pStyle w:val="BodyText"/>
      </w:pPr>
      <w:r>
        <w:t xml:space="preserve">Dear Editors,</w:t>
      </w:r>
    </w:p>
    <w:p>
      <w:pPr>
        <w:pStyle w:val="BodyText"/>
      </w:pPr>
      <w:r>
        <w:t xml:space="preserve">We are pleased to submit our manuscript,</w:t>
      </w:r>
      <w:r>
        <w:t xml:space="preserve"> </w:t>
      </w:r>
      <w:r>
        <w:rPr>
          <w:bCs/>
          <w:b/>
        </w:rPr>
        <w:t xml:space="preserve">“</w:t>
      </w:r>
      <w:r>
        <w:rPr>
          <w:bCs/>
          <w:b/>
        </w:rPr>
        <w:t xml:space="preserve">Internationalization and Firm Performance across 49 Asian and Pacific Economies: Institutional Regimes, Digital Capabilities, and Managerial Characteristics as Contingency Factors,</w:t>
      </w:r>
      <w:r>
        <w:rPr>
          <w:bCs/>
          <w:b/>
        </w:rPr>
        <w:t xml:space="preserve">”</w:t>
      </w:r>
      <w:r>
        <w:t xml:space="preserve"> </w:t>
      </w:r>
      <w:r>
        <w:t xml:space="preserve">for consideration in the</w:t>
      </w:r>
      <w:r>
        <w:t xml:space="preserve"> </w:t>
      </w:r>
      <w:r>
        <w:rPr>
          <w:iCs/>
          <w:i/>
        </w:rPr>
        <w:t xml:space="preserve">Journal of International Business Policy (JIBP)</w:t>
      </w:r>
      <w:r>
        <w:t xml:space="preserve">.</w:t>
      </w:r>
    </w:p>
    <w:p>
      <w:pPr>
        <w:pStyle w:val="BodyText"/>
      </w:pPr>
      <w:r>
        <w:t xml:space="preserve">The study analyses internationalization and firm performance across 49 Asian and Pacific economies using harmonised World Bank Enterprise Survey microdata, and shows that institutional regime, not firm strategy alone, governs whether and where the internationalization–performance relationship turns: the inverted-U is sharp in lower-middle transition economies, near-linear at the strongest-institution frontier, and dissolves at the institutional extreme.</w:t>
      </w:r>
    </w:p>
    <w:p>
      <w:pPr>
        <w:pStyle w:val="BodyText"/>
      </w:pPr>
      <w:r>
        <w:rPr>
          <w:bCs/>
          <w:b/>
        </w:rPr>
        <w:t xml:space="preserve">Fit with JIBP.</w:t>
      </w:r>
      <w:r>
        <w:t xml:space="preserve"> </w:t>
      </w:r>
      <w:r>
        <w:t xml:space="preserve">The paper speaks directly to JIBP’s mandate at the intersection of international business and public policy. Its central instrument, a six-regime institutional taxonomy mapped to firm-level outcomes, yields a regime-differentiated policy map rather than a single prescription: build absorptive capacity before pushing export expansion in transition regimes; remove participation-margin barriers at the frontier; and avoid mechanically promoting export intensity where structural trade-cost and institutional constraints make internationalization a survival burden. These are actionable, context-contingent implications for industrial, trade, and digital-economy policy across developing Asia-Pacific.</w:t>
      </w:r>
    </w:p>
    <w:p>
      <w:pPr>
        <w:pStyle w:val="BodyText"/>
      </w:pPr>
      <w:r>
        <w:t xml:space="preserve">The manuscript is original, has not been published, and is not under consideration elsewhere. All authors approved the submission and declare no conflicts of interest. A writing-assistance tool (Grammarly) was used for language only; no generative AI produced substantive content.</w:t>
      </w:r>
    </w:p>
    <w:p>
      <w:pPr>
        <w:pStyle w:val="BodyText"/>
      </w:pPr>
      <w:r>
        <w:t xml:space="preserve">Sincerely,</w:t>
      </w:r>
      <w:r>
        <w:t xml:space="preserve"> </w:t>
      </w:r>
      <w:r>
        <w:t xml:space="preserve">Phan Anh Tú (corresponding author), College of Economics, Can Tho University, Vietnam · patu@ctu.edu.vn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2026-06-27T11:27:36Z</dcterms:created>
  <dcterms:modified xsi:type="dcterms:W3CDTF">2026-06-27T11:27:36Z</dcterms:modified>
</cp:coreProperties>
</file>

<file path=docProps/custom.xml><?xml version="1.0" encoding="utf-8"?>
<Properties xmlns="http://schemas.openxmlformats.org/officeDocument/2006/custom-properties" xmlns:vt="http://schemas.openxmlformats.org/officeDocument/2006/docPropsVTypes"/>
</file>