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author-title-page-p9-india"/>
    <w:p>
      <w:pPr>
        <w:pStyle w:val="Heading1"/>
      </w:pPr>
      <w:r>
        <w:t xml:space="preserve">Author Title Page, P9' India</w:t>
      </w:r>
    </w:p>
    <w:p>
      <w:pPr>
        <w:pStyle w:val="FirstParagraph"/>
      </w:pPr>
      <w:r>
        <w:rPr>
          <w:iCs/>
          <w:i/>
        </w:rPr>
        <w:t xml:space="preserve">(Submitted separately from the blinded manuscript, not for review)</w:t>
      </w:r>
    </w:p>
    <w:bookmarkStart w:id="20" w:name="manuscript-title"/>
    <w:p>
      <w:pPr>
        <w:pStyle w:val="Heading2"/>
      </w:pPr>
      <w:r>
        <w:t xml:space="preserve">Manuscript Title</w:t>
      </w:r>
    </w:p>
    <w:p>
      <w:pPr>
        <w:pStyle w:val="FirstParagraph"/>
      </w:pPr>
      <w:r>
        <w:rPr>
          <w:bCs/>
          <w:b/>
        </w:rPr>
        <w:t xml:space="preserve">When Institutional Transformation Breaks the Threshold: The Disappearance of the Inverted-U Internationalisation–Performance Relationship in Indian Firms, 2014–2025</w:t>
      </w:r>
    </w:p>
    <w:p>
      <w:pPr>
        <w:pStyle w:val="BodyText"/>
      </w:pPr>
      <w:r>
        <w:rPr>
          <w:iCs/>
          <w:i/>
        </w:rPr>
        <w:t xml:space="preserve">Target journal:</w:t>
      </w:r>
      <w:r>
        <w:t xml:space="preserve"> </w:t>
      </w:r>
      <w:r>
        <w:t xml:space="preserve">Management International Review (MIR), Springer Nature (Scopus Q1; IF 6.0+; ABS-3)</w:t>
      </w:r>
    </w:p>
    <w:p>
      <w:pPr>
        <w:pStyle w:val="BodyText"/>
      </w:pPr>
      <w:r>
        <w:rPr>
          <w:iCs/>
          <w:i/>
        </w:rPr>
        <w:t xml:space="preserve">Alternate target:</w:t>
      </w:r>
      <w:r>
        <w:t xml:space="preserve"> </w:t>
      </w:r>
      <w:r>
        <w:t xml:space="preserve">International Journal of Emerging Markets (IJOEM), Emerald Publishing (Scopus Q1; IF 3.0+)</w:t>
      </w:r>
    </w:p>
    <w:p>
      <w:pPr>
        <w:pStyle w:val="BodyText"/>
      </w:pPr>
      <w:r>
        <w:rPr>
          <w:iCs/>
          <w:i/>
        </w:rPr>
        <w:t xml:space="preserve">Submission date (planned):</w:t>
      </w:r>
      <w:r>
        <w:t xml:space="preserve"> </w:t>
      </w:r>
      <w:r>
        <w:t xml:space="preserve">June 2026 (empirical analysis complete)</w:t>
      </w:r>
    </w:p>
    <w:p>
      <w:r>
        <w:pict>
          <v:rect style="width:0;height:1.5pt" o:hralign="center" o:hrstd="t" o:hr="t"/>
        </w:pic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Thùy Hương (Do Thuy Huong)</w:t>
      </w:r>
      <w:r>
        <w:t xml:space="preserve"> </w:t>
      </w:r>
      <w:r>
        <w:t xml:space="preserve">Position: PhD Candidate</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thuyhuongctu@gmail.com</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School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p>
      <w:r>
        <w:pict>
          <v:rect style="width:0;height:1.5pt" o:hralign="center" o:hrstd="t" o:hr="t"/>
        </w:pic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8" w:name="prior-related-work-disclosure"/>
    <w:p>
      <w:pPr>
        <w:pStyle w:val="Heading2"/>
      </w:pPr>
      <w:r>
        <w:t xml:space="preserve">Prior Related Work, Disclosure</w:t>
      </w:r>
    </w:p>
    <w:p>
      <w:pPr>
        <w:pStyle w:val="FirstParagraph"/>
      </w:pPr>
      <w:r>
        <w:t xml:space="preserve">The authors have previously published a related but methodologically and theoretically distinct study on Indian firms:</w:t>
      </w:r>
    </w:p>
    <w:p>
      <w:pPr>
        <w:pStyle w:val="BlockText"/>
      </w:pPr>
      <w:r>
        <w:t xml:space="preserve">Do, T.H., &amp;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DOI:</w:t>
      </w:r>
      <w:r>
        <w:t xml:space="preserve"> </w:t>
      </w:r>
      <w:hyperlink r:id="rId27">
        <w:r>
          <w:rPr>
            <w:rStyle w:val="Hyperlink"/>
          </w:rPr>
          <w:t xml:space="preserve">10.5772/intechopen.1011012</w:t>
        </w:r>
      </w:hyperlink>
    </w:p>
    <w:p>
      <w:pPr>
        <w:pStyle w:val="FirstParagraph"/>
      </w:pPr>
      <w:r>
        <w:t xml:space="preserve">The book chapter used a matched sub-sample of 380 firms (760 firm-year observations), a linear DOI specification, FGLS panel estimation, and an Uppsala + Upper Echelons theoretical lens to test moderation by top-management characteristics (experience, gender). The present manuscript adopts a fundamentally different theoretical lens (Conditional Digital Capability Moderation), empirical specification (quadratic inverted-U with Lind–Mehlum U-test and Paternoster z-test), moderating constructs (TCI + DAI Tier-1 + DAI Tier-2), and sample (full WBES India 2014, 2022, and 2025 with up to 10,479 firms per wave). Full differentiation memo available at</w:t>
      </w:r>
      <w:r>
        <w:t xml:space="preserve"> </w:t>
      </w:r>
      <w:r>
        <w:rPr>
          <w:rStyle w:val="VerbatimChar"/>
        </w:rPr>
        <w:t xml:space="preserve">p9_india/BOOK_CHAPTER_DIFFERENTIATION.md</w:t>
      </w:r>
      <w:r>
        <w:t xml:space="preserve"> </w:t>
      </w:r>
      <w:r>
        <w:t xml:space="preserve">in the replication package.</w:t>
      </w:r>
    </w:p>
    <w:bookmarkEnd w:id="28"/>
    <w:bookmarkStart w:id="29"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WBES India 2014, 2022, and 2025 data.</w:t>
      </w:r>
    </w:p>
    <w:bookmarkEnd w:id="29"/>
    <w:bookmarkStart w:id="30" w:name="conflict-of-interest"/>
    <w:p>
      <w:pPr>
        <w:pStyle w:val="Heading2"/>
      </w:pPr>
      <w:r>
        <w:t xml:space="preserve">Conflict of Interest</w:t>
      </w:r>
    </w:p>
    <w:p>
      <w:pPr>
        <w:pStyle w:val="FirstParagraph"/>
      </w:pPr>
      <w:r>
        <w:t xml:space="preserve">The authors declare no conflict of interest.</w:t>
      </w:r>
    </w:p>
    <w:bookmarkEnd w:id="30"/>
    <w:bookmarkStart w:id="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31"/>
    <w:bookmarkStart w:id="33"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registration. Replication materials available from corresponding author on reasonable request.</w:t>
      </w:r>
    </w:p>
    <w:bookmarkEnd w:id="33"/>
    <w:bookmarkStart w:id="34" w:name="X799c23334c5944d058eaf15944a1408ff96b683"/>
    <w:p>
      <w:pPr>
        <w:pStyle w:val="Heading2"/>
      </w:pPr>
      <w:r>
        <w:t xml:space="preserve">Use of Generative AI in the Writing Process</w:t>
      </w:r>
    </w:p>
    <w:p>
      <w:pPr>
        <w:pStyle w:val="FirstParagraph"/>
      </w:pPr>
      <w:r>
        <w:t xml:space="preserve">In accordance with Springer Nature's policy on the use of generative AI, the authors disclose that generative AI tools were used during manuscript preparation to assist with language editing, structure suggestions, and the assembly of the replication-package documentation. All conceptual framing, hypothesis development, empirical analysis, results interpretation, and final wording were authored by the human authors, who take full responsibility for the content of the publication.</w:t>
      </w:r>
    </w:p>
    <w:bookmarkEnd w:id="34"/>
    <w:bookmarkStart w:id="35"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~8,500 words</w:t>
            </w:r>
          </w:p>
        </w:tc>
      </w:tr>
      <w:tr>
        <w:tc>
          <w:tcPr/>
          <w:p>
            <w:pPr>
              <w:pStyle w:val="Compact"/>
              <w:jc w:val="left"/>
            </w:pPr>
            <w:r>
              <w:t xml:space="preserve">Abstract word count</w:t>
            </w:r>
          </w:p>
        </w:tc>
        <w:tc>
          <w:tcPr/>
          <w:p>
            <w:pPr>
              <w:pStyle w:val="Compact"/>
              <w:jc w:val="left"/>
            </w:pPr>
            <w:r>
              <w:t xml:space="preserve">≤ 250 words (structured Emerald format if IJOEM) / standard MIR if Springer</w:t>
            </w:r>
          </w:p>
        </w:tc>
      </w:tr>
      <w:tr>
        <w:tc>
          <w:tcPr/>
          <w:p>
            <w:pPr>
              <w:pStyle w:val="Compact"/>
              <w:jc w:val="left"/>
            </w:pPr>
            <w:r>
              <w:t xml:space="preserve">Tables</w:t>
            </w:r>
          </w:p>
        </w:tc>
        <w:tc>
          <w:tcPr/>
          <w:p>
            <w:pPr>
              <w:pStyle w:val="Compact"/>
              <w:jc w:val="left"/>
            </w:pPr>
            <w:r>
              <w:t xml:space="preserve">5 (inline)</w:t>
            </w:r>
          </w:p>
        </w:tc>
      </w:tr>
      <w:tr>
        <w:tc>
          <w:tcPr/>
          <w:p>
            <w:pPr>
              <w:pStyle w:val="Compact"/>
              <w:jc w:val="left"/>
            </w:pPr>
            <w:r>
              <w:t xml:space="preserve">Figures</w:t>
            </w:r>
          </w:p>
        </w:tc>
        <w:tc>
          <w:tcPr/>
          <w:p>
            <w:pPr>
              <w:pStyle w:val="Compact"/>
              <w:jc w:val="left"/>
            </w:pPr>
            <w:r>
              <w:t xml:space="preserve">4 (inline)</w:t>
            </w:r>
          </w:p>
        </w:tc>
      </w:tr>
      <w:tr>
        <w:tc>
          <w:tcPr/>
          <w:p>
            <w:pPr>
              <w:pStyle w:val="Compact"/>
              <w:jc w:val="left"/>
            </w:pPr>
            <w:r>
              <w:t xml:space="preserve">References</w:t>
            </w:r>
          </w:p>
        </w:tc>
        <w:tc>
          <w:tcPr/>
          <w:p>
            <w:pPr>
              <w:pStyle w:val="Compact"/>
              <w:jc w:val="left"/>
            </w:pPr>
            <w:r>
              <w:t xml:space="preserve">42</w:t>
            </w:r>
          </w:p>
        </w:tc>
      </w:tr>
      <w:tr>
        <w:tc>
          <w:tcPr/>
          <w:p>
            <w:pPr>
              <w:pStyle w:val="Compact"/>
              <w:jc w:val="left"/>
            </w:pPr>
            <w:r>
              <w:t xml:space="preserve">Keywords</w:t>
            </w:r>
          </w:p>
        </w:tc>
        <w:tc>
          <w:tcPr/>
          <w:p>
            <w:pPr>
              <w:pStyle w:val="Compact"/>
              <w:jc w:val="left"/>
            </w:pPr>
            <w:r>
              <w:t xml:space="preserve">internationalisation–performance; export intensity; threshold stability; India; UPI; digital capability; technological capability; institutional transformation; emerging markets; CDCM</w:t>
            </w:r>
          </w:p>
        </w:tc>
      </w:tr>
      <w:tr>
        <w:tc>
          <w:tcPr/>
          <w:p>
            <w:pPr>
              <w:pStyle w:val="Compact"/>
              <w:jc w:val="left"/>
            </w:pPr>
            <w:r>
              <w:t xml:space="preserve">JEL codes</w:t>
            </w:r>
          </w:p>
        </w:tc>
        <w:tc>
          <w:tcPr/>
          <w:p>
            <w:pPr>
              <w:pStyle w:val="Compact"/>
              <w:jc w:val="left"/>
            </w:pPr>
            <w:r>
              <w:t xml:space="preserve">F23, O33, D22, L25, O53, O25</w:t>
            </w:r>
          </w:p>
        </w:tc>
      </w:tr>
      <w:tr>
        <w:tc>
          <w:tcPr/>
          <w:p>
            <w:pPr>
              <w:pStyle w:val="Compact"/>
              <w:jc w:val="left"/>
            </w:pPr>
            <w:r>
              <w:t xml:space="preserve">Data source</w:t>
            </w:r>
          </w:p>
        </w:tc>
        <w:tc>
          <w:tcPr/>
          <w:p>
            <w:pPr>
              <w:pStyle w:val="Compact"/>
              <w:jc w:val="left"/>
            </w:pPr>
            <w:r>
              <w:t xml:space="preserve">WBES India 2014 (PICS3, N=9,281) + 2022 (BEE, N=9,376) + 2025 (BREADY, N=10,479); pooled raw N=29,136</w:t>
            </w:r>
          </w:p>
        </w:tc>
      </w:tr>
      <w:tr>
        <w:tc>
          <w:tcPr/>
          <w:p>
            <w:pPr>
              <w:pStyle w:val="Compact"/>
              <w:jc w:val="left"/>
            </w:pPr>
            <w:r>
              <w:t xml:space="preserve">Software</w:t>
            </w:r>
          </w:p>
        </w:tc>
        <w:tc>
          <w:tcPr/>
          <w:p>
            <w:pPr>
              <w:pStyle w:val="Compact"/>
              <w:jc w:val="left"/>
            </w:pPr>
            <w:r>
              <w:t xml:space="preserve">Stata 17 (estimation); Python 3.12 (figures + replication checks)</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7" Target="http://dx.doi.org/10.5772/intechopen.1011012" TargetMode="Externa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2" Target="https://www.enterprisesurveys.org" TargetMode="External" /><Relationship Type="http://schemas.openxmlformats.org/officeDocument/2006/relationships/hyperlink" Id="rId23" Target="mailto:patu@ctu.edu.vn" TargetMode="External" /><Relationship Type="http://schemas.openxmlformats.org/officeDocument/2006/relationships/hyperlink" Id="rId21"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2026-06-09T08:19:21Z</dcterms:created>
  <dcterms:modified xsi:type="dcterms:W3CDTF">2026-06-09T08:19:21Z</dcterms:modified>
</cp:coreProperties>
</file>

<file path=docProps/custom.xml><?xml version="1.0" encoding="utf-8"?>
<Properties xmlns="http://schemas.openxmlformats.org/officeDocument/2006/custom-properties" xmlns:vt="http://schemas.openxmlformats.org/officeDocument/2006/docPropsVTypes"/>
</file>