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an</w:t>
      </w:r>
      <w:r>
        <w:t xml:space="preserve"> </w:t>
      </w:r>
      <w:r>
        <w:rPr>
          <w:iCs/>
          <w:i/>
        </w:rPr>
        <w:t xml:space="preserve">Export Cliff Effect</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CaptionedFigure"/>
      </w:pPr>
      <w:r>
        <w:drawing>
          <wp:inline>
            <wp:extent cx="5753100" cy="2401293"/>
            <wp:effectExtent b="0" l="0" r="0" t="0"/>
            <wp:docPr descr="Figure 3: Moderator marginal effects,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2026-05-27T02:52:50Z</dcterms:created>
  <dcterms:modified xsi:type="dcterms:W3CDTF">2026-05-27T02:52:50Z</dcterms:modified>
</cp:coreProperties>
</file>

<file path=docProps/custom.xml><?xml version="1.0" encoding="utf-8"?>
<Properties xmlns="http://schemas.openxmlformats.org/officeDocument/2006/custom-properties" xmlns:vt="http://schemas.openxmlformats.org/officeDocument/2006/docPropsVTypes"/>
</file>