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which combines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 FSTS²_c),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 .303). H1-TCI: technological capability (TCI_z,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 ≈ 84; power ≈ 16%), and provides a corroborating signal rather than independent identification. ICRV context: Singapore,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from β = +3.119 (p = .005) in the Tier-1+2 specification to a smaller and statistically weaker estimate, while the Tier-1+2 full model’s adjusted R² 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H1-TCI level effect):</w:t>
      </w:r>
      <w:r>
        <w:t xml:space="preserve"> </w:t>
      </w:r>
      <w:r>
        <w:t xml:space="preserve">ln(LP)ᵢ = α + β₁ FSTS_cᵢ + β₂ FSTS_c²ᵢ + β₃ TCI_zᵢ + γ·Xᵢ + δ_s + εᵢ</w:t>
      </w:r>
    </w:p>
    <w:p>
      <w:pPr>
        <w:pStyle w:val="BodyText"/>
      </w:pPr>
      <w:r>
        <w:rPr>
          <w:bCs/>
          <w:b/>
        </w:rPr>
        <w:t xml:space="preserve">M4 (TCI moderation,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cross-sectional variation in trade costs, export-promotion eligibility, or broadband-rollout timing is not available within the survey frame,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which is consistent with the digital saturation paradox outlined in the introduction. Their measurable return surfaces only when the scaling demands of high export intensity justify intensive use of digital interfaces and transaction systems. The scale of Singapore’s innovation ecosystem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confirms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The Section 4.5 R1 specification makes this clear: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2026-05-27T02:53:04Z</dcterms:created>
  <dcterms:modified xsi:type="dcterms:W3CDTF">2026-05-27T02:53:04Z</dcterms:modified>
</cp:coreProperties>
</file>

<file path=docProps/custom.xml><?xml version="1.0" encoding="utf-8"?>
<Properties xmlns="http://schemas.openxmlformats.org/officeDocument/2006/custom-properties" xmlns:vt="http://schemas.openxmlformats.org/officeDocument/2006/docPropsVTypes"/>
</file>