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The central unresolved question in research on the internationalization–performance (I–P) relationship is not whether it is non-linear, but what determines where its performance-maximising optimum falls. We develop and test an integrated multi-level account in which the inverted-U is universal in form but jointly conditioned by a firm’s institutional regime and digital capability, the regime governing the curve’s amplitude and digital capability reshaping it as a partial substitute for institutional strength. Using harmonised World Bank Enterprise Survey microdata (baseline N = 82,302; 45 economies; 98 country-year waves, 2003–2025) spanning all six Institutional Context Regime Variation (ICRV) groups, we estimate hierarchical OLS models. The I–P relationship is robustly inverted-U with a turning point near 37% export intensity (Lind–Mehlum p &lt; .001). Institutional regime moderates this optimum: concavity deepens as institutional quality declines, so the over-internationalisation penalty is sharpest in frontier and vulnerable regimes. Digital adoption both raises performance and reshapes the curve, its reshaping potency significantly stronger in weaker-institution regimes (DAI×ICRV p = .049), consistent with digital-for-institutional substitution. The account resolves the fragmented Asian I–P literature: divergent country findings locate firms at different positions on a single optimum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not the sign of the average effect,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conditions that prior single-country and meta-analytic designs have not jointly satisfied.</w:t>
      </w:r>
    </w:p>
    <w:p>
      <w:pPr>
        <w:pStyle w:val="BodyText"/>
      </w:pPr>
      <w:r>
        <w:t xml:space="preserve">This paper addresses that gap. We pool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Our sample spans all six ICRV regime groups, from advanced innovation-driven economies (Singapore, Korea, Taiwan, HongKong, Israel) to Pacific Small Island Developing States (Vanuatu, Solomon Islands, Fiji, Tonga, Samoa, Kiribati, Papua New Guinea, Timor-Leste) and Gulf advanced-resource economies (Bahrain, Kuwait, Qatar, Brunei, Saudi Arabia), classified through the Institutional Context Regime Variation (ICRV) framework that anchors a broader multi-country research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 .026).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(DAI×ICRV, p = .049), positioning foundational digital capability as a partial substitute for institutional infrastructure in converting exports into performance,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the</w:t>
      </w:r>
      <w:r>
        <w:t xml:space="preserve"> </w:t>
      </w:r>
      <w:r>
        <w:rPr>
          <w:bCs/>
          <w:b/>
        </w:rPr>
        <w:t xml:space="preserve">Institutional Context Regime Variation (ICRV)</w:t>
      </w:r>
      <w:r>
        <w:t xml:space="preserve"> </w:t>
      </w:r>
      <w:r>
        <w:t xml:space="preserve">framework,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companion country-specific studies provide prior evidence. For Vietnam (companion study), the inverted-U is confirmed with a turning point at 39–46% using a WBES-based instrumental variable design. For China (companion study), an inverted-U turning point of 47–49% is replicated across specifications with Paternoster cross-cohort tests (p = .545). For Singapore (companion study),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amplification logic carries a built-in scope condition that the multi-economy design lets us test directly. Curve reshaping, as opposed to a parallel level lift, requires that the marginal productivity return to technological capability itself vary along the export-intensity range, which in turn presumes an institutional environment that lets capability translate into differential cross-border returns: enforceable contracts, protectable intellectual property, and functioning technology-transfer channels. Where those complements are present, the amplifier mechanism should operate; where they are unevenly distributed, as they necessarily are across forty-five economies spanning six institutional regimes, firm-level capability and the curvature it would reshape are no longer aligned, and the amplification predicted within any single institutional setting may average out in the pool. We therefore advance H2 as a curve-amplifier hypothesis while recognising a competing prediction, that in an institutionally heterogeneous pool TCI survives as a robust level shifter but its curvature-reshaping signal attenuates. Adjudicating between these is itself informative: a null curvature interaction in the pool, set against the curve moderation documented in single-country studies, would localise capability-driven reshaping as an institutionally contingent rather than universal phenomenon.</w:t>
      </w:r>
    </w:p>
    <w:p>
      <w:pPr>
        <w:pStyle w:val="BodyText"/>
      </w:pPr>
      <w:r>
        <w:t xml:space="preserve">This prediction is consistent with the companion Vietnam study (β(TCI) = +0.179, IV-identified) and the companion China study (β(TCI) increasing from +0.28 to +0.43 across cohorts), both showing TCI as a positive level shifter. the companion Singapore study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related work in this programme, DAI’s effect depends on the interaction of regime quality, FSTS level, and digital market saturation (Authors, 2024). Specifically, in institutionally advanced economies where digital infrastructure is mature, DAI provides universal performance lifts (as in the companion Singapore study: β(DAI) positive and significant). In emerging-economy contexts with substantial selection into digital adoption (the companion Vietnam study: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odyText"/>
      </w:pPr>
      <w:r>
        <w:t xml:space="preserve">The predicted curve signature, a negative FSTS×DAI interaction paired with a positive FSTS²×DAI interaction, admits two non-exclusive readings that the present design cannot fully separate, and we flag the ambiguity rather than assume it away. The first is a substantive coordination mechanism: foundational digital interfaces lower the marginal cost of managing geographically dispersed transactions, so their performance contribution is small for domestically oriented firms but rises precisely where cross-border coordination demands are heaviest, flattening the descending limb. The second is a selection or sunk-cost artefact: firms that adopt low-cost digital tools may be disproportionately those facing binding productivity constraints, or may carry near-term adoption costs not yet amortised, depressing the ascending-limb slope without any causal coordination benefit. Both mechanisms generate the same observable curvature, so a significant interaction is consistent with either; we return to this identification limit in the discussion and treat the level effect, for which selection works against rather than toward the hypothesis, as the more robustly interpretable component.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related work in this programme: six groups ranging from Group I (Advanced innovation-driven: Singapore, Korea, Taiwan, Israel) to Group VI (SIDS and small open economies: Vanuatu, Solomon Islands, Timor-Leste). Higher ICRV group numbers denote weaker institutions.</w:t>
      </w:r>
    </w:p>
    <w:p>
      <w:pPr>
        <w:pStyle w:val="BodyText"/>
      </w:pPr>
      <w:r>
        <w:t xml:space="preserve">It is important to separate two observationally distinct ways in which institutions can moderate an inverted-U, because they carry different empirical signatures and the prior literature has not kept them apart. The first is</w:t>
      </w:r>
      <w:r>
        <w:t xml:space="preserve"> </w:t>
      </w:r>
      <w:r>
        <w:rPr>
          <w:iCs/>
          <w:i/>
        </w:rPr>
        <w:t xml:space="preserve">location</w:t>
      </w:r>
      <w:r>
        <w:t xml:space="preserve"> </w:t>
      </w:r>
      <w:r>
        <w:t xml:space="preserve">moderation: institutions shift the performance-maximising turning point along the FSTS axis, so the optimum occurs at a systematically different export share across regimes. The second is</w:t>
      </w:r>
      <w:r>
        <w:t xml:space="preserve"> </w:t>
      </w:r>
      <w:r>
        <w:rPr>
          <w:iCs/>
          <w:i/>
        </w:rPr>
        <w:t xml:space="preserve">amplitude</w:t>
      </w:r>
      <w:r>
        <w:t xml:space="preserve"> </w:t>
      </w:r>
      <w:r>
        <w:t xml:space="preserve">moderation: institutions govern the concavity, or sharpness, of the curve, holding the approximate location of the peak roughly constant while making the over-internationalisation penalty steeper or flatter. A transaction-cost reading of North (1990) is consistent with either: weaker institutions raise the coordination and contracting costs that bend the curve downward at high export commitment, which can manifest as an earlier peak, a sharper concave decline, or both. Because the two signatures are not equivalent, we state H5 at the level of curve moderation and treat the</w:t>
      </w:r>
      <w:r>
        <w:t xml:space="preserve"> </w:t>
      </w:r>
      <w:r>
        <w:rPr>
          <w:iCs/>
          <w:i/>
        </w:rPr>
        <w:t xml:space="preserve">form</w:t>
      </w:r>
      <w:r>
        <w:t xml:space="preserve"> </w:t>
      </w:r>
      <w:r>
        <w:t xml:space="preserve">the moderation takes, location versus amplitude, as an empirical question the multi-economy design is built to adjudicate. We expect positive FSTS×ICRV and negative FSTS²×ICRV interactions in Group III–VI relative to Group I (a higher Group I baseline coefficient), the negative quadratic interaction implying a deepening concavity as institutions weaken.</w:t>
      </w:r>
    </w:p>
    <w:p>
      <w:pPr>
        <w:pStyle w:val="BlockText"/>
      </w:pPr>
      <w:r>
        <w:rPr>
          <w:bCs/>
          <w:b/>
        </w:rPr>
        <w:t xml:space="preserve">H5:</w:t>
      </w:r>
      <w:r>
        <w:t xml:space="preserve"> </w:t>
      </w:r>
      <w:r>
        <w:t xml:space="preserve">The ICRV institutional regime systematically moderates the I–P curve. As institutional quality declines (higher ICRV group number), the concavity of the inverted-U deepens, so the marginal penalty to over-internationalisation is sharper in weaker-institution regimes; whether this operates primarily by relocating the turning point or by amplifying the curvature is adjudicated empirically.</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research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We use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We adopt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we exclude economies that straddle the Europe–Asia boundary and are conventionally treated as transcontinental: Türkiye and Cyprus, and the three South Caucasus economies (Armenia, Azerbaijan, Georgia),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p>
      <w:pPr>
        <w:pStyle w:val="BodyText"/>
      </w:pPr>
      <w:r>
        <w:rPr>
          <w:bCs/>
          <w:b/>
        </w:rPr>
        <w:t xml:space="preserve">Identification and the interpretation of estimates.</w:t>
      </w:r>
      <w:r>
        <w:t xml:space="preserve"> </w:t>
      </w:r>
      <w:r>
        <w:t xml:space="preserve">The WBES is cross-sectional within each wave, so our coefficients describe within-survey-year associations rather than panel-tracked causal effects, and we adopt the disciplined-language posture recommended for design-constrained inference (Meyer, van Witteloostuijn, &amp; Beugelsdijk, 2017), reporting associations throughout. Two endogeneity channels warrant explicit attention. The first is selection into exporting: more productive firms are more likely to export and to export intensively, which biases the</w:t>
      </w:r>
      <w:r>
        <w:t xml:space="preserve"> </w:t>
      </w:r>
      <w:r>
        <w:rPr>
          <w:iCs/>
          <w:i/>
        </w:rPr>
        <w:t xml:space="preserve">linear</w:t>
      </w:r>
      <w:r>
        <w:t xml:space="preserve"> </w:t>
      </w:r>
      <w:r>
        <w:t xml:space="preserve">FSTS coefficient upward. This channel, however, operates primarily on the level and slope rather than on the sign of the curvature; for selection to manufacture a spurious inverted-U it would have to induce a non-monotone relationship between unobserved productivity and export intensity, a far more demanding condition than simple positive sorting. The second is reverse causality between digital adoption and productivity, which would inflate the DAI</w:t>
      </w:r>
      <w:r>
        <w:t xml:space="preserve"> </w:t>
      </w:r>
      <w:r>
        <w:rPr>
          <w:iCs/>
          <w:i/>
        </w:rPr>
        <w:t xml:space="preserve">main</w:t>
      </w:r>
      <w:r>
        <w:t xml:space="preserve"> </w:t>
      </w:r>
      <w:r>
        <w:t xml:space="preserve">effect; because selection of productivity-constrained firms into low-cost digital tools (Section 2.4) works</w:t>
      </w:r>
      <w:r>
        <w:t xml:space="preserve"> </w:t>
      </w:r>
      <w:r>
        <w:rPr>
          <w:iCs/>
          <w:i/>
        </w:rPr>
        <w:t xml:space="preserve">against</w:t>
      </w:r>
      <w:r>
        <w:t xml:space="preserve"> </w:t>
      </w:r>
      <w:r>
        <w:t xml:space="preserve">a positive level coefficient, the estimated DAI premium is, if anything, conservative. We bound these concerns three ways: the country-year fixed-effects benchmark (M5) absorbs all unobserved time-invariant and wave-specific country heterogeneity, including price levels, exchange-rate regimes, and macro shocks, and the inverted-U survives it (TP = 39.5%, LM p &lt; .001); the firm-level instrumental-variable design deployed in the Vietnam study (companion study) returns a null instrumented DAI coefficient, corroborating that the OLS digital premium is partly selection-driven; and the curvature result is reproduced under the most demanding three-way specification (M11). A firm-level IV is not available at scale across all forty-five economies, which we record as a boundary on causal interpretation.</w:t>
      </w:r>
    </w:p>
    <w:bookmarkEnd w:id="32"/>
    <w:bookmarkStart w:id="33" w:name="sample-sizes"/>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 ≈ 36,481; adding DAI (M8) N ≈ 36,372; manager models (M9) N ≈ 34,228; ICRV-moderation (M10) N ≈ 30,360; full three-way (M11) N ≈ 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 ≈ 0), reflecting the fact that most WBES firms are domestically oriented; exporters (FSTS &gt; 0) represent approximately 18% of the sample. Labour productivity ranges from ln(LP) ≈ 9 (Kiribati, Timor-Leste) to ln(LP) ≈ 20 (Vietnam, Korea,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+1.211 (p &lt; .001) and β₂ = −1.630 (p &lt; .001), consistent with an inverted-U. Following Haans, Pieters, and He (2016), all four formal conditions for a genuine inverted-U are satisfied in M2: (C1) β₁ = +1.211 (p &lt; .001), confirming a positive ascending limb; (C2) β₂ = −1.630 (p &lt; .001), confirming concavity; (C3) the turning point TP* ≈ 37.1% lies well within the observed FSTS range [0%, 100%]; and (C4) the marginal effect of internationalization is positive at the lower data boundary (FSTS ≈ 0%, slope ≈ +1.21) and negative at the upper boundary (FSTS ≈ 100%, slope ≈ −2.05), with opposite signs confirmed by the Lind–Mehlum (2010) u-test (joint p &lt; .001). The inverted-U remains significant when controls are added (M3: TP = 34.1%, LM p &lt; .001) and when country-year fixed effects absorb all unobserved time-varying country heterogeneity (M5: TP = 39.5%, LM p &lt; .001, adjR² = .671). The consistency of the turning point across M2, M3, and M5, ranging from 34.1% to 39.5%, provides strong evidence that the inverted-U is not an artefact of omitted country-level confounders. Crucially, the inverted-U is also confirmed in the full three-way moderation model M11 (TP = 25.7%, LM p =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+0.342, p &lt; .001) raises adjR² from .017 to .027. The interaction model M7 adds FSTS×TCI and FSTS²×TCI. Results show:</w:t>
      </w:r>
    </w:p>
    <w:p>
      <w:pPr>
        <w:numPr>
          <w:ilvl w:val="0"/>
          <w:numId w:val="1001"/>
        </w:numPr>
        <w:pStyle w:val="Compact"/>
      </w:pPr>
      <w:r>
        <w:t xml:space="preserve">TCI main effect: β = +0.372 (p &lt; .001), higher TCI raises baseline performance</w:t>
      </w:r>
    </w:p>
    <w:p>
      <w:pPr>
        <w:numPr>
          <w:ilvl w:val="0"/>
          <w:numId w:val="1001"/>
        </w:numPr>
        <w:pStyle w:val="Compact"/>
      </w:pPr>
      <w:r>
        <w:t xml:space="preserve">FSTS×TCI: β = −0.090 (NS), the ascending limb interaction is not significant</w:t>
      </w:r>
    </w:p>
    <w:p>
      <w:pPr>
        <w:numPr>
          <w:ilvl w:val="0"/>
          <w:numId w:val="1001"/>
        </w:numPr>
        <w:pStyle w:val="Compact"/>
      </w:pPr>
      <w:r>
        <w:t xml:space="preserve">FSTS²×TCI: β = −0.227 (NS in M7; remains NS in M8, p = .077)</w:t>
      </w:r>
    </w:p>
    <w:p>
      <w:pPr>
        <w:pStyle w:val="FirstParagraph"/>
      </w:pPr>
      <w:r>
        <w:t xml:space="preserve">The joint F-test for the two TCI interaction terms is not significant across M7–M9. The inverted-U remains confirmed in M7 (TP = 34.2%, LM p &lt; .001). A one-SD increase in TCI raises labour productivity by exp(0.372) − 1 ≈ 45%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the companion Vietnam and China studies.</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+0.172, p &lt; .001), consistent with approximately a 19% performance premium for digitally active firms (exp(0.172) − 1 ≈ 19%). Strikingly, both DAI interaction terms are statistically significant in M8: FSTS×DAI = −0.588 (p &lt; .001,</w:t>
      </w:r>
      <w:r>
        <w:t xml:space="preserve"> </w:t>
      </w:r>
      <w:r>
        <w:rPr>
          <w:bCs/>
          <w:b/>
          <w:iCs/>
          <w:i/>
        </w:rPr>
        <w:t xml:space="preserve">) and FSTS²×DAI = +0.726 (p = .002,</w:t>
      </w:r>
      <w:r>
        <w:rPr>
          <w:bCs/>
          <w:b/>
          <w:iCs/>
          <w:i/>
        </w:rPr>
        <w:t xml:space="preserve"> </w:t>
      </w:r>
      <w:r>
        <w:rPr>
          <w:iCs/>
          <w:i/>
        </w:rPr>
        <w:t xml:space="preserve">). The interaction pattern, negative FSTS×DAI and positive FSTS²×DAI,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−0.786 (p &lt; .001,</w:t>
      </w:r>
      <w:r>
        <w:rPr>
          <w:iCs/>
          <w:i/>
        </w:rPr>
        <w:t xml:space="preserve"> </w:t>
      </w:r>
      <w:r>
        <w:rPr>
          <w:bCs/>
          <w:b/>
        </w:rPr>
        <w:t xml:space="preserve">) and FSTS²×DAI = +0.982 (p &lt; .001,</w:t>
      </w:r>
      <w:r>
        <w:rPr>
          <w:bCs/>
          <w:b/>
        </w:rPr>
        <w:t xml:space="preserve"> </w:t>
      </w:r>
      <w:r>
        <w:t xml:space="preserve">*).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compressing the ascending limb and attenuating the performance decline at high FSTS,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+0.018, p &lt; .001) and female top manager (β = +0.202, p &lt; .001) both raise firm performance independently of FSTS in M9. The experience effect implies approximately 2% higher labour productivity per additional year of sectoral experience; the female top manager effect implies approximately a 22% performance premium (exp(0.202) − 1 ≈ 22%). The FSTS×manager_experience interaction is not significant in either M9 (β = +0.005, p = .29) or M11 (β = +0.007, p =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+0.592, p &lt; .001) indicates that, controlling for TCI, DAI, and firm characteristics, each step up the ICRV scale (from Group I to VI, i.e., from stronger to weaker institutions) is associated with approximately an 81% higher labour productivity level (exp(0.592) − 1 ≈ 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+1.849, p &lt; .001) and FSTS²×ICRV (β = −2.932, p &lt; .001). The negative FSTS²×ICRV 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even mildly convex within the observed range,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25.7%, LM p = .026), establishing that the inverted-U shape holds even in the most demanding specification. The DAI×ICRV interaction (β = +0.052, p = .049, *) is statistically significant, consistent with the CDCM prediction that digital capabilities provide stronger per-unit performance effects in weaker institutional environments. The three-way FSTS×DAI×ICRV term (β = −0.016, NS) is not significant, indicating that the DAI curve-reshaping effect documented in M8/M9 does not systematically vary across the ICRV regime gradient in this specification.</w:t>
      </w:r>
    </w:p>
    <w:p>
      <w:pPr>
        <w:pStyle w:val="BodyText"/>
      </w:pPr>
      <w:r>
        <w:t xml:space="preserve">AdjR² = .057 in M11 (vs. .039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.049), supporting regime-contingent digital effects. The three-way FSTS curve-reshaping via DAI×ICRV does not reach statistical significance, the WBES DAI measure’s limited dimensionality (Tier 1–2 only) likely constrains detection of the full CDCM-predicted interaction.</w:t>
      </w:r>
    </w:p>
    <w:bookmarkEnd w:id="41"/>
    <w:bookmarkStart w:id="42" w:name="multidimensional-performance-robustness"/>
    <w:p>
      <w:pPr>
        <w:pStyle w:val="Heading3"/>
      </w:pPr>
      <w:r>
        <w:t xml:space="preserve">4.8 Multidimensional Performance Robustness</w:t>
      </w:r>
    </w:p>
    <w:p>
      <w:pPr>
        <w:pStyle w:val="FirstParagraph"/>
      </w:pPr>
      <w:r>
        <w:t xml:space="preserve">Firm performance is multidimensional (Combs, Crook, &amp; Shook, 2005; Richard, Devinney, Yip, &amp; Johnson, 2009), so we test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(FSTS² β = −0.80, p = .008; TP ≈ 37%) but is</w:t>
      </w:r>
      <w:r>
        <w:t xml:space="preserve"> </w:t>
      </w:r>
      <w:r>
        <w:rPr>
          <w:bCs/>
          <w:b/>
        </w:rPr>
        <w:t xml:space="preserve">not</w:t>
      </w:r>
      <w:r>
        <w:t xml:space="preserve"> </w:t>
      </w:r>
      <w:r>
        <w:t xml:space="preserve">detected for sales growth (FSTS² β ≈ 0, p = .16; n.s.). This divergence is theoretically coherent rather than contradictory: the relocated-optimum mechanism concerns the</w:t>
      </w:r>
      <w:r>
        <w:t xml:space="preserve"> </w:t>
      </w:r>
      <w:r>
        <w:rPr>
          <w:iCs/>
          <w:i/>
        </w:rPr>
        <w:t xml:space="preserve">value captured per unit of internationalisation</w:t>
      </w:r>
      <w:r>
        <w:t xml:space="preserve">, a stock property of productivity,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we flag this as a measurement limitation. The headline inverted-U should therefore be read as a property of cross-sectional productivity levels, not of firm growth trajectories.</w:t>
      </w:r>
    </w:p>
    <w:p>
      <w:r>
        <w:pict>
          <v:rect style="width:0;height:1.5pt" o:hralign="center" o:hrstd="t" o:hr="t"/>
        </w:pict>
      </w:r>
    </w:p>
    <w:bookmarkEnd w:id="42"/>
    <w:bookmarkEnd w:id="43"/>
    <w:bookmarkStart w:id="51" w:name="discussion"/>
    <w:p>
      <w:pPr>
        <w:pStyle w:val="Heading2"/>
      </w:pPr>
      <w:r>
        <w:t xml:space="preserve">5. Discussion</w:t>
      </w:r>
    </w:p>
    <w:bookmarkStart w:id="44" w:name="X578d84a21b3accaf1a7ada71f01c76c882cdaa8"/>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the</w:t>
      </w:r>
      <w:r>
        <w:t xml:space="preserve"> </w:t>
      </w:r>
      <w:r>
        <w:rPr>
          <w:bCs/>
          <w:b/>
        </w:rPr>
        <w:t xml:space="preserve">relocated-optimum thesis</w:t>
      </w:r>
      <w:r>
        <w:t xml:space="preserve"> </w:t>
      </w:r>
      <w:r>
        <w:t xml:space="preserve">reframes the two-decade debate over the shape of the I–P curve. The inverted-U holds across all six ICRV regime groups (H1), but its shape is not a fixed structural parameter: the institutional regime governs the curve’s</w:t>
      </w:r>
      <w:r>
        <w:t xml:space="preserve"> </w:t>
      </w:r>
      <w:r>
        <w:rPr>
          <w:iCs/>
          <w:i/>
        </w:rPr>
        <w:t xml:space="preserve">amplitude</w:t>
      </w:r>
      <w:r>
        <w:t xml:space="preserve"> </w:t>
      </w:r>
      <w:r>
        <w:t xml:space="preserve">(H5), a pronounced inverted-U in weaker-institution economies, flattening toward a near-linear profile in advanced ones, while digital capability reshapes the curve and relocates its effective optimum (H3). This dissolves the apparent contradiction between studies reporting positive-linear, inverted-U, and null effects (Section 5.2): they observe a single underlying curve whose sharpness, and whose payoff at high export intensity, are jointly set by institutional quality and digital capability. The contribution is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 DAI×ICRV interaction (β = +0.052, p =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This is, to our knowledge, the first multi-economy firm-level evidence that digitalisation and institutional quality act as substitutes rather than complements in the internationalization-to-performance conversion.</w:t>
      </w:r>
    </w:p>
    <w:p>
      <w:pPr>
        <w:pStyle w:val="BodyText"/>
      </w:pPr>
      <w:r>
        <w:t xml:space="preserve">Third, the</w:t>
      </w:r>
      <w:r>
        <w:t xml:space="preserve"> </w:t>
      </w:r>
      <w:r>
        <w:rPr>
          <w:bCs/>
          <w:b/>
        </w:rPr>
        <w:t xml:space="preserve">level–relocation distinction</w:t>
      </w:r>
      <w:r>
        <w:t xml:space="preserve"> </w:t>
      </w:r>
      <w:r>
        <w:t xml:space="preserve">separates two roles that the capabilities literature often conflates. Technological capability raises the performance level across the curve but does not reliably relocate the optimum in the pooled sample (Section 5.3), whereas institutional regime relocates the optimum without uniformly lifting the level. Distinguishing optimum-relocating forces from level-shifting forces clarifies why country-specific capability findings (e.g., TCI moderation in the companion Vietnam and China studies)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dimensions that the varieties-of-capitalism (Hall &amp; Soskice, 2001) and institutional-voids (Khanna &amp; Palepu, 1997) traditions treat separately, ICRV predicts both the slope and the curvature of the I–P function across 45 economies, providing a transportable scaffold for theorising firm strategy under heterogeneous institutional regimes.</w:t>
      </w:r>
    </w:p>
    <w:bookmarkEnd w:id="44"/>
    <w:bookmarkStart w:id="45" w:name="resolution-of-cross-study-heterogeneity"/>
    <w:p>
      <w:pPr>
        <w:pStyle w:val="Heading3"/>
      </w:pPr>
      <w:r>
        <w:t xml:space="preserve">5.2 Resolution of Cross-Study Heterogeneity</w:t>
      </w:r>
    </w:p>
    <w:p>
      <w:pPr>
        <w:pStyle w:val="FirstParagraph"/>
      </w:pPr>
      <w:r>
        <w:t xml:space="preserve">The central finding, an inverted-U with a turning point at approximately 37% foreign sales intensity, robust across 45 economies and six ICRV groups,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the companion Vietnam and China studies,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and the significant DAI×ICRV interaction (β = +0.052, p = .049) in M11,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p>
      <w:pPr>
        <w:pStyle w:val="BodyText"/>
      </w:pPr>
      <w:r>
        <w:t xml:space="preserve">The pattern of significance across the two- and three-way terms is itself substantively informative and should be read as a structural boundary rather than a weakness of the evidence. The two-way DAI×ICRV interaction is significant (β = +0.052, p = .049) while the three-way FSTS×DAI×ICRV term is null: digital capability raises and protects the performance</w:t>
      </w:r>
      <w:r>
        <w:t xml:space="preserve"> </w:t>
      </w:r>
      <w:r>
        <w:rPr>
          <w:iCs/>
          <w:i/>
        </w:rPr>
        <w:t xml:space="preserve">level</w:t>
      </w:r>
      <w:r>
        <w:t xml:space="preserve"> </w:t>
      </w:r>
      <w:r>
        <w:t xml:space="preserve">more in weaker-institution regimes, but it does not detectably reshape the</w:t>
      </w:r>
      <w:r>
        <w:t xml:space="preserve"> </w:t>
      </w:r>
      <w:r>
        <w:rPr>
          <w:iCs/>
          <w:i/>
        </w:rPr>
        <w:t xml:space="preserve">curvature</w:t>
      </w:r>
      <w:r>
        <w:t xml:space="preserve"> </w:t>
      </w:r>
      <w:r>
        <w:t xml:space="preserve">of the I–P function across the institutional gradient. We interpret this asymmetry as the signature of substitution operating at the level rather than the shape. The substitution mechanism, foundational digital tools standing in for the contract-enforcement and market-information functions that strong institutions otherwise supply, is powerful enough to lift the productivity floor where institutions are thin, but the surface-level Tier-1 and Tier-2 capabilities the WBES captures (a static website, an electronic-payment facility) are too thin an instrument to bend the second-order curvature of the export-performance trade-off in high-friction markets. The two-way result is therefore best read as a strong directional signal at the level margin rather than a settled magnitude, and the null three-way as a boundary on what surface digitalisation can accomplish, not as a refutation of the substitution logic. Reading the borderline p = .049 with appropriate caution, we frame the substitution claim as the most theoretically consequential and empirically supported component of the digital story, while leaving the curvature-reshaping potential of richer (Tier 3–4) digital capabilities as an open question for future data.</w:t>
      </w:r>
    </w:p>
    <w:bookmarkEnd w:id="47"/>
    <w:bookmarkStart w:id="48" w:name="managerial-heterogeneity"/>
    <w:p>
      <w:pPr>
        <w:pStyle w:val="Heading3"/>
      </w:pPr>
      <w:r>
        <w:t xml:space="preserve">5.5 Managerial Heterogeneity</w:t>
      </w:r>
    </w:p>
    <w:p>
      <w:pPr>
        <w:pStyle w:val="FirstParagraph"/>
      </w:pPr>
      <w:r>
        <w:t xml:space="preserve">The consistent and significant performance premium for female top managers (approximately 22–23%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recent World Bank studies corroborate the premium from a supply-side perspective. In Vietnam, one of our largest ICRV Group IV contributors, with a female-to-male labour force participation ratio of 88.61% (World Bank Prosperity Data360, 2025),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limitations"/>
    <w:p>
      <w:pPr>
        <w:pStyle w:val="Heading3"/>
      </w:pPr>
      <w:r>
        <w:t xml:space="preserve">5.6 Limitations</w:t>
      </w:r>
    </w:p>
    <w:p>
      <w:pPr>
        <w:pStyle w:val="FirstParagraph"/>
      </w:pPr>
      <w:r>
        <w:t xml:space="preserve">Five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the companion Vietnam study to address selection into exporting is not available at scale across all forty-five economies, and as Section 2.4 notes the negative ascending-limb interaction for digital adoption cannot be fully separated from a selection-driven reading; the level effects, against which selection works, are the more securely interpretable estimates.</w:t>
      </w:r>
    </w:p>
    <w:p>
      <w:pPr>
        <w:pStyle w:val="BodyText"/>
      </w:pPr>
      <w:r>
        <w:t xml:space="preserve">Second, the DAI measure is limited to Tier 1 (website) and Tier 2 (e-payment) capabilities in most WBES waves; the richer digital-capability dimensions captured in more recent BEE-schema waves are not yet available for the majority of economies. This measurement floor is the most plausible explanation for the null three-way curvature interaction (Section 5.4) and bounds the substitution claim to the surface-digital layer.</w:t>
      </w:r>
    </w:p>
    <w:p>
      <w:pPr>
        <w:pStyle w:val="BodyText"/>
      </w:pPr>
      <w:r>
        <w:t xml:space="preserve">Third, the ICRV construct, although central to the contribution, is an author-constructed ordinal scale and warrants validation scrutiny. The strongly positive ICRV level coefficient (β = +0.592) reflects higher nominal sales-per-worker in lower-price-level economies rather than a substantive institutional level effect, so ICRV partly co-varies with the development and price level of an economy. We mitigate this in two ways, by absorbing price levels through country-year fixed effects in the level benchmark (M5) and by reading the institutional claim off the</w:t>
      </w:r>
      <w:r>
        <w:t xml:space="preserve"> </w:t>
      </w:r>
      <w:r>
        <w:rPr>
          <w:iCs/>
          <w:i/>
        </w:rPr>
        <w:t xml:space="preserve">interaction</w:t>
      </w:r>
      <w:r>
        <w:t xml:space="preserve"> </w:t>
      </w:r>
      <w:r>
        <w:t xml:space="preserve">terms rather than the main effect; nevertheless, the ordinal scale cannot fully disentangle institutional quality from broader development. Future work should validate ICRV against external governance indices (for example, the Worldwide Governance Indicators) and test whether a continuous institutional-quality measure reproduces the concavity gradient.</w:t>
      </w:r>
    </w:p>
    <w:p>
      <w:pPr>
        <w:pStyle w:val="BodyText"/>
      </w:pPr>
      <w:r>
        <w:t xml:space="preserve">Fourth, the sampling frame is deliberately Asia-Pacific, so the relocated-optimum and substitution results should be generalised to other regions only with caution until replicated; the transcontinental-exclusion robustness check (Section 3.1) guards internal consistency but not external transportability. Fifth, productivity and the focal predictors are drawn from the same firm survey instrument, raising a common-source concern, although the objective, register-style nature of the items (sales, worker counts, certification, website presence) limits its severity.</w:t>
      </w:r>
    </w:p>
    <w:p>
      <w:pPr>
        <w:pStyle w:val="BodyText"/>
      </w:pPr>
      <w:r>
        <w:t xml:space="preserve">A final coverage note: the dataset covers 45 ICRV-mapped economies across six regime groups; Oman’s only available wave (2003) lacks the core productivity and export-intensity items and so does not enter the estimation sample. Future waves of the Oman WBES would sharpen Group II estimates.</w:t>
      </w:r>
    </w:p>
    <w:bookmarkEnd w:id="49"/>
    <w:bookmarkStart w:id="50" w:name="practical-and-policy-implications"/>
    <w:p>
      <w:pPr>
        <w:pStyle w:val="Heading3"/>
      </w:pPr>
      <w:r>
        <w:t xml:space="preserve">5.7 Practical and Policy Implications</w:t>
      </w:r>
    </w:p>
    <w:p>
      <w:pPr>
        <w:pStyle w:val="FirstParagraph"/>
      </w:pPr>
      <w:r>
        <w:t xml:space="preserve">The relocated-optimum logic translates into a sequencing rule for managers rather than a uniform prescription to internationalise. Because the performance-maximising export intensity sits near 37% of sales in the pooled frame, firms below that threshold are on the ascending limb, where the binding task is removing barriers to export expansion and the marginal return to additional foreign sales is positive. Firms already beyond their regime-specific optimum face a different problem: the constraint is coordination capacity, not market access, and further export commitment erodes productivity, most steeply in weaker-institution regimes where the concavity is sharpest. The same model therefore prescribes opposite actions, expand versus consolidate, depending on a firm’s position on a curve whose location managers can in principle estimate from their own export share and institutional context.</w:t>
      </w:r>
    </w:p>
    <w:p>
      <w:pPr>
        <w:pStyle w:val="BodyText"/>
      </w:pPr>
      <w:r>
        <w:t xml:space="preserve">For digital strategy, the substitution result implies that foundational digitalisation is a higher-leverage instrument precisely where institutions are weakest. In frontier and vulnerable regimes, basic digital interfaces partly stand in for the contract-enforcement and market-information functions that thin institutions fail to provide, so the per-unit performance return to adoption is largest there; in digitally saturated advanced economies the same investment is closer to a competitive-parity hygiene factor. Managers in weak-institution settings should thus sequence foundational digital adoption alongside, not after, export expansion, while those in advanced economies should look beyond Tier 1–2 tools to deeper digital capabilities for differentiation. Technological capability, by contrast, is best read as a baseline performance lever that lifts the floor across all export intensities rather than a curve-shifting intervention.</w:t>
      </w:r>
    </w:p>
    <w:p>
      <w:pPr>
        <w:pStyle w:val="BodyText"/>
      </w:pPr>
      <w:r>
        <w:t xml:space="preserve">For policy, the findings sharpen where digitalisation support yields the highest social return. Programmes that subsidise or de-risk foundational firm digital adoption are likely to generate stronger firm-level productivity gains in frontier and small-island economies than equivalent programmes in advanced ones, making digital public infrastructure a complement to, and partial near-term substitute for, the slower work of institutional reform. At the same time, the steep descending-limb penalty in weak-institution regimes cautions against export-promotion policies that push firms toward maximal foreign-sales intensity irrespective of coordination capacity; institutional development that flattens the concavity remains the first-best lever for raising the returns to deep internationalisation.</w:t>
      </w:r>
    </w:p>
    <w:p>
      <w:r>
        <w:pict>
          <v:rect style="width:0;height:1.5pt" o:hralign="center" o:hrstd="t" o:hr="t"/>
        </w:pict>
      </w:r>
    </w:p>
    <w:bookmarkEnd w:id="50"/>
    <w:bookmarkEnd w:id="51"/>
    <w:bookmarkStart w:id="52" w:name="conclusions"/>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peaking at approximately 37% export intensity, yet its optimum is jointly conditioned by institutional regime and digital capability, institutions governing the curve’s amplitude and digital capability reshaping it,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a curve reshaper, and its returns are largest where institutions are weakest (DAI×ICRV, p = .049), making digitalisation a particularly high-leverage instrument in frontier and vulnerable regimes.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the sample’s largest Group IV economy,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2"/>
    <w:bookmarkStart w:id="53" w:name="data-availability-and-acknowledgements"/>
    <w:p>
      <w:pPr>
        <w:pStyle w:val="Heading2"/>
      </w:pPr>
      <w:r>
        <w:t xml:space="preserve">Data Availability and Acknowledgements</w:t>
      </w:r>
    </w:p>
    <w:p>
      <w:pPr>
        <w:pStyle w:val="FirstParagraph"/>
      </w:pPr>
      <w:r>
        <w:t xml:space="preserve">The microdata analysed in this study are publicly available from the World Bank Enterprise Surveys (www.enterprisesurveys.org). The authors gratefully acknowledge the World Bank Enterprise Analysis Unit for collecting and curating the data; the findings, interpretations, and conclusions are those of the authors and do not necessarily reflect the views of the World Bank. Harmonisation code and replication materials are available from the authors on reasonable request.</w:t>
      </w:r>
    </w:p>
    <w:p>
      <w:r>
        <w:pict>
          <v:rect style="width:0;height:1.5pt" o:hralign="center" o:hrstd="t" o:hr="t"/>
        </w:pict>
      </w:r>
    </w:p>
    <w:bookmarkEnd w:id="53"/>
    <w:bookmarkStart w:id="54"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Authors. (2024).</w:t>
      </w:r>
      <w:r>
        <w:t xml:space="preserve"> </w:t>
      </w:r>
      <w:r>
        <w:rPr>
          <w:iCs/>
          <w:i/>
        </w:rPr>
        <w:t xml:space="preserve">Internationalization and firm performance: A meta-analysis for Asia-Pacific economies</w:t>
      </w:r>
      <w:r>
        <w:t xml:space="preserve">. Paper presented at an international conference on business, economics, and finance. [Author details removed for blind review.]</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4"/>
    <w:bookmarkStart w:id="55"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(N=28,500, AdjR²=.057, TP=25.7%, LM p=.026): DAI×ICRV=+0.052</w:t>
      </w:r>
      <w:r>
        <w:rPr>
          <w:iCs/>
          <w:i/>
        </w:rPr>
        <w:t xml:space="preserve">, three-way FSTS×DAI×ICRV=−0.016 (NS), mgr_experience=+0.022</w:t>
      </w:r>
      <w:r>
        <w:rPr>
          <w:bCs/>
          <w:b/>
        </w:rPr>
        <w:t xml:space="preserve">, FSTS×mgr=+0.007 (NS), mgr_female=+0.210</w:t>
      </w:r>
      <w:r>
        <w:t xml:space="preserve">*, female_owner=+0.122**.</w:t>
      </w:r>
    </w:p>
    <w:p>
      <w:r>
        <w:pict>
          <v:rect style="width:0;height:1.5pt" o:hralign="center" o:hrstd="t" o:hr="t"/>
        </w:pict>
      </w:r>
    </w:p>
    <w:bookmarkEnd w:id="55"/>
    <w:bookmarkStart w:id="56"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t xml:space="preserve">[Author identifying information removed for blind review.]</w:t>
      </w:r>
    </w:p>
    <w:bookmarkEnd w:id="56"/>
    <w:bookmarkEnd w:id="5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2026-05-27T02:53:29Z</dcterms:created>
  <dcterms:modified xsi:type="dcterms:W3CDTF">2026-05-27T02:53:29Z</dcterms:modified>
</cp:coreProperties>
</file>

<file path=docProps/custom.xml><?xml version="1.0" encoding="utf-8"?>
<Properties xmlns="http://schemas.openxmlformats.org/officeDocument/2006/custom-properties" xmlns:vt="http://schemas.openxmlformats.org/officeDocument/2006/docPropsVTypes"/>
</file>