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Target journal</w:t>
      </w:r>
      <w:r>
        <w:t xml:space="preserve">: World Development</w:t>
      </w:r>
    </w:p>
    <w:p>
      <w:pPr>
        <w:pStyle w:val="BodyText"/>
      </w:pPr>
      <w:r>
        <w:rPr>
          <w:bCs/>
          <w:b/>
        </w:rPr>
        <w:t xml:space="preserve">Keywords</w:t>
      </w:r>
      <w:r>
        <w:t xml:space="preserve">: internationalization–performance relationship; small island developing states; forced internationalization; institutional voids; Pacific economies; labor productivity</w:t>
      </w:r>
    </w:p>
    <w:p>
      <w:r>
        <w:pict>
          <v:rect style="width:0;height:1.5pt" o:hralign="center" o:hrstd="t" o:hr="t"/>
        </w:pict>
      </w:r>
    </w:p>
    <w:bookmarkStart w:id="20" w:name="abstract"/>
    <w:p>
      <w:pPr>
        <w:pStyle w:val="Heading2"/>
      </w:pPr>
      <w:r>
        <w:t xml:space="preserve">Abstract</w:t>
      </w:r>
    </w:p>
    <w:p>
      <w:pPr>
        <w:pStyle w:val="FirstParagraph"/>
      </w:pPr>
      <w:r>
        <w:t xml:space="preserve">The conventional inverted-U between internationalization intensity and firm performance rests on three structural prerequisites: a viable domestic market, manageable trade costs, and functional institutions. When all three are absent at once, as in Pacific Small Island Developing States (SIDS), the non-linear pattern collapses into a monotone negative relationship, which we term the Forced Internationalization Penalty (FIP): not a transient phase-1 learning cost, but a persistent structural condition arising from the compulsion to export despite systemic disadvantage. Using World Bank Enterprise Survey data from 1,469 firms across nine Pacific SIDS (2009–2025), internationalization intensity is robustly negatively associated with labour productivity (β = −0.404, p = .032, country-and-year fixed effects) with no quadratic curvature. Technological capability and digital adoption, significant moderators in mainland Asia, are null here. These findings reframe the inverted-U as conditional rather than universal and identify boundary conditions for institutional moderation theory.</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which is itself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in which even an initial downward phase-1 slope is transient and eventually gives way to net benefits. Both frameworks share a foundational assumption. The institutional environment, while it may moderate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study challenges that assumption. We argue that certain structural conditions, characteristic of Small Island Developing States (SIDS), eliminate the prerequisites on which the inverted-U logic depends, and that they replace the expected non-linear pattern with a monotone negative one.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absent at once.</w:t>
      </w:r>
    </w:p>
    <w:p>
      <w:pPr>
        <w:pStyle w:val="BodyText"/>
      </w:pPr>
      <w:r>
        <w:t xml:space="preserve">We position FIP not as a peripheral anomaly but as the opposite</w:t>
      </w:r>
      <w:r>
        <w:t xml:space="preserve"> </w:t>
      </w:r>
      <w:r>
        <w:rPr>
          <w:iCs/>
          <w:i/>
        </w:rPr>
        <w:t xml:space="preserve">pole</w:t>
      </w:r>
      <w:r>
        <w:t xml:space="preserve"> </w:t>
      </w:r>
      <w:r>
        <w:t xml:space="preserve">of the I-P relationship, the theoretical counterpart against which conventional theory is properly understood. The standard inverted-U describes</w:t>
      </w:r>
      <w:r>
        <w:t xml:space="preserve"> </w:t>
      </w:r>
      <w:r>
        <w:rPr>
          <w:iCs/>
          <w:i/>
        </w:rPr>
        <w:t xml:space="preserve">internationalization-to-scale</w:t>
      </w:r>
      <w:r>
        <w:t xml:space="preserve">: in strong-institution economies, exporting is a profit-optimizing choice, and the descending limb arrives only at a very late turning point because a viable home base, manageable trade costs, and functional institutions allow firms to appropriate scale and learning gains. FIP describes the inverse logic,</w:t>
      </w:r>
      <w:r>
        <w:t xml:space="preserve"> </w:t>
      </w:r>
      <w:r>
        <w:rPr>
          <w:iCs/>
          <w:i/>
        </w:rPr>
        <w:t xml:space="preserve">internationalization-to-survive</w:t>
      </w:r>
      <w:r>
        <w:t xml:space="preserve">: when those same prerequisites are absent, firms are forced to export despite logistics costs so severe that they erode all profit, and the inverted-U collapses into a monotone negative line from the origin. The two regimes are not different points on one curve but two ends of a single theoretical continuum, with conventional theory occupying one pole and FIP the other. Far from a footnote, the FIP regime is the theoretically most revealing case. It is the analogue of a singularity, the limiting point at which the familiar laws cease to apply and, precisely in their breakdown, expose the structural prerequisites the inverted-U silently assumes but never names. Studying where the curve collapses tells us what the curve was built on.</w:t>
      </w:r>
    </w:p>
    <w:p>
      <w:pPr>
        <w:pStyle w:val="BodyText"/>
      </w:pPr>
      <w:r>
        <w:t xml:space="preserve">SIDS offer a theoretically extreme yet empirically underserved context for I-P research. These economies are marked by microscopic domestic markets (Tonga: 104,000 inhabitants; Kiribati: 121,000), by geographic isolation so severe that it amplifies trade costs by 30–210% (Winters &amp; Martins, 2004), and by comprehensive institutional voids that limit firms’ ability to appropriate returns from international activities (Briguglio, 1995; Khanna &amp; Palepu, 2010). Recent systematic tracking across 121,249 development data points confirms that these conditions have deepened rather than abated. Progress in 2020–2025 is the slowest on record across 15 of 26 tracked benchmarks, with SIDS and Sub-Saharan Africa disproportionately affected (Pirlea et al., 2026). An independent multi-indicator analysis of six development dimensions, namely poverty, life expectancy, schooling, gender equality, climate, and electricity, finds the world developing at its slowest pace in 75 years; 54 economies remain more than a century from reaching developed-country standards on current trajectories, and SIDS are disproportionately represented in this cohort (Mahler, Serajuddin, Wadhwa, &amp; Yonzan, 2026). One point matters above the rest.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at home. This compulsion, which we describe as survival-based internationalization, fundamentally alters the logic of the I-P relationship.</w:t>
      </w:r>
    </w:p>
    <w:p>
      <w:pPr>
        <w:pStyle w:val="BodyText"/>
      </w:pPr>
      <w:r>
        <w:t xml:space="preserve">This study makes three contributions to the IB literature. First, and centrally, it introduces and theoretically defines FIP as a</w:t>
      </w:r>
      <w:r>
        <w:t xml:space="preserve"> </w:t>
      </w:r>
      <w:r>
        <w:rPr>
          <w:iCs/>
          <w:i/>
        </w:rPr>
        <w:t xml:space="preserve">general</w:t>
      </w:r>
      <w:r>
        <w:t xml:space="preserve"> </w:t>
      </w:r>
      <w:r>
        <w:t xml:space="preserve">boundary condition for institutional moderation theory, not a niche curiosity confined to remote islands. By identifying the conditions under which the inverted-U inverts, FIP demonstrates that the inverted-U is itself conditional rather than universal: it is the special case that obtains when three structural prerequisites happen to be satisfied, and FIP is the equally lawful regime that obtains when they are not. SIDS are the empirical site where this becomes visible, but the contribution is to the architecture of I-P theory writ large. We distinguish FIP from adjacent concepts that include phase-1 costs in three-stage theory (Contractor et al., 2003), Liability of Foreignness (Zaheer, 1995), and necessity entrepreneurship (Sarasvathy et al., 2014). Second, it provides empirical evidence from 1,469 firms across nine Pacific SIDS economies using World Bank Enterprise Survey (WBES) data, the most comprehensive firm-level I-P analysis in Pacific SIDS to date. Third, it documents that firm-level capabilities, namely technological capability and digital adoption, do not appear to override FIP. This last result shifts the theoretical conversation from</w:t>
      </w:r>
      <w:r>
        <w:t xml:space="preserve"> </w:t>
      </w:r>
      <w:r>
        <w:t xml:space="preserve">“</w:t>
      </w:r>
      <w:r>
        <w:t xml:space="preserve">institutional moderation of the I-P relationship</w:t>
      </w:r>
      <w:r>
        <w:t xml:space="preserve">”</w:t>
      </w:r>
      <w:r>
        <w:t xml:space="preserve"> </w:t>
      </w:r>
      <w:r>
        <w:t xml:space="preserve">(Marano, Tallman, &amp; Teece, 2016) toward</w:t>
      </w:r>
      <w:r>
        <w:t xml:space="preserve"> </w:t>
      </w:r>
      <w:r>
        <w:t xml:space="preserve">“</w:t>
      </w:r>
      <w:r>
        <w:t xml:space="preserve">institutional determination of the sign of the I-P relationship.</w:t>
      </w:r>
      <w:r>
        <w:t xml:space="preserve">”</w:t>
      </w:r>
    </w:p>
    <w:p>
      <w:pPr>
        <w:pStyle w:val="BodyText"/>
      </w:pPr>
      <w:r>
        <w:t xml:space="preserve">The findings carry direct policy implications under the Antigua and Barbuda Agenda for SIDS (United Nations General Assembly, 2024). They suggest that strategies premised on export-led growth may be systematically misaligned with the structural realities of Pacific micro-economies.</w:t>
      </w:r>
    </w:p>
    <w:p>
      <w:r>
        <w:pict>
          <v:rect style="width:0;height:1.5pt" o:hralign="center" o:hrstd="t" o:hr="t"/>
        </w:pict>
      </w:r>
    </w:p>
    <w:bookmarkEnd w:id="21"/>
    <w:bookmarkStart w:id="26" w:name="theoretical-background-and-hypotheses"/>
    <w:p>
      <w:pPr>
        <w:pStyle w:val="Heading2"/>
      </w:pPr>
      <w:r>
        <w:t xml:space="preserve">2. Theoretical Background and Hypotheses</w:t>
      </w:r>
    </w:p>
    <w:bookmarkStart w:id="22" w:name="Xd1ff7c2b94994d1910854ba407ee8c9b50df341"/>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typically estimated between 30% and 70% of foreign sales to total sales (FSTS), represents the point at which marginal costs equal the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 assumes that firms have a functioning home base providing revenues, resources, and organizational learning before and during internationalization (Johanson &amp; Vahlne, 1977; 2009). When the domestic market is non-viable, too small to support minimum efficient scale for even basic operations, firms are structurally compelled to export regardless of strategic readiness or capability. The</w:t>
      </w:r>
      <w:r>
        <w:t xml:space="preserve"> </w:t>
      </w:r>
      <w:r>
        <w:t xml:space="preserve">“</w:t>
      </w:r>
      <w:r>
        <w:t xml:space="preserve">selection into exporting</w:t>
      </w:r>
      <w:r>
        <w:t xml:space="preserve">”</w:t>
      </w:r>
      <w:r>
        <w:t xml:space="preserve"> </w:t>
      </w:r>
      <w:r>
        <w:t xml:space="preserve">assumption underlying most I-P models then breaks down.</w:t>
      </w:r>
    </w:p>
    <w:p>
      <w:pPr>
        <w:pStyle w:val="BodyText"/>
      </w:pPr>
      <w:r>
        <w:rPr>
          <w:bCs/>
          <w:b/>
        </w:rPr>
        <w:t xml:space="preserve">Prerequisite 2: Manageable trade costs.</w:t>
      </w:r>
      <w:r>
        <w:t xml:space="preserve"> </w:t>
      </w:r>
      <w:r>
        <w:t xml:space="preserve">The standard model assumes 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 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tell a different story. Absent financial intermediaries, unreliable contract enforcement, and limited trade facilitation infrastructure do not merely weaken the inverted-U; they may eliminate the mechanism that generates positive returns from internationalization altogether.</w:t>
      </w:r>
    </w:p>
    <w:bookmarkEnd w:id="22"/>
    <w:bookmarkStart w:id="23" w:name="Xb7db0e39015cb6f3662a52d47fb6342a9feb2fb"/>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 transient.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 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It is the penalty SIDS firms incur when they export, not the penalty multinationals incur when entering SIDS markets.</w:t>
      </w:r>
    </w:p>
    <w:p>
      <w:pPr>
        <w:pStyle w:val="BodyText"/>
      </w:pPr>
      <w:r>
        <w:rPr>
          <w:iCs/>
          <w:i/>
        </w:rPr>
        <w:t xml:space="preserve">From necessity entrepreneurship (Sarasvathy et al., 2014)</w:t>
      </w:r>
      <w:r>
        <w:t xml:space="preserve">: Necessity entrepreneurs in developed contexts often achieve performance parity with opportunity-driven entrepreneurs given sufficient time and institutional support. FIP characterizes contexts where institutional support is systemically absent, so the necessity-driven internationalization path remains persistently disadvantaged.</w:t>
      </w:r>
    </w:p>
    <w:p>
      <w:pPr>
        <w:pStyle w:val="BodyText"/>
      </w:pPr>
      <w:r>
        <w:rPr>
          <w:iCs/>
          <w:i/>
        </w:rPr>
        <w:t xml:space="preserve">From SIDS economic vulnerability (Briguglio, 1995)</w:t>
      </w:r>
      <w:r>
        <w:t xml:space="preserve">: Briguglio’s 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6db7ec46da19cbe734f496417815d07c46d6d99"/>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the standard measure of internationalization intensity,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 intensity is negatively associated with firm performance with no significant quadratic turning point, indicating a Forced Internationalization Penalty rather than an inverted-U relationship.</w:t>
      </w:r>
    </w:p>
    <w:bookmarkEnd w:id="24"/>
    <w:bookmarkStart w:id="25" w:name="the-role-of-firm-level-capabilities"/>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enabling firms to reach better performance at any given level of internationalization,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from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that generates FIP operates at a level firm-level capabilities cannot easily offset. Two labels make this concrete. First, the negative slope is an</w:t>
      </w:r>
      <w:r>
        <w:t xml:space="preserve"> </w:t>
      </w:r>
      <w:r>
        <w:rPr>
          <w:iCs/>
          <w:i/>
        </w:rPr>
        <w:t xml:space="preserve">Isolation Penalty</w:t>
      </w:r>
      <w:r>
        <w:t xml:space="preserve">, a transaction-cost-of-isolation that geographic remoteness imposes on every cross-border transaction (the 30–210% trade-cost amplification), which a compelled exporter must bear permanently rather than amortize away. Second, a digital shield presupposes a minimal payment-and-logistics substrate to function; under the</w:t>
      </w:r>
      <w:r>
        <w:t xml:space="preserve"> </w:t>
      </w:r>
      <w:r>
        <w:rPr>
          <w:iCs/>
          <w:i/>
        </w:rPr>
        <w:t xml:space="preserve">extreme institutional void</w:t>
      </w:r>
      <w:r>
        <w:t xml:space="preserve"> </w:t>
      </w:r>
      <w:r>
        <w:t xml:space="preserve">characteristic of SIDS, that substrate is largely absent, so digital capability cannot substitute for the missing institutions and physical infrastructure.</w:t>
      </w:r>
    </w:p>
    <w:p>
      <w:pPr>
        <w:pStyle w:val="BodyText"/>
      </w:pPr>
      <w:r>
        <w:rPr>
          <w:bCs/>
          <w:b/>
        </w:rPr>
        <w:t xml:space="preserve">Hypothesis 2 (Capability null hypothesis)</w:t>
      </w:r>
      <w:r>
        <w:t xml:space="preserve">: In Pacific SIDS, 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p>
      <w:r>
        <w:pict>
          <v:rect style="width:0;height:1.5pt" o:hralign="center" o:hrstd="t" o:hr="t"/>
        </w:pict>
      </w:r>
    </w:p>
    <w:bookmarkEnd w:id="25"/>
    <w:bookmarkEnd w:id="26"/>
    <w:bookmarkStart w:id="30" w:name="data-and-methods"/>
    <w:p>
      <w:pPr>
        <w:pStyle w:val="Heading2"/>
      </w:pPr>
      <w:r>
        <w:t xml:space="preserve">3. Data and Methods</w:t>
      </w:r>
    </w:p>
    <w:bookmarkStart w:id="27" w:name="data-source"/>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We include all firm-year observations from economies meeting the SIDS classification: Fiji, Kiribati, Papua New Guinea, Samoa, Solomon Islands, Timor-Leste, Tonga, Vanuatu, and Comoros (nine economies). The analysis sample, observations with non-missing values for labor productivity, export intensity, and firm age, comprises</w:t>
      </w:r>
      <w:r>
        <w:t xml:space="preserve"> </w:t>
      </w:r>
      <w:r>
        <w:rPr>
          <w:bCs/>
          <w:b/>
        </w:rPr>
        <w:t xml:space="preserve">1,469 firms</w:t>
      </w:r>
      <w:r>
        <w:t xml:space="preserve"> </w:t>
      </w:r>
      <w:r>
        <w:t xml:space="preserve">across multiple country-year waves.</w:t>
      </w:r>
    </w:p>
    <w:bookmarkEnd w:id="27"/>
    <w:bookmarkStart w:id="28" w:name="measures"/>
    <w:p>
      <w:pPr>
        <w:pStyle w:val="Heading3"/>
      </w:pPr>
      <w:r>
        <w:t xml:space="preserve">3.2 Measures</w:t>
      </w:r>
    </w:p>
    <w:p>
      <w:pPr>
        <w:pStyle w:val="FirstParagraph"/>
      </w:pPr>
      <w:r>
        <w:rPr>
          <w:bCs/>
          <w:b/>
        </w:rPr>
        <w:t xml:space="preserve">Dependent variable.</w:t>
      </w:r>
      <w:r>
        <w:t xml:space="preserve"> </w:t>
      </w:r>
      <w:r>
        <w:t xml:space="preserve">Log labor productivity (ln_LP) is constructed as the natural logarithm of sales revenue per permanent worker, expressed in constant purchasing-power-parity-adjusted USD: ln(d2/l1). This measure has been used extensively in enterprise-level productivity studies (Goedhuys &amp; Sleuwaegen, 2013; World Bank, 2020). Of the 1,469 analysis observations, 187 (12.7%) are exporters with FSTS &gt; 0.</w:t>
      </w:r>
    </w:p>
    <w:p>
      <w:pPr>
        <w:pStyle w:val="BodyText"/>
      </w:pPr>
      <w:r>
        <w:rPr>
          <w:bCs/>
          <w:b/>
        </w:rPr>
        <w:t xml:space="preserve">Internationalization intensity.</w:t>
      </w:r>
      <w:r>
        <w:t xml:space="preserve"> </w:t>
      </w:r>
      <w:r>
        <w:t xml:space="preserve">Following the methodology of Haans et al. (2016) and Contractor et al. (2003), we construct FSTS (Foreign Sales to Total Sales) from WBES item d3c (percentage of sales exported), divided by 100. For the main models, FSTS is mean-centered at the wave level: FSTS_c = FSTS − mean_wave(FSTS), yielding a mean FSTS of 0.060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 Goedhuys and Sleuwaegen (2013), TCI is constructed from two WBES items: b8 (internationally recognized quality certification, binary) and e6 (licensing of foreign technology, binary). TCI_z is the z-standardized mean of these two indicators.</w:t>
      </w:r>
    </w:p>
    <w:p>
      <w:pPr>
        <w:pStyle w:val="BodyText"/>
      </w:pPr>
      <w:r>
        <w:rPr>
          <w:bCs/>
          <w:b/>
        </w:rPr>
        <w:t xml:space="preserve">Digital adoption index (DAI_z).</w:t>
      </w:r>
      <w:r>
        <w:t xml:space="preserve"> </w:t>
      </w:r>
      <w:r>
        <w:t xml:space="preserve">DAI is measured using WBES item c22b (firm has an operational website, binary). This is a Tier-1 proxy capturing</w:t>
      </w:r>
      <w:r>
        <w:t xml:space="preserve"> </w:t>
      </w:r>
      <w:r>
        <w:rPr>
          <w:iCs/>
          <w:i/>
        </w:rPr>
        <w:t xml:space="preserve">foundational website adoption</w:t>
      </w:r>
      <w:r>
        <w:t xml:space="preserve">, the first step of digital presence. It is appropriate for the SIDS context where advanced digital infrastructure is limited,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 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pct" w:w="5000"/>
        <w:tblLook w:firstRow="1" w:lastRow="0" w:firstColumn="0" w:lastColumn="0" w:noHBand="0" w:noVBand="0" w:val="0020"/>
        <w:jc w:val="start"/>
      </w:tblPr>
      <w:tblGrid>
        <w:gridCol w:w="1552"/>
        <w:gridCol w:w="2018"/>
        <w:gridCol w:w="2018"/>
        <w:gridCol w:w="2329"/>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 Tier-1 only</w:t>
            </w:r>
          </w:p>
        </w:tc>
        <w:tc>
          <w:tcPr/>
          <w:p>
            <w:pPr>
              <w:pStyle w:val="Compact"/>
              <w:jc w:val="left"/>
            </w:pPr>
            <w:r>
              <w:t xml:space="preserve">Digital adoption —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(9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2016, 2018, 2019, 2022,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 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model-sequence"/>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w:t>
      </w:r>
      <w:r>
        <w:t xml:space="preserve"> </w:t>
      </w:r>
      <w:r>
        <w:t xml:space="preserve">ln_LP_it = α + γ₁ ln_size_it + γ₂ firm_age_it + γ₃ foreign_own_pct_it + δ_c + λ_t + ε_it</w:t>
      </w:r>
    </w:p>
    <w:p>
      <w:pPr>
        <w:pStyle w:val="BodyText"/>
      </w:pPr>
      <w:r>
        <w:rPr>
          <w:bCs/>
          <w:b/>
        </w:rPr>
        <w:t xml:space="preserve">M1 (linear FSTS, FIP test)</w:t>
      </w:r>
      <w:r>
        <w:t xml:space="preserve">:</w:t>
      </w:r>
      <w:r>
        <w:t xml:space="preserve"> </w:t>
      </w:r>
      <w:r>
        <w:t xml:space="preserve">ln_LP_it = α + β₁ FSTS_c_it + γ·X_it + δ_c + λ_t + ε_it</w:t>
      </w:r>
    </w:p>
    <w:p>
      <w:pPr>
        <w:pStyle w:val="BodyText"/>
      </w:pPr>
      <w:r>
        <w:rPr>
          <w:bCs/>
          <w:b/>
        </w:rPr>
        <w:t xml:space="preserve">M2 (quadratic FSTS, curvature test)</w:t>
      </w:r>
      <w:r>
        <w:t xml:space="preserve">:</w:t>
      </w:r>
      <w:r>
        <w:t xml:space="preserve"> </w:t>
      </w:r>
      <w:r>
        <w:t xml:space="preserve">ln_LP_it = α + β₁ FSTS_c_it + β₂ FSTS_c²_it + γ·X_it + δ_c + λ_t + ε_it</w:t>
      </w:r>
    </w:p>
    <w:p>
      <w:pPr>
        <w:pStyle w:val="BodyText"/>
      </w:pPr>
      <w:r>
        <w:rPr>
          <w:bCs/>
          <w:b/>
        </w:rPr>
        <w:t xml:space="preserve">M3 (capabilities, moderation null test)</w:t>
      </w:r>
      <w:r>
        <w:t xml:space="preserve">:</w:t>
      </w:r>
      <w:r>
        <w:t xml:space="preserve"> </w:t>
      </w:r>
      <w:r>
        <w:t xml:space="preserve">ln_LP_it = α + β₁ 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p>
      <w:r>
        <w:pict>
          <v:rect style="width:0;height:1.5pt" o:hralign="center" o:hrstd="t" o:hr="t"/>
        </w:pict>
      </w:r>
    </w:p>
    <w:bookmarkEnd w:id="29"/>
    <w:bookmarkEnd w:id="30"/>
    <w:bookmarkStart w:id="37" w:name="results"/>
    <w:p>
      <w:pPr>
        <w:pStyle w:val="Heading2"/>
      </w:pPr>
      <w:r>
        <w:t xml:space="preserve">4. Results</w:t>
      </w:r>
    </w:p>
    <w:bookmarkStart w:id="31" w:name="X7564ed8aad7671c5c72c9705a49a1794e1c47b3"/>
    <w:p>
      <w:pPr>
        <w:pStyle w:val="Heading3"/>
      </w:pPr>
      <w:r>
        <w:t xml:space="preserve">4.1 Sample Description and Preliminary Evidence</w:t>
      </w:r>
    </w:p>
    <w:p>
      <w:pPr>
        <w:pStyle w:val="FirstParagraph"/>
      </w:pPr>
      <w:r>
        <w:t xml:space="preserve">The analysis sample spans 1,469 firms across nine Pacific SIDS economies. Table 1 reports country-level summary statistics. Exporter representation is thin across all economies (overall 12.7%), consistent with the SIDS structural constraint: most firms operate predominantly in the domestic market despite its limitations. Mean FSTS across the full sample is 0.060, reflecting the low-but-non-zero export engagement of SIDS firms. The country fixed effects absorb substantial variance: R² increases from 0.511 (year FE only) to 0.799 (country + year FE) when country indicators are added, confirming that 95% of explained productivity variance is between-country, a feature consistent with extreme between-country heterogeneity in institutional quality, geographic remoteness, and economic structure.</w:t>
      </w:r>
    </w:p>
    <w:bookmarkEnd w:id="31"/>
    <w:bookmarkStart w:id="32" w:name="X6abbfa22e96478212f3491c4cdbfe1ca192aca8"/>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−0.404</w:t>
      </w:r>
      <w:r>
        <w:t xml:space="preserve">, SE = 0.188, t = −2.152, p =</w:t>
      </w:r>
      <w:r>
        <w:t xml:space="preserve"> </w:t>
      </w:r>
      <w:r>
        <w:rPr>
          <w:bCs/>
          <w:b/>
        </w:rPr>
        <w:t xml:space="preserve">.032</w:t>
      </w:r>
    </w:p>
    <w:p>
      <w:pPr>
        <w:pStyle w:val="BodyText"/>
      </w:pPr>
      <w:r>
        <w:t xml:space="preserve">This coefficient is statistically significant at the conventional 5% level and substantively meaningful: a one-unit increase in FSTS (a move from no exports to full-export orientation) is associated with a 40.4% lower labor productivity.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0.7992, and adding FSTS_c in M1 marginally increases R² to 0.8001, which indicates that, conditional on country and year fixed effects, FSTS explains limited additional variance but does so in a consistently negative direction.</w:t>
      </w:r>
    </w:p>
    <w:p>
      <w:pPr>
        <w:pStyle w:val="BodyText"/>
      </w:pPr>
      <w:r>
        <w:t xml:space="preserve">Control variable results in M1 are consistent with established evidence: firm age is positively associated with productivity (β = +0.009, p = .052); foreign ownership shows a marginally negative association (β = −0.006, p = .056), perhaps reflecting thin foreign investment efficiency in SIDS contexts; firm size is positive but non-significant (β = +0.082, p = .242).</w:t>
      </w:r>
    </w:p>
    <w:bookmarkEnd w:id="32"/>
    <w:bookmarkStart w:id="33" w:name="Xc0a88d50ea7b5c27a76a85a44afe4aa278d46cd"/>
    <w:p>
      <w:pPr>
        <w:pStyle w:val="Heading3"/>
      </w:pPr>
      <w:r>
        <w:t xml:space="preserve">4.3 Monotone Negative Form: No Curvature (H1, quadratic null)</w:t>
      </w:r>
    </w:p>
    <w:p>
      <w:pPr>
        <w:pStyle w:val="FirstParagraph"/>
      </w:pPr>
      <w:r>
        <w:rPr>
          <w:bCs/>
          <w:b/>
        </w:rPr>
        <w:t xml:space="preserve">M2</w:t>
      </w:r>
      <w:r>
        <w:t xml:space="preserve"> </w:t>
      </w:r>
      <w:r>
        <w:t xml:space="preserve">introduces the quadratic term FSTS_c² to test whether the negative I-P relationship is eventually reversed, i.e., whether there is any inverted-U pattern with the positive portion below our data range.</w:t>
      </w:r>
    </w:p>
    <w:p>
      <w:pPr>
        <w:pStyle w:val="BodyText"/>
      </w:pPr>
      <w:r>
        <w:t xml:space="preserve">The results are:</w:t>
      </w:r>
      <w:r>
        <w:t xml:space="preserve"> </w:t>
      </w:r>
      <w:r>
        <w:t xml:space="preserve">β(FSTS_c) = −0.925, SE = 0.828, p = .265 (n.s.)</w:t>
      </w:r>
      <w:r>
        <w:t xml:space="preserve"> </w:t>
      </w:r>
      <w:r>
        <w:t xml:space="preserve">β(FSTS_c²) = +0.649, SE = 0.980, p = .508 (n.s.)</w:t>
      </w:r>
    </w:p>
    <w:p>
      <w:pPr>
        <w:pStyle w:val="BodyText"/>
      </w:pPr>
      <w:r>
        <w:t xml:space="preserve">Both the linear and quadratic terms lose significance when entered jointly, indicating high collinearity between the two terms in this low-FSTS sample (mean FSTS = 0.060). Importantly, the positive quadratic coefficient would imply a U-shape rather than inverted-U,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−0.925 (</w:t>
      </w:r>
      <w:r>
        <w:rPr>
          <w:iCs/>
          <w:i/>
        </w:rPr>
        <w:t xml:space="preserve">p</w:t>
      </w:r>
      <w:r>
        <w:t xml:space="preserve"> </w:t>
      </w:r>
      <w:r>
        <w:t xml:space="preserve">= .265),</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+0.649 (</w:t>
      </w:r>
      <w:r>
        <w:rPr>
          <w:iCs/>
          <w:i/>
        </w:rPr>
        <w:t xml:space="preserve">p</w:t>
      </w:r>
      <w:r>
        <w:t xml:space="preserve"> </w:t>
      </w:r>
      <w:r>
        <w:t xml:space="preserve">= .508),</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−(−0.925) / (2 × 0.649) = 0.712,</w:t>
      </w:r>
      <w:r>
        <w:t xml:space="preserve"> </w:t>
      </w:r>
      <w:r>
        <w:rPr>
          <w:bCs/>
          <w:b/>
        </w:rPr>
        <w:t xml:space="preserve">implied turning point lies outside the observed sample maximum (FSTS_max ≈ 0.80, but neither β₁ nor β₂ is statistically significant)</w:t>
      </w:r>
    </w:p>
    <w:p>
      <w:pPr>
        <w:numPr>
          <w:ilvl w:val="0"/>
          <w:numId w:val="1001"/>
        </w:numPr>
        <w:pStyle w:val="Compact"/>
      </w:pPr>
      <w:r>
        <w:rPr>
          <w:bCs/>
          <w:b/>
        </w:rPr>
        <w:t xml:space="preserve">C4</w:t>
      </w:r>
      <w:r>
        <w:t xml:space="preserve"> </w:t>
      </w:r>
      <w:r>
        <w:t xml:space="preserve">(Lind–Mehlum utest, Lind &amp; Mehlum, 2010): utest</w:t>
      </w:r>
      <w:r>
        <w:t xml:space="preserve"> </w:t>
      </w:r>
      <w:r>
        <w:rPr>
          <w:iCs/>
          <w:i/>
        </w:rPr>
        <w:t xml:space="preserve">p</w:t>
      </w:r>
      <w:r>
        <w:t xml:space="preserve"> </w:t>
      </w:r>
      <w:r>
        <w:t xml:space="preserve">= .941,</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consistent with H1 and the FIP structural mechanism. There is no turning point within the observed FSTS range (0–1).</w:t>
      </w:r>
    </w:p>
    <w:bookmarkEnd w:id="33"/>
    <w:bookmarkStart w:id="34" w:name="robustness"/>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 fixed effects, which might absorb too much structural variation, yields a substantially larger negative effect:</w:t>
      </w:r>
    </w:p>
    <w:p>
      <w:pPr>
        <w:pStyle w:val="BodyText"/>
      </w:pPr>
      <w:r>
        <w:t xml:space="preserve">β(FSTS) =</w:t>
      </w:r>
      <w:r>
        <w:t xml:space="preserve"> </w:t>
      </w:r>
      <w:r>
        <w:rPr>
          <w:bCs/>
          <w:b/>
        </w:rPr>
        <w:t xml:space="preserve">−1.236</w:t>
      </w:r>
      <w:r>
        <w:t xml:space="preserve">, SE = 0.269, t = −4.594,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 (no controls) yields:</w:t>
      </w:r>
    </w:p>
    <w:p>
      <w:pPr>
        <w:pStyle w:val="BodyText"/>
      </w:pPr>
      <w:r>
        <w:t xml:space="preserve">β(FSTS) =</w:t>
      </w:r>
      <w:r>
        <w:t xml:space="preserve"> </w:t>
      </w:r>
      <w:r>
        <w:rPr>
          <w:bCs/>
          <w:b/>
        </w:rPr>
        <w:t xml:space="preserve">−1.596</w:t>
      </w:r>
      <w:r>
        <w:t xml:space="preserve">, SE = 0.263, t = −6.062, p =</w:t>
      </w:r>
      <w:r>
        <w:t xml:space="preserve"> </w:t>
      </w:r>
      <w:r>
        <w:rPr>
          <w:bCs/>
          <w:b/>
        </w:rPr>
        <w:t xml:space="preserve">&lt;.001</w:t>
      </w:r>
    </w:p>
    <w:p>
      <w:pPr>
        <w:pStyle w:val="BodyText"/>
      </w:pPr>
      <w:r>
        <w:t xml:space="preserve">The monotone negative pattern persists without any conditioning on firm characteristics, further confirming the robustness of FIP.</w:t>
      </w:r>
    </w:p>
    <w:p>
      <w:pPr>
        <w:pStyle w:val="BodyText"/>
      </w:pPr>
      <w:r>
        <w:rPr>
          <w:bCs/>
          <w:b/>
        </w:rPr>
        <w:t xml:space="preserve">Exporters-only subsample</w:t>
      </w:r>
      <w:r>
        <w:t xml:space="preserve"> </w:t>
      </w:r>
      <w:r>
        <w:t xml:space="preserve">(N = 187): Among the 187 active exporters (FSTS &gt; 0), the negative effect is:</w:t>
      </w:r>
    </w:p>
    <w:p>
      <w:pPr>
        <w:pStyle w:val="BodyText"/>
      </w:pPr>
      <w:r>
        <w:t xml:space="preserve">β(FSTS_c) =</w:t>
      </w:r>
      <w:r>
        <w:t xml:space="preserve"> </w:t>
      </w:r>
      <w:r>
        <w:rPr>
          <w:bCs/>
          <w:b/>
        </w:rPr>
        <w:t xml:space="preserve">−0.901</w:t>
      </w:r>
      <w:r>
        <w:t xml:space="preserve">, SE = 0.398, p =</w:t>
      </w:r>
      <w:r>
        <w:t xml:space="preserve"> </w:t>
      </w:r>
      <w:r>
        <w:rPr>
          <w:bCs/>
          <w:b/>
        </w:rPr>
        <w:t xml:space="preserve">.027</w:t>
      </w:r>
    </w:p>
    <w:p>
      <w:pPr>
        <w:pStyle w:val="BodyText"/>
      </w:pPr>
      <w:r>
        <w:t xml:space="preserve">This result is critical: even among firms that have successfully engaged in exporting, higher export intensity is associated with lower productivity. This rules out a simple selection explanation (e.g., that only low-productivity firms are excluded from exporting, driving the pooled negative correlation). Among actual exporters, intensifying exports further worsens performance, which is the hallmark of the FIP mechanism rather than of adverse selection.</w:t>
      </w:r>
    </w:p>
    <w:bookmarkEnd w:id="34"/>
    <w:bookmarkStart w:id="35" w:name="capability-null-results-h2"/>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 Neither variable achieves statistical significance:</w:t>
      </w:r>
    </w:p>
    <w:p>
      <w:pPr>
        <w:pStyle w:val="BodyText"/>
      </w:pPr>
      <w:r>
        <w:t xml:space="preserve">β(TCI_z) = +0.058, SE = 0.085, p = .495 (n.s.)</w:t>
      </w:r>
      <w:r>
        <w:t xml:space="preserve"> </w:t>
      </w:r>
      <w:r>
        <w:t xml:space="preserve">β(DAI_z) = +0.062, SE = 0.073, p = .402 (n.s.)</w:t>
      </w:r>
    </w:p>
    <w:p>
      <w:pPr>
        <w:pStyle w:val="BodyText"/>
      </w:pPr>
      <w:r>
        <w:t xml:space="preserve">The FIP coefficient (FSTS_c) remains negative but loses significance in M3 (β = −0.974, p = .252), likely reflecting the substantially reduced sample (N = 526 for M3, versus N = 1,469 for M1, due to missing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These results are consistent with H2 (non-moderation): technological capability (TCI_z: β = +0.058, SE = 0.085, p = .495) and digital adoption (DAI_z: β = +0.062, SE = 0.073, p = .402) do not statistically significantly moderate the I-P relationship in Pacific SIDS, consistent with the FIP mechanism overwhelming capability effects in structurally constrained SIDS economies. The positive point estimates for TCI_z and DAI_z, while small and non-significant,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summary"/>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−0.404, p = .032); (ii) no significant quadratic curvature or turning point (M2: both FSTS_c and FSTS_c² non-significant); (iii) robustly negative across four specifications (M_yearFE: β = −1.236, p &lt; .001; M_bivariate: β = −1.596, p &lt; .001; exporters-only: β = −0.901, p = .027); and (iv) null capability moderation (M3: TCI_z p = .495; DAI_z p = .402).</w:t>
      </w:r>
    </w:p>
    <w:p>
      <w:r>
        <w:pict>
          <v:rect style="width:0;height:1.5pt" o:hralign="center" o:hrstd="t" o:hr="t"/>
        </w:pict>
      </w:r>
    </w:p>
    <w:bookmarkEnd w:id="36"/>
    <w:bookmarkEnd w:id="37"/>
    <w:bookmarkStart w:id="43" w:name="discussion"/>
    <w:p>
      <w:pPr>
        <w:pStyle w:val="Heading2"/>
      </w:pPr>
      <w:r>
        <w:t xml:space="preserve">5. Discussion</w:t>
      </w:r>
    </w:p>
    <w:bookmarkStart w:id="38" w:name="Xd4d8ec5bfb52f8d3fe2e7c438ba390b633573fa"/>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the data show a monotone negative relationship. It persists across four modeling specifications, and it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and firms cannot accumulate the home-base resources and organizational capabilities that fund and sustain profitable internationalization. When trade costs amplify the</w:t>
      </w:r>
      <w:r>
        <w:t xml:space="preserve"> </w:t>
      </w:r>
      <w:r>
        <w:t xml:space="preserve">“</w:t>
      </w:r>
      <w:r>
        <w:t xml:space="preserve">cost of doing business</w:t>
      </w:r>
      <w:r>
        <w:t xml:space="preserve">”</w:t>
      </w:r>
      <w:r>
        <w:t xml:space="preserve"> </w:t>
      </w:r>
      <w:r>
        <w:t xml:space="preserve">of export revenues by 30–210% (Winters &amp; Martins, 2004), the marginal economics of exporting are negative from the outset. And when institutional voids are comprehensive, with absent trade finance intermediaries, unreliable contract enforcement, and limited standards infrastructure, firms cannot appropriate the learning and scale benefits that internationalization theory promises.</w:t>
      </w:r>
    </w:p>
    <w:p>
      <w:pPr>
        <w:pStyle w:val="BodyText"/>
      </w:pPr>
      <w:r>
        <w:t xml:space="preserve">This reframes the inverted-U from a universal empirical regularity into a</w:t>
      </w:r>
      <w:r>
        <w:t xml:space="preserve"> </w:t>
      </w:r>
      <w:r>
        <w:rPr>
          <w:iCs/>
          <w:i/>
        </w:rPr>
        <w:t xml:space="preserve">conditional</w:t>
      </w:r>
      <w:r>
        <w:t xml:space="preserve"> </w:t>
      </w:r>
      <w:r>
        <w:t xml:space="preserve">relationship: it holds when and because the structural prerequisites are satisfied. The existing literature’s finding that institutional quality</w:t>
      </w:r>
      <w:r>
        <w:t xml:space="preserve"> </w:t>
      </w:r>
      <w:r>
        <w:rPr>
          <w:iCs/>
          <w:i/>
        </w:rPr>
        <w:t xml:space="preserve">moderates</w:t>
      </w:r>
      <w:r>
        <w:t xml:space="preserve"> </w:t>
      </w:r>
      <w:r>
        <w:t xml:space="preserve">the I-P relationship (Marano et al., 2016) is then a special case of a more general theoretical relationship. When institutional conditions cross a structural threshold from</w:t>
      </w:r>
      <w:r>
        <w:t xml:space="preserve"> </w:t>
      </w:r>
      <w:r>
        <w:t xml:space="preserve">“</w:t>
      </w:r>
      <w:r>
        <w:t xml:space="preserve">weaker moderation</w:t>
      </w:r>
      <w:r>
        <w:t xml:space="preserve">”</w:t>
      </w:r>
      <w:r>
        <w:t xml:space="preserve"> </w:t>
      </w:r>
      <w:r>
        <w:t xml:space="preserve">to</w:t>
      </w:r>
      <w:r>
        <w:t xml:space="preserve"> </w:t>
      </w:r>
      <w:r>
        <w:t xml:space="preserve">“</w:t>
      </w:r>
      <w:r>
        <w:t xml:space="preserve">violated prerequisites,</w:t>
      </w:r>
      <w:r>
        <w:t xml:space="preserve">”</w:t>
      </w:r>
      <w:r>
        <w:t xml:space="preserve"> </w:t>
      </w:r>
      <w:r>
        <w:t xml:space="preserve">the sign of the I-P relationship reverses, not merely its magnitude.</w:t>
      </w:r>
    </w:p>
    <w:p>
      <w:pPr>
        <w:pStyle w:val="BodyText"/>
      </w:pPr>
      <w:r>
        <w:t xml:space="preserve">Read this way, conventional theory and FIP are the two poles of a single continuum rather than a rule and its exception. At the strong-institution pole, internationalization is internationalization-to-scale: a firm such as a Singaporean exporter operates on the long ascending limb where exporting optimizes profit margins, and the turning point arrives very late because the home base, trade costs, and institutions all permit scale and learning gains to be appropriated. At the opposite pole, internationalization is internationalization-to-survive: SIDS firms are forced to export despite trade-cost amplifications that erode all profit, and the curve collapses into a monotone negative line. The value of the FIP pole is not that it is rare but that it is diagnostic. It is the theoretically most revealing case precisely because it is the singularity at which the inverted-U breaks down, and where the breakdown lays bare the structural prerequisites the standard model assumes but leaves unstated. The conventional curve never had to declare its dependence on a viable home market, on bearable logistics, and on functioning institutions, because in mainstream samples those conditions are always present; only at the FIP pole, where they vanish together, does that hidden dependence become observable. FIP therefore contributes a general boundary condition to institutional moderation theory: it specifies the limit at which moderation of degree gives way to determination of sign.</w:t>
      </w:r>
    </w:p>
    <w:bookmarkEnd w:id="38"/>
    <w:bookmarkStart w:id="39" w:name="Xbadf487e3d91c7f5e5de16c24aa3b4c984ad28e"/>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where all three structural prerequisites are absent at once, the I-P functional form is not a modified inverted-U but a qualitatively different pattern, namely a monotone negative one. This extends the theoretical vocabulary of IB research beyond</w:t>
      </w:r>
      <w:r>
        <w:t xml:space="preserve"> </w:t>
      </w:r>
      <w:r>
        <w:t xml:space="preserve">“</w:t>
      </w:r>
      <w:r>
        <w:t xml:space="preserve">intensity moderation</w:t>
      </w:r>
      <w:r>
        <w:t xml:space="preserve">”</w:t>
      </w:r>
      <w:r>
        <w:t xml:space="preserve"> </w:t>
      </w:r>
      <w:r>
        <w:t xml:space="preserve">toward</w:t>
      </w:r>
      <w:r>
        <w:t xml:space="preserve"> </w:t>
      </w:r>
      <w:r>
        <w:t xml:space="preserve">“</w:t>
      </w:r>
      <w:r>
        <w:t xml:space="preserve">existence moderation</w:t>
      </w:r>
      <w:r>
        <w:t xml:space="preserve">”</w:t>
      </w:r>
      <w:r>
        <w:t xml:space="preserve"> </w:t>
      </w:r>
      <w:r>
        <w:t xml:space="preserve">of the I-P relationship.</w:t>
      </w:r>
    </w:p>
    <w:p>
      <w:pPr>
        <w:pStyle w:val="BodyText"/>
      </w:pPr>
      <w:r>
        <w:t xml:space="preserve">The finding connects to the broader question of boundary conditions in IB theory (Verbeke &amp; Brugman, 2018; Hennart, 2007). If mainstream I-P theories are derived from samples of economies where the structural prerequisites are broadly satisfied, those theories may be systematically inapplicable to the SIDS context. They would not merely need adjustment; they would represent a qualitatively different theoretical regime. FIP offers a theoretically grounded label for that alternative regime.</w:t>
      </w:r>
    </w:p>
    <w:bookmarkEnd w:id="39"/>
    <w:bookmarkStart w:id="40" w:name="X83134c98a606fe0940406da95e076e069d717cc"/>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including Vietnam, Singapore, China, and multi-country samples, technological capability and digital adoption are statistically significant moderators of the I-P relationship (Goedhuys &amp; Sleuwaegen, 2013; Teece, 2007). Why, then,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 inverted-U, but FIP operates at a structural, pre-organizational level. A SIDS firm with ISO 9001 certification (high TCI) still faces the same 30–210% trade cost amplifications; a SIDS firm with a functioning website (DAI = 1) still faces absent trade finance institutions. Capabilities that act as powerful moderators within the structural prerequisites framework become ineffective once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w:t>
      </w:r>
      <w:r>
        <w:t xml:space="preserve"> </w:t>
      </w:r>
      <w:r>
        <w:t xml:space="preserve">“</w:t>
      </w:r>
      <w:r>
        <w:t xml:space="preserve">trapped</w:t>
      </w:r>
      <w:r>
        <w:t xml:space="preserve">”</w:t>
      </w:r>
      <w:r>
        <w:t xml:space="preserve"> </w:t>
      </w:r>
      <w:r>
        <w:t xml:space="preserve">inside the firm, unable to translate into performance advantages through international market transactions.</w:t>
      </w:r>
    </w:p>
    <w:p>
      <w:pPr>
        <w:pStyle w:val="BodyText"/>
      </w:pPr>
      <w:r>
        <w:t xml:space="preserve">The positive though non-significant point estimates for TCI_z and DAI_z suggest that capabilities do raise general productivity levels, consistent with their role in the broader literature, yet they cannot modify the negative directionality of the FSTS–performance relationship in the SIDS structural context. This nuance, that capabilities help the level and not the slope, may be a productive direction for future SIDS research.</w:t>
      </w:r>
    </w:p>
    <w:bookmarkEnd w:id="40"/>
    <w:bookmarkStart w:id="41" w:name="Xf8f5a8a03ba0839ca8278bd9312f3d61be61a50"/>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adopted at the Fourth International Conference on SIDS,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without addressing the violated structural prerequisites in parallel, may worsen firm performance at the micro level even while they improve macroeconomic trade balances. The relevant policy question becomes: which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the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such as standards bodies, trade finance intermediaries, and export promotion agencies with genuine capacity, may address the FIP mechanism more directly than generic governance reform. Goedhuys and Sleuwaegen’s (2013) evidence on international certification is instructive here. Their finding that ISO certification improves firm productivity is consistent with the null TCI result reported above if certification’s productivity benefit is conditional on institutions that support standards enforcement and customer recognition, the very conditions absent in the SIDS context.</w:t>
      </w:r>
    </w:p>
    <w:bookmarkEnd w:id="41"/>
    <w:bookmarkStart w:id="42" w:name="limitations"/>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although we pool across multiple country-year waves (2009–2025), few SIDS economies have more than one WBES wave (see Table 1), which limits panel identification of causal effects. The FIP estimate is identified primarily from cross-sectional variation in FSTS within country-year cells. Future work using panel data, where available for Fiji and Papua New Guinea, both of which have two waves, could strengthen causal identification.</w:t>
      </w:r>
    </w:p>
    <w:p>
      <w:pPr>
        <w:pStyle w:val="BodyText"/>
      </w:pPr>
      <w:r>
        <w:t xml:space="preserve">Second,</w:t>
      </w:r>
      <w:r>
        <w:t xml:space="preserve"> </w:t>
      </w:r>
      <w:r>
        <w:rPr>
          <w:bCs/>
          <w:b/>
        </w:rPr>
        <w:t xml:space="preserve">FSTS measurement in thin-export contexts</w:t>
      </w:r>
      <w:r>
        <w:t xml:space="preserve">: with a mean FSTS of 0.060 and only 12.7% exporters, the FSTS distribution is highly right-skewed. Coefficient estimates in M2 may be sensitive to a handful of high-FSTS outliers, so the non-significant quadratic results should be read with caution.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a foundational and static indicator. This is appropriate for the SIDS context given the limited availability of more advanced digital infrastructure indicators in WBES, but it does mean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to arise when three structural prerequisites are absent at once. Other extreme contexts, such as Saharan micro-states, remote highland economies, and post-conflict settings, may exhibit similar patterns. Caribbean SIDS, which are not included in our sample, represent a natural extension context.</w:t>
      </w:r>
    </w:p>
    <w:p>
      <w:r>
        <w:pict>
          <v:rect style="width:0;height:1.5pt" o:hralign="center" o:hrstd="t" o:hr="t"/>
        </w:pict>
      </w:r>
    </w:p>
    <w:bookmarkEnd w:id="42"/>
    <w:bookmarkEnd w:id="43"/>
    <w:bookmarkStart w:id="44" w:name="conclusions"/>
    <w:p>
      <w:pPr>
        <w:pStyle w:val="Heading2"/>
      </w:pPr>
      <w:r>
        <w:t xml:space="preserve">6. Conclusions</w:t>
      </w:r>
    </w:p>
    <w:p>
      <w:pPr>
        <w:pStyle w:val="FirstParagraph"/>
      </w:pPr>
      <w:r>
        <w:t xml:space="preserve">This study introduced the Forced Internationalization Penalty (FIP), the monotone negative effect of internationalization intensity on firm performance when three structural prerequisites of the inverted-U relationship are absent at once: a viable domestic market, manageable trade costs, and functional institutional support. Using WBES data from 1,469 firms across nine Pacific SIDS economies, we find robust support for FIP across four empirical specifications (β = −0.404, p = .032 in the primary country-and-year fixed-effects model; β = −1.236, p &lt; .001 without country fixed effects; β = −0.901, p = .027 in the exporters-only subsample). The quadratic term is not significant, which confirms the monotone negative form with no observable turning point. Technological capability and digital adoption, both significant in mainland Asian contexts, are null in the SIDS environment, consistent with the FIP theoretical mechanism.</w:t>
      </w:r>
    </w:p>
    <w:p>
      <w:pPr>
        <w:pStyle w:val="BodyText"/>
      </w:pPr>
      <w:r>
        <w:t xml:space="preserve">These findings contribute to IB theory in two ways. First, they help reorient the discourse on institutional effects from</w:t>
      </w:r>
      <w:r>
        <w:t xml:space="preserve"> </w:t>
      </w:r>
      <w:r>
        <w:t xml:space="preserve">“</w:t>
      </w:r>
      <w:r>
        <w:t xml:space="preserve">institutional moderation of I-P intensity</w:t>
      </w:r>
      <w:r>
        <w:t xml:space="preserve">”</w:t>
      </w:r>
      <w:r>
        <w:t xml:space="preserve"> </w:t>
      </w:r>
      <w:r>
        <w:t xml:space="preserve">toward</w:t>
      </w:r>
      <w:r>
        <w:t xml:space="preserve"> </w:t>
      </w:r>
      <w:r>
        <w:t xml:space="preserve">“</w:t>
      </w:r>
      <w:r>
        <w:t xml:space="preserve">institutional determination of I-P sign,</w:t>
      </w:r>
      <w:r>
        <w:t xml:space="preserve">”</w:t>
      </w:r>
      <w:r>
        <w:t xml:space="preserve"> </w:t>
      </w:r>
      <w:r>
        <w:t xml:space="preserve">which establishes the inverted-U as conditional on structural prerequisites rather than universal. FIP and conventional theory are best understood as the two poles of one continuum: internationalization-to-scale, where exporting optimizes margins and the turning point is very late, and internationalization-to-survive, where firms are compelled to export despite profit-eroding logistics costs and the curve collapses to a monotone negative line. The SIDS case is valuable not because it is exotic but because it is the singularity at which the standard model breaks down and thereby reveals the prerequisites it silently assumes; FIP names that limiting regime and supplies a general boundary condition for institutional moderation theory. Second, they extend the application of</w:t>
      </w:r>
      <w:r>
        <w:t xml:space="preserve"> </w:t>
      </w:r>
      <w:r>
        <w:t xml:space="preserve">“</w:t>
      </w:r>
      <w:r>
        <w:t xml:space="preserve">forced internationalization</w:t>
      </w:r>
      <w:r>
        <w:t xml:space="preserve">”</w:t>
      </w:r>
      <w:r>
        <w:t xml:space="preserve"> </w:t>
      </w:r>
      <w:r>
        <w:t xml:space="preserve">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These should address trade costs, domestic market viability through regional integration, and targeted institutional development, rather than the intensification of export activity on its own.</w:t>
      </w:r>
    </w:p>
    <w:p>
      <w:r>
        <w:pict>
          <v:rect style="width:0;height:1.5pt" o:hralign="center" o:hrstd="t" o:hr="t"/>
        </w:pict>
      </w:r>
    </w:p>
    <w:bookmarkEnd w:id="44"/>
    <w:bookmarkStart w:id="45"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45"/>
    <w:bookmarkStart w:id="49" w:name="appendix-a-tables"/>
    <w:p>
      <w:pPr>
        <w:pStyle w:val="Heading2"/>
      </w:pPr>
      <w:r>
        <w:t xml:space="preserve">Appendix A: Tables</w:t>
      </w:r>
    </w:p>
    <w:bookmarkStart w:id="46" w:name="Xd18a7fdbbe8955432f108664659551dd8892246"/>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Timor-Leste</w:t>
            </w:r>
          </w:p>
        </w:tc>
        <w:tc>
          <w:tcPr/>
          <w:p>
            <w:pPr>
              <w:pStyle w:val="Compact"/>
              <w:jc w:val="left"/>
            </w:pPr>
            <w:r>
              <w:t xml:space="preserve">393</w:t>
            </w:r>
          </w:p>
        </w:tc>
        <w:tc>
          <w:tcPr/>
          <w:p>
            <w:pPr>
              <w:pStyle w:val="Compact"/>
              <w:jc w:val="left"/>
            </w:pPr>
            <w:r>
              <w:t xml:space="preserve">53</w:t>
            </w:r>
          </w:p>
        </w:tc>
        <w:tc>
          <w:tcPr/>
          <w:p>
            <w:pPr>
              <w:pStyle w:val="Compact"/>
              <w:jc w:val="left"/>
            </w:pPr>
            <w:r>
              <w:t xml:space="preserve">13.5%</w:t>
            </w:r>
          </w:p>
        </w:tc>
        <w:tc>
          <w:tcPr/>
          <w:p>
            <w:pPr>
              <w:pStyle w:val="Compact"/>
              <w:jc w:val="left"/>
            </w:pPr>
            <w:r>
              <w:t xml:space="preserve">0.104</w:t>
            </w:r>
          </w:p>
        </w:tc>
        <w:tc>
          <w:tcPr/>
          <w:p>
            <w:pPr>
              <w:pStyle w:val="Compact"/>
              <w:jc w:val="left"/>
            </w:pPr>
            <w:r>
              <w:t xml:space="preserve">2009–2021</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2009–2023</w:t>
            </w:r>
          </w:p>
        </w:tc>
      </w:tr>
      <w:tr>
        <w:tc>
          <w:tcPr/>
          <w:p>
            <w:pPr>
              <w:pStyle w:val="Compact"/>
              <w:jc w:val="left"/>
            </w:pPr>
            <w:r>
              <w:t xml:space="preserve">Comoros</w:t>
            </w:r>
          </w:p>
        </w:tc>
        <w:tc>
          <w:tcPr/>
          <w:p>
            <w:pPr>
              <w:pStyle w:val="Compact"/>
              <w:jc w:val="left"/>
            </w:pPr>
            <w:r>
              <w:t xml:space="preserve">117</w:t>
            </w:r>
          </w:p>
        </w:tc>
        <w:tc>
          <w:tcPr/>
          <w:p>
            <w:pPr>
              <w:pStyle w:val="Compact"/>
              <w:jc w:val="left"/>
            </w:pPr>
            <w:r>
              <w:t xml:space="preserve">2</w:t>
            </w:r>
          </w:p>
        </w:tc>
        <w:tc>
          <w:tcPr/>
          <w:p>
            <w:pPr>
              <w:pStyle w:val="Compact"/>
              <w:jc w:val="left"/>
            </w:pPr>
            <w:r>
              <w:t xml:space="preserve">1.7%</w:t>
            </w:r>
          </w:p>
        </w:tc>
        <w:tc>
          <w:tcPr/>
          <w:p>
            <w:pPr>
              <w:pStyle w:val="Compact"/>
              <w:jc w:val="left"/>
            </w:pPr>
            <w:r>
              <w:t xml:space="preserve">0.011</w:t>
            </w:r>
          </w:p>
        </w:tc>
        <w:tc>
          <w:tcPr/>
          <w:p>
            <w:pPr>
              <w:pStyle w:val="Compact"/>
              <w:jc w:val="left"/>
            </w:pPr>
            <w:r>
              <w:t xml:space="preserve">2025</w:t>
            </w:r>
          </w:p>
        </w:tc>
      </w:tr>
      <w:tr>
        <w:tc>
          <w:tcPr/>
          <w:p>
            <w:pPr>
              <w:pStyle w:val="Compact"/>
              <w:jc w:val="left"/>
            </w:pPr>
            <w:r>
              <w:rPr>
                <w:bCs/>
                <w:b/>
              </w:rPr>
              <w:t xml:space="preserve">Total</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Note: Country-level breakdowns are available in the replication archive (</w:t>
      </w:r>
      <w:r>
        <w:rPr>
          <w:rStyle w:val="VerbatimChar"/>
          <w:iCs/>
          <w:i/>
        </w:rPr>
        <w:t xml:space="preserve">p8/replication/</w:t>
      </w:r>
      <w:r>
        <w:rPr>
          <w:iCs/>
          <w:i/>
        </w:rPr>
        <w:t xml:space="preserve">). Total N reflects analysis sample (non-missing ln_LP and FSTS). Wave coverage varies by country.</w:t>
      </w:r>
    </w:p>
    <w:bookmarkEnd w:id="46"/>
    <w:bookmarkStart w:id="47" w:name="Xc02e42e5e85356a7e9f67ce8450f39d43a89fec"/>
    <w:p>
      <w:pPr>
        <w:pStyle w:val="Heading3"/>
      </w:pPr>
      <w:r>
        <w:t xml:space="preserve">Table 2. Regression Results: Internationalization Intensity and Labor Productivity</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Note: Coefficients reported with heteroscedasticity-robust standard errors in parentheses. Country fixed effects absorbed in M0–M3. *** p &lt; .001; ** p &lt; .01; * p &lt; .05; . p &lt; .10.</w:t>
      </w:r>
    </w:p>
    <w:p>
      <w:pPr>
        <w:pStyle w:val="BodyText"/>
      </w:pPr>
      <w:r>
        <w:rPr>
          <w:iCs/>
          <w:i/>
        </w:rPr>
        <w:t xml:space="preserve">Forced Internationalization Penalty (FIP): Confirmed, β(FSTS_c) = −0.404, p = .032 (M1).</w:t>
      </w:r>
    </w:p>
    <w:bookmarkEnd w:id="47"/>
    <w:bookmarkStart w:id="48" w:name="X88215d8362bdd28b5211c3a1f81522f9e049dc2"/>
    <w:p>
      <w:pPr>
        <w:pStyle w:val="Heading3"/>
      </w:pPr>
      <w:r>
        <w:t xml:space="preserve">Table 3. Robustness: Exporters-Only Subsample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Negative</w:t>
            </w:r>
          </w:p>
        </w:tc>
      </w:tr>
      <w:tr>
        <w:tc>
          <w:tcPr/>
          <w:p>
            <w:pPr>
              <w:pStyle w:val="Compact"/>
              <w:jc w:val="left"/>
            </w:pPr>
            <w:r>
              <w:t xml:space="preserve">M1 full sample</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&lt;.001***</w:t>
            </w:r>
          </w:p>
        </w:tc>
        <w:tc>
          <w:tcPr/>
          <w:p>
            <w:pPr>
              <w:pStyle w:val="Compact"/>
              <w:jc w:val="left"/>
            </w:pPr>
            <w:r>
              <w:t xml:space="preserve">Negative</w:t>
            </w:r>
          </w:p>
        </w:tc>
      </w:tr>
    </w:tbl>
    <w:p>
      <w:pPr>
        <w:pStyle w:val="BodyText"/>
      </w:pPr>
      <w:r>
        <w:rPr>
          <w:iCs/>
          <w:i/>
        </w:rPr>
        <w:t xml:space="preserve">Note: Penalty confirmed in all specifications. Exporters-only result (β = −0.901) addresses adverse selection concern: among active exporters, intensifying exports further worsens performance.</w:t>
      </w:r>
    </w:p>
    <w:bookmarkEnd w:id="48"/>
    <w:bookmarkEnd w:id="49"/>
    <w:bookmarkEnd w:id="5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2026-05-27T02:53:34Z</dcterms:created>
  <dcterms:modified xsi:type="dcterms:W3CDTF">2026-05-27T02:53:34Z</dcterms:modified>
</cp:coreProperties>
</file>

<file path=docProps/custom.xml><?xml version="1.0" encoding="utf-8"?>
<Properties xmlns="http://schemas.openxmlformats.org/officeDocument/2006/custom-properties" xmlns:vt="http://schemas.openxmlformats.org/officeDocument/2006/docPropsVTypes"/>
</file>