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 Hai nhãn lý thuyết làm rõ điều này. Thứ nhất, độ dốc âm là một</w:t>
      </w:r>
      <w:r>
        <w:t xml:space="preserve"> </w:t>
      </w:r>
      <w:r>
        <w:rPr>
          <w:bCs/>
          <w:b/>
        </w:rPr>
        <w:t xml:space="preserve">thuế trừng phạt của sự cô lập (isolation penalty)</w:t>
      </w:r>
      <w:r>
        <w:t xml:space="preserve"> </w:t>
      </w:r>
      <w:r>
        <w:t xml:space="preserve">— một dạng chi phí giao dịch do cô lập địa lý (transaction cost of isolation) áp lên mọi giao dịch xuyên biên giới (mức khuếch đại chi phí thương mại 30–210%), mà doanh nghiệp buộc phải xuất khẩu phải gánh chịu vĩnh viễn chứ không thể khấu hao đi. Thứ hai, lá chắn số chỉ phát huy tác dụng khi có một hạ tầng thanh toán và logistics tối thiểu để vận hành; trong điều kiện</w:t>
      </w:r>
      <w:r>
        <w:t xml:space="preserve"> </w:t>
      </w:r>
      <w:r>
        <w:rPr>
          <w:bCs/>
          <w:b/>
        </w:rPr>
        <w:t xml:space="preserve">khoảng trống thể chế cực hạn (extreme institutional void)</w:t>
      </w:r>
      <w:r>
        <w:t xml:space="preserve"> </w:t>
      </w:r>
      <w:r>
        <w:t xml:space="preserve">đặc trưng của SIDS, hạ tầng ấy gần như vắng mặt, nên năng lực số không thể thay thế cho thể chế và hạ tầng vật lý còn thiếu.</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2026-05-27T02:52:43Z</dcterms:created>
  <dcterms:modified xsi:type="dcterms:W3CDTF">2026-05-27T02:52:43Z</dcterms:modified>
</cp:coreProperties>
</file>

<file path=docProps/custom.xml><?xml version="1.0" encoding="utf-8"?>
<Properties xmlns="http://schemas.openxmlformats.org/officeDocument/2006/custom-properties" xmlns:vt="http://schemas.openxmlformats.org/officeDocument/2006/docPropsVTypes"/>
</file>