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 Luận điểm trọng tâm mà luận án đề xuất và kiểm định có điều kiện là thể chế không chỉ điều tiết độ lớn mà còn có thể định hình dấu và dạng hình của quan hệ I–P; ở cực trị thể chế yếu nhất, bằng chứng cho thấy họ mô hình chữ U ngược có xu hướng không còn áp dụng. Bằng chứng về vai trò định hình dạng hàm là có điều kiện và phụ thuộc bối cảnh, không phổ quát trên toàn mẫu (xem Chương 4).</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(khung phân tích 88.869 doanh nghiệp trên 103 cặp nền–năm, gồm Nhật Bản; mẫu hồi quy bậc hai N = 81.022 và mô hình đầy đủ N = 79.080 doanh nghiệp sau khi loại theo danh sách các biến điều tiết khuyết),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 The dissertation’s central thesis, which it advances and conditionally tests, is that institutions moderate not merely the magnitude but may also shape the sign and form of the I–P relationship, and that at the weakest-institution extreme the inverted-U family appears to cease to apply. Evidence for the shape-moderation claim is conditional and context-dependent rather than universal across the pool (see Chapter 4).</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(an analytic frame of 88,869 firms across 103 economy-year pairs, including Japan; quadratic-model N = 81,022 and full-model N = 79,080 after listwise deletion on the moderators),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r>
        <w:t xml:space="preserve"> </w:t>
      </w:r>
      <w:r>
        <w:t xml:space="preserve">- Bảng 5.1. Sợi chỉ vàng tích hợp: câu hỏi nghiên cứu, nghiên cứu thành phần, giả thuyết, phát hiện thực nghiệm chủ chốt, đóng góp lý thuyết (Chương 5, Mục 5.1.8)</w:t>
      </w:r>
    </w:p>
    <w:p>
      <w:pPr>
        <w:pStyle w:val="BodyText"/>
      </w:pPr>
      <w:r>
        <w:rPr>
          <w:bCs/>
          <w:b/>
        </w:rPr>
        <w:t xml:space="preserve">Bảng phụ lục (không đánh số trong danh mục, theo mục):</w:t>
      </w:r>
      <w:r>
        <w:t xml:space="preserve"> </w:t>
      </w:r>
      <w:r>
        <w:t xml:space="preserve">- Bảng C.1. Kết quả hồi quy chính và điểm uốn của tám nghiên cứu thành phần (Phụ lục C, Mục C.1)</w:t>
      </w:r>
      <w:r>
        <w:t xml:space="preserve"> </w:t>
      </w:r>
      <w:r>
        <w:t xml:space="preserve">- Bảng C.2. Chi tiết phân tích tổng hợp ba tầng P6 (Phụ lục C, Mục C.2)</w:t>
      </w:r>
      <w:r>
        <w:t xml:space="preserve"> </w:t>
      </w:r>
      <w:r>
        <w:t xml:space="preserve">- Bảng C.3. Điểm uốn theo sáu nhóm ICRV trong kiểm định toàn mẫu P7 (Phụ lục C, Mục C.3)</w:t>
      </w:r>
      <w:r>
        <w:t xml:space="preserve"> </w:t>
      </w:r>
      <w:r>
        <w:t xml:space="preserve">- Bảng C.4. Tóm tắt kiểm định độ vững theo từng nghiên cứu thành phần (Phụ lục C, Mục C.4)</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Bậc 1–4</w:t>
            </w:r>
          </w:p>
        </w:tc>
        <w:tc>
          <w:tcPr/>
          <w:p>
            <w:pPr>
              <w:pStyle w:val="Compact"/>
              <w:jc w:val="left"/>
            </w:pPr>
            <w:r>
              <w:t xml:space="preserve">Digital adoption tiers 1–4</w:t>
            </w:r>
          </w:p>
        </w:tc>
        <w:tc>
          <w:tcPr/>
          <w:p>
            <w:pPr>
              <w:pStyle w:val="Compact"/>
              <w:jc w:val="left"/>
            </w:pPr>
            <w:r>
              <w:t xml:space="preserve">Bốn bậc chuyển đổi số dùng để phân tầng chỉ số chấp nhận số (DAI): Bậc 1 hiện diện số cơ bản (website), Bậc 2 giao dịch số (thanh toán điện tử), Bậc 3 tích hợp hệ thống, Bậc 4 năng lực số nâng cao; dữ liệu WBES chỉ đo được Bậc 1–2</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theo vai trò trong luận án: (i) công trình đã công bố là</w:t>
      </w:r>
      <w:r>
        <w:t xml:space="preserve"> </w:t>
      </w:r>
      <w:r>
        <w:rPr>
          <w:bCs/>
          <w:b/>
        </w:rPr>
        <w:t xml:space="preserve">kết quả của luận án</w:t>
      </w:r>
      <w:r>
        <w:t xml:space="preserve">; (ii) công trình đã công bố là</w:t>
      </w:r>
      <w:r>
        <w:t xml:space="preserve"> </w:t>
      </w:r>
      <w:r>
        <w:rPr>
          <w:bCs/>
          <w:b/>
        </w:rPr>
        <w:t xml:space="preserve">tiền đề được luận án mở rộng</w:t>
      </w:r>
      <w:r>
        <w:t xml:space="preserve">, chỉ trích dẫn (không tính là sản phẩm chính); (iii) bản thảo</w:t>
      </w:r>
      <w:r>
        <w:t xml:space="preserve"> </w:t>
      </w:r>
      <w:r>
        <w:rPr>
          <w:bCs/>
          <w:b/>
        </w:rPr>
        <w:t xml:space="preserve">kết quả của luận án</w:t>
      </w:r>
      <w:r>
        <w:t xml:space="preserve"> </w:t>
      </w:r>
      <w:r>
        <w:t xml:space="preserve">đang hoàn thiện; và (iv) sản phẩm phần mềm.</w:t>
      </w:r>
    </w:p>
    <w:p>
      <w:pPr>
        <w:pStyle w:val="BodyText"/>
      </w:pPr>
      <w:r>
        <w:rPr>
          <w:bCs/>
          <w:b/>
        </w:rPr>
        <w:t xml:space="preserve">A. Đã công bố — kết quả của luận án (đã bình duyệt)</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(Nghiên cứu thành phần P2: chữ U ngược ở doanh nghiệp sản xuất nhỏ và vừa Trung Quốc, điểm uốn 47,8%, cơ chế bẫy vốn lưu động; được trình bày trong luận án ở Mục 4.4.8. Bổ trợ cho P5 với câu hỏi và thước đo khác (P2: dạng hàm và cơ chế; P5: tính ổn định theo thời gian), điểm uốn trùng khớp là kiểm chứng chéo chứ không phải đếm trùng.)</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(Chương sách về Ấn Độ, 380 doanh nghiệp WBES, ước lượng FGLS, biến điều tiết thượng tầng quản trị (kinh nghiệm và giới tính nhà quản trị); là kết quả độc lập, khác hoàn toàn nghiên cứu thành phần P9 về biến phụ thuộc, dạng hàm, khung lý thuyết, biến điều tiết và mẫu, nên không bị P9 chứa hay thay thế.)</w:t>
      </w:r>
    </w:p>
    <w:p>
      <w:pPr>
        <w:pStyle w:val="FirstParagraph"/>
      </w:pPr>
      <w:r>
        <w:rPr>
          <w:bCs/>
          <w:b/>
        </w:rPr>
        <w:t xml:space="preserve">B. Đã công bố — công trình tiền đề được luận án mở rộng (chỉ trích dẫn)</w:t>
      </w:r>
    </w:p>
    <w:p>
      <w:pPr>
        <w:numPr>
          <w:ilvl w:val="0"/>
          <w:numId w:val="1003"/>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(Nghiên cứu thành phần P1, mẫu gộp 17 nền kinh tế; được luận án mở rộng thành mẫu gộp 50 nền kinh tế ở P7 trên cùng thiết kế (17 nền nằm trọn trong 50 nền), nên được trích dẫn như công trình tiền đề.)</w:t>
      </w:r>
    </w:p>
    <w:p>
      <w:pPr>
        <w:numPr>
          <w:ilvl w:val="0"/>
          <w:numId w:val="1003"/>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được luận án mở rộng thành phân tích tổng hợp ba tầng k = 238 ở P6 trên cùng tập nghiên cứu (113 nghiên cứu nằm trọn trong 238), nên được trích dẫn như công trình tiền đề.)</w:t>
      </w:r>
    </w:p>
    <w:p>
      <w:pPr>
        <w:pStyle w:val="FirstParagraph"/>
      </w:pPr>
      <w:r>
        <w:rPr>
          <w:bCs/>
          <w:b/>
        </w:rPr>
        <w:t xml:space="preserve">C. Bản thảo đang hoàn thiện, chưa nộp — kết quả của luận án (CHƯA công bố)</w:t>
      </w:r>
    </w:p>
    <w:p>
      <w:pPr>
        <w:numPr>
          <w:ilvl w:val="0"/>
          <w:numId w:val="1004"/>
        </w:numPr>
        <w:pStyle w:val="Compact"/>
      </w:pPr>
      <w:r>
        <w:t xml:space="preserve">Nghiên cứu thành phần P3, Việt Nam (bối cảnh chuyển đổi thu nhập trung bình thấp).</w:t>
      </w:r>
      <w:r>
        <w:t xml:space="preserve"> </w:t>
      </w:r>
      <w:r>
        <w:rPr>
          <w:iCs/>
          <w:i/>
        </w:rPr>
        <w:t xml:space="preserve">[Bản thảo chưa nộp.]</w:t>
      </w:r>
    </w:p>
    <w:p>
      <w:pPr>
        <w:numPr>
          <w:ilvl w:val="0"/>
          <w:numId w:val="1004"/>
        </w:numPr>
        <w:pStyle w:val="Compact"/>
      </w:pPr>
      <w:r>
        <w:t xml:space="preserve">Nghiên cứu thành phần P4, Singapore (bối cảnh thể chế tiên tiến–đổi mới).</w:t>
      </w:r>
      <w:r>
        <w:t xml:space="preserve"> </w:t>
      </w:r>
      <w:r>
        <w:rPr>
          <w:iCs/>
          <w:i/>
        </w:rPr>
        <w:t xml:space="preserve">[Bản thảo chưa nộp.]</w:t>
      </w:r>
    </w:p>
    <w:p>
      <w:pPr>
        <w:numPr>
          <w:ilvl w:val="0"/>
          <w:numId w:val="1004"/>
        </w:numPr>
        <w:pStyle w:val="Compact"/>
      </w:pPr>
      <w:r>
        <w:t xml:space="preserve">Nghiên cứu thành phần P5, Trung Quốc 2012–2024 (bối cảnh trung bình cao).</w:t>
      </w:r>
      <w:r>
        <w:t xml:space="preserve"> </w:t>
      </w:r>
      <w:r>
        <w:rPr>
          <w:iCs/>
          <w:i/>
        </w:rPr>
        <w:t xml:space="preserve">[Bản thảo chưa nộp.]</w:t>
      </w:r>
    </w:p>
    <w:p>
      <w:pPr>
        <w:numPr>
          <w:ilvl w:val="0"/>
          <w:numId w:val="1004"/>
        </w:numPr>
        <w:pStyle w:val="Compact"/>
      </w:pPr>
      <w:r>
        <w:t xml:space="preserve">Nghiên cứu thành phần P6, phân tích tổng hợp ba tầng mở rộng 1977–2026.</w:t>
      </w:r>
      <w:r>
        <w:t xml:space="preserve"> </w:t>
      </w:r>
      <w:r>
        <w:rPr>
          <w:iCs/>
          <w:i/>
        </w:rPr>
        <w:t xml:space="preserve">[Bản thảo chưa nộp.]</w:t>
      </w:r>
    </w:p>
    <w:p>
      <w:pPr>
        <w:numPr>
          <w:ilvl w:val="0"/>
          <w:numId w:val="1004"/>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chưa nộp.]</w:t>
      </w:r>
    </w:p>
    <w:p>
      <w:pPr>
        <w:numPr>
          <w:ilvl w:val="0"/>
          <w:numId w:val="1004"/>
        </w:numPr>
        <w:pStyle w:val="Compact"/>
      </w:pPr>
      <w:r>
        <w:t xml:space="preserve">Nghiên cứu thành phần P8, Trường hợp biên SIDS, gánh nặng quốc tế hóa bắt buộc (FIP).</w:t>
      </w:r>
      <w:r>
        <w:t xml:space="preserve"> </w:t>
      </w:r>
      <w:r>
        <w:rPr>
          <w:iCs/>
          <w:i/>
        </w:rPr>
        <w:t xml:space="preserve">[Bản thảo chưa nộp.]</w:t>
      </w:r>
    </w:p>
    <w:p>
      <w:pPr>
        <w:numPr>
          <w:ilvl w:val="0"/>
          <w:numId w:val="1004"/>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chưa nộp.]</w:t>
      </w:r>
    </w:p>
    <w:p>
      <w:pPr>
        <w:numPr>
          <w:ilvl w:val="0"/>
          <w:numId w:val="1004"/>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4"/>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D. Sản phẩm phần mềm (đăng ký quyền tác giả)</w:t>
      </w:r>
    </w:p>
    <w:p>
      <w:pPr>
        <w:numPr>
          <w:ilvl w:val="0"/>
          <w:numId w:val="1005"/>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kết quả của luận án là các nghiên cứu thành phần P2–P10, gồm hai công trình đã công bố (P2 ở mục A và chương sách về Ấn Độ ở mục A) và các bản thảo ở mục C, cùng sản phẩm phái sinh P11 theo định hướng phát triển khai thác lại bằng chứng của luận án; trong các chương, chúng được dẫn chiếu bằng nhãn nội bộ (P2–P10) thay vì trích dẫn tác giả–năm. Tiêu chí phân nhóm A so với B: một công trình đã công bố chỉ xếp vào tiền đề (mục B) khi một nghiên cứu thành phần của luận án mở rộng nó trên cùng thiết kế và chứa trọn dữ liệu của nó, do đó nếu tính cả hai sẽ đếm trùng cùng một phần bằng chứng; ngược lại, công trình có thiết kế riêng (khác biến phụ thuộc, biến độc lập, biến điều tiết hoặc câu hỏi nghiên cứu) được tính là kết quả độc lập ở mục A dù có thể cùng quốc gia với một nghiên cứu thành phần. Theo tiêu chí này, chỉ hai công trình ở mục B là tiền đề bị chứa trọn: P1 (17 nền) → P7 (50 nền, 17 nền nằm trong 50 nền); và phân tích tổng hợp cơ sở ICBEF (k = 113) → P6 (k = 238, 113 nghiên cứu nằm trong 238). Chương sách về Ấn Độ và P9 khác nhau toàn diện (biến phụ thuộc, dạng hàm, khung lý thuyết, biến điều tiết và mẫu) nên không thuộc quan hệ chứa trọn này; tương tự, P2 và P5 dùng câu hỏi và thước đo khác nhau, điểm uốn gần nhau là kiểm chứng chéo. Các bản thảo ở mục C CHƯA được công bố/bình duyệt chính thức, không được diễn giải như bằng chứng đã qua bình duyệt độc lập; tên tạp chí mục tiêu được nêu để minh bạch định hướng công bố. NCS cập nhật trạng thái tại thời điểm bảo vệ.</w:t>
      </w:r>
    </w:p>
    <w:p>
      <w:r>
        <w:pict>
          <v:rect style="width:0;height:1.5pt" o:hralign="center" o:hrstd="t" o:hr="t"/>
        </w:pict>
      </w:r>
    </w:p>
    <w:bookmarkEnd w:id="2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2026-06-26T17:58:57Z</dcterms:created>
  <dcterms:modified xsi:type="dcterms:W3CDTF">2026-06-26T17:58:57Z</dcterms:modified>
</cp:coreProperties>
</file>

<file path=docProps/custom.xml><?xml version="1.0" encoding="utf-8"?>
<Properties xmlns="http://schemas.openxmlformats.org/officeDocument/2006/custom-properties" xmlns:vt="http://schemas.openxmlformats.org/officeDocument/2006/docPropsVTypes"/>
</file>