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§5.1 for the</w:t>
      </w:r>
      <w:r>
        <w:t xml:space="preserve"> </w:t>
      </w:r>
      <w:r>
        <w:t xml:space="preserve">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 "digital adoption" is more defensible than "digital capability" 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 "digital capability" 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&amp;</w:t>
      </w:r>
      <w:r>
        <w:t xml:space="preserve"> </w:t>
      </w:r>
      <w:r>
        <w:t xml:space="preserve">Levinthal 1990), before any additional moderation of the I–P curve shape</w:t>
      </w:r>
      <w:r>
        <w:t xml:space="preserve"> </w:t>
      </w:r>
      <w:r>
        <w:t xml:space="preserve">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§4 and substitution/selection retained as alternatives assessed against the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§5.1 for the construct-boundary discussion). The Lind–Mehlum equivalence</w:t>
      </w:r>
      <w:r>
        <w:t xml:space="preserve"> </w:t>
      </w:r>
      <w:r>
        <w:t xml:space="preserve">test result (p = .303) reported in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&amp;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§1.2 and</w:t>
      </w:r>
      <w:r>
        <w:t xml:space="preserve"> </w:t>
      </w:r>
      <w:r>
        <w:t xml:space="preserve">§3.2.3: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§1.3</w:t>
      </w:r>
      <w:r>
        <w:t xml:space="preserve"> </w:t>
      </w:r>
      <w:r>
        <w:t xml:space="preserve">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Four boundary conditions delimit the inferential reach of the OLS specification; the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is the natural setting for the intensity-margin mechanism but is underpowered for the small moderation block (f² ≈ 0.018; power ≈ 16% at N = 84, against N ≳ 430 for 80% power; Leon 2004).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82%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 "no inverted-U" from "an inverted-U whose decline lies in the unobserved upper tail";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 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 000 attendees and record 6, 800 startup applications from</w:t>
      </w:r>
      <w:r>
        <w:t xml:space="preserve"> </w:t>
      </w:r>
      <w:r>
        <w:t xml:space="preserve">150 markets at the 2025 Singapore Week of Innovation and Technology</w:t>
      </w:r>
      <w:r>
        <w:t xml:space="preserve"> </w:t>
      </w:r>
      <w:r>
        <w:t xml:space="preserve">(Enterprise Singapore, 2025), and 22, 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hyperlink r:id="rId55">
          <w:r>
            <w:rPr>
              <w:rStyle w:val="Hyperlink"/>
            </w:rPr>
            <w:t xml:space="preserve">www.enterprisesurveys.org</w:t>
          </w:r>
        </w:hyperlink>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97"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2">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Antonakis, J., Bendahan, S., Jacquart,</w:t>
      </w:r>
      <w:r>
        <w:t xml:space="preserve"> </w:t>
      </w:r>
      <w:r>
        <w:t xml:space="preserve">P., and Lalive, R. (2010). On making causal claims: A review and</w:t>
      </w:r>
      <w:r>
        <w:t xml:space="preserve"> </w:t>
      </w:r>
      <w:r>
        <w:t xml:space="preserve">recommendations.</w:t>
      </w:r>
      <w:r>
        <w:t xml:space="preserve"> </w:t>
      </w:r>
      <w:r>
        <w:rPr>
          <w:iCs/>
          <w:i/>
        </w:rPr>
        <w:t xml:space="preserve">The Leadership Quarterly, 21</w:t>
      </w:r>
      <w:r>
        <w:t xml:space="preserve">(6), 1086–1120.</w:t>
      </w:r>
      <w:r>
        <w:t xml:space="preserve"> </w:t>
      </w:r>
      <w:hyperlink r:id="rId63">
        <w:r>
          <w:rPr>
            <w:rStyle w:val="Hyperlink"/>
          </w:rPr>
          <w:t xml:space="preserve">https://doi.org/10.1016/j.leaqua.2010.10.010</w:t>
        </w:r>
      </w:hyperlink>
      <w:r>
        <w:t xml:space="preserve"> </w:t>
      </w:r>
      <w:r>
        <w:t xml:space="preserve">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4">
        <w:r>
          <w:rPr>
            <w:rStyle w:val="Hyperlink"/>
          </w:rPr>
          <w:t xml:space="preserve">https://doi.org/10.1057/s41287-020-00328-2</w:t>
        </w:r>
      </w:hyperlink>
      <w:r>
        <w:t xml:space="preserve"> </w:t>
      </w:r>
      <w:r>
        <w:t xml:space="preserve">Banalieva, E. R., &amp;</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5">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66">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67">
        <w:r>
          <w:rPr>
            <w:rStyle w:val="Hyperlink"/>
          </w:rPr>
          <w:t xml:space="preserve">https://doi.org/10.25300/MISQ/2013/37:2.3</w:t>
        </w:r>
      </w:hyperlink>
      <w:r>
        <w:t xml:space="preserve"> </w:t>
      </w:r>
      <w:r>
        <w:t xml:space="preserve">Brynjolfsson, E., Rock, D., and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69">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70">
        <w:r>
          <w:rPr>
            <w:rStyle w:val="Hyperlink"/>
          </w:rPr>
          <w:t xml:space="preserve">https://doi.org/10.1016/j.jbusres.2008.01.013</w:t>
        </w:r>
      </w:hyperlink>
      <w:r>
        <w:t xml:space="preserve"> </w:t>
      </w:r>
      <w:r>
        <w:t xml:space="preserve">Contractor, F. J.</w:t>
      </w:r>
      <w:r>
        <w:t xml:space="preserve"> </w:t>
      </w:r>
      <w:r>
        <w:t xml:space="preserve">(2007). Is international business good for companies? The evolutionary</w:t>
      </w:r>
      <w:r>
        <w:t xml:space="preserve"> </w:t>
      </w:r>
      <w:r>
        <w:t xml:space="preserve">or multi-stage theory of internationalization vs. the transaction cost</w:t>
      </w:r>
      <w:r>
        <w:t xml:space="preserve"> </w:t>
      </w:r>
      <w:r>
        <w:t xml:space="preserve">perspective.</w:t>
      </w:r>
      <w:r>
        <w:t xml:space="preserve"> </w:t>
      </w:r>
      <w:r>
        <w:rPr>
          <w:iCs/>
          <w:i/>
        </w:rPr>
        <w:t xml:space="preserve">Management International Review, 47</w:t>
      </w:r>
      <w:r>
        <w:t xml:space="preserve">(3), 453–475.</w:t>
      </w:r>
      <w:r>
        <w:t xml:space="preserve"> </w:t>
      </w:r>
      <w:hyperlink r:id="rId71">
        <w:r>
          <w:rPr>
            <w:rStyle w:val="Hyperlink"/>
          </w:rPr>
          <w:t xml:space="preserve">https://doi.org/10.1007/s11575-007-0024-2</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2">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4">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5">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76">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77">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78">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79">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80">
        <w:r>
          <w:rPr>
            <w:rStyle w:val="Hyperlink"/>
          </w:rPr>
          <w:t xml:space="preserve">https://doi.org/10.5465/20159604</w:t>
        </w:r>
      </w:hyperlink>
      <w:r>
        <w:t xml:space="preserve"> </w:t>
      </w:r>
      <w:r>
        <w:t xml:space="preserve">MacKinnon, J. G., &amp;</w:t>
      </w:r>
      <w:r>
        <w:t xml:space="preserve"> </w:t>
      </w:r>
      <w:r>
        <w:t xml:space="preserve">White, H. (1985). Some heteroskedasticity-consistent covariance matrix</w:t>
      </w:r>
      <w:r>
        <w:t xml:space="preserve"> </w:t>
      </w:r>
      <w:r>
        <w:t xml:space="preserve">estimators with improved finite sample properties.</w:t>
      </w:r>
      <w:r>
        <w:t xml:space="preserve"> </w:t>
      </w:r>
      <w:r>
        <w:rPr>
          <w:iCs/>
          <w:i/>
        </w:rPr>
        <w:t xml:space="preserve">Journal of</w:t>
      </w:r>
      <w:r>
        <w:rPr>
          <w:iCs/>
          <w:i/>
        </w:rPr>
        <w:t xml:space="preserve"> </w:t>
      </w:r>
      <w:r>
        <w:rPr>
          <w:iCs/>
          <w:i/>
        </w:rPr>
        <w:t xml:space="preserve">Econometrics, 29</w:t>
      </w:r>
      <w:r>
        <w:t xml:space="preserve">(3), 305–325.</w:t>
      </w:r>
      <w:r>
        <w:t xml:space="preserve"> </w:t>
      </w:r>
      <w:hyperlink r:id="rId81">
        <w:r>
          <w:rPr>
            <w:rStyle w:val="Hyperlink"/>
          </w:rPr>
          <w:t xml:space="preserve">https://doi.org/10.1016/0304-4076(85)90158-7</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r>
        <w:t xml:space="preserve"> </w:t>
      </w:r>
      <w:r>
        <w:t xml:space="preserve">Meyer, K. E., van</w:t>
      </w:r>
      <w:r>
        <w:t xml:space="preserve"> </w:t>
      </w:r>
      <w:r>
        <w:t xml:space="preserve">Witteloostuijn, A., and Beugelsdijk, S. (2017). What’s in a p? Reassessing</w:t>
      </w:r>
      <w:r>
        <w:t xml:space="preserve"> </w:t>
      </w:r>
      <w:r>
        <w:t xml:space="preserve">best practices for conducting and reporting hypothesis-testing research.</w:t>
      </w:r>
      <w:r>
        <w:t xml:space="preserve"> </w:t>
      </w:r>
      <w:r>
        <w:rPr>
          <w:iCs/>
          <w:i/>
        </w:rPr>
        <w:t xml:space="preserve">Journal of International Business Studies, 48</w:t>
      </w:r>
      <w:r>
        <w:t xml:space="preserve">(5), 535–551.</w:t>
      </w:r>
      <w:r>
        <w:t xml:space="preserve"> </w:t>
      </w:r>
      <w:hyperlink r:id="rId83">
        <w:r>
          <w:rPr>
            <w:rStyle w:val="Hyperlink"/>
          </w:rPr>
          <w:t xml:space="preserve">https://doi.org/10.1057/s41267-017-0078-8</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4">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5">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86">
        <w:r>
          <w:rPr>
            <w:rStyle w:val="Hyperlink"/>
          </w:rPr>
          <w:t xml:space="preserve">https://doi.org/10.1057/palgrave.jibs.8400377</w:t>
        </w:r>
      </w:hyperlink>
      <w:r>
        <w:t xml:space="preserve"> </w:t>
      </w:r>
      <w:r>
        <w:t xml:space="preserve">Rugman, A. M., &amp;</w:t>
      </w:r>
      <w:r>
        <w:t xml:space="preserve"> </w:t>
      </w:r>
      <w:r>
        <w:t xml:space="preserve">Verbeke, A. (2004). A perspective on regional and global strategies of</w:t>
      </w:r>
      <w:r>
        <w:t xml:space="preserve"> </w:t>
      </w:r>
      <w:r>
        <w:t xml:space="preserve">multinational enterprises.</w:t>
      </w:r>
      <w:r>
        <w:t xml:space="preserve"> </w:t>
      </w:r>
      <w:r>
        <w:rPr>
          <w:iCs/>
          <w:i/>
        </w:rPr>
        <w:t xml:space="preserve">Journal of International Business Studies,</w:t>
      </w:r>
      <w:r>
        <w:rPr>
          <w:iCs/>
          <w:i/>
        </w:rPr>
        <w:t xml:space="preserve"> </w:t>
      </w:r>
      <w:r>
        <w:rPr>
          <w:iCs/>
          <w:i/>
        </w:rPr>
        <w:t xml:space="preserve">35</w:t>
      </w:r>
      <w:r>
        <w:t xml:space="preserve">(1), 3–18.</w:t>
      </w:r>
      <w:r>
        <w:t xml:space="preserve"> </w:t>
      </w:r>
      <w:hyperlink r:id="rId87">
        <w:r>
          <w:rPr>
            <w:rStyle w:val="Hyperlink"/>
          </w:rPr>
          <w:t xml:space="preserve">https://doi.org/10.1057/palgrave.jibs.8400073</w:t>
        </w:r>
      </w:hyperlink>
      <w:r>
        <w:t xml:space="preserve"> </w:t>
      </w:r>
      <w:r>
        <w:t xml:space="preserve">Shaver, J.</w:t>
      </w:r>
      <w:r>
        <w:t xml:space="preserve"> </w:t>
      </w:r>
      <w:r>
        <w:t xml:space="preserve">M. (2020). Causal identification through a cumulative body of research</w:t>
      </w:r>
      <w:r>
        <w:t xml:space="preserve"> </w:t>
      </w:r>
      <w:r>
        <w:t xml:space="preserve">in the study of strategy and organizations.</w:t>
      </w:r>
      <w:r>
        <w:t xml:space="preserve"> </w:t>
      </w:r>
      <w:r>
        <w:rPr>
          <w:iCs/>
          <w:i/>
        </w:rPr>
        <w:t xml:space="preserve">Journal of Management,</w:t>
      </w:r>
      <w:r>
        <w:rPr>
          <w:iCs/>
          <w:i/>
        </w:rPr>
        <w:t xml:space="preserve"> </w:t>
      </w:r>
      <w:r>
        <w:rPr>
          <w:iCs/>
          <w:i/>
        </w:rPr>
        <w:t xml:space="preserve">46</w:t>
      </w:r>
      <w:r>
        <w:t xml:space="preserve">(6), 1244–1256.</w:t>
      </w:r>
      <w:r>
        <w:t xml:space="preserve"> </w:t>
      </w:r>
      <w:hyperlink r:id="rId88">
        <w:r>
          <w:rPr>
            <w:rStyle w:val="Hyperlink"/>
          </w:rPr>
          <w:t xml:space="preserve">https://doi.org/10.1177/0149206319846272</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89">
        <w:r>
          <w:rPr>
            <w:rStyle w:val="Hyperlink"/>
          </w:rPr>
          <w:t xml:space="preserve">https://doi.org/10.1002/gsj.1336</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90">
        <w:r>
          <w:rPr>
            <w:rStyle w:val="Hyperlink"/>
          </w:rPr>
          <w:t xml:space="preserve">https://doi.org/10.1016/j.jbusres.2019.09.022</w:t>
        </w:r>
      </w:hyperlink>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91">
        <w:r>
          <w:rPr>
            <w:rStyle w:val="Hyperlink"/>
          </w:rPr>
          <w:t xml:space="preserve">https://doi.org/10.1002/smj.2995</w:t>
        </w:r>
      </w:hyperlink>
    </w:p>
    <w:p>
      <w:pPr>
        <w:pStyle w:val="BodyText"/>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 000 attendees</w:t>
      </w:r>
      <w:r>
        <w:t xml:space="preserve"> </w:t>
      </w:r>
      <w:r>
        <w:t xml:space="preserve">[Press release].</w:t>
      </w:r>
      <w:r>
        <w:t xml:space="preserve"> </w:t>
      </w:r>
      <w:r>
        <w:t xml:space="preserve">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2026-06-09T04:53:05Z</dcterms:created>
  <dcterms:modified xsi:type="dcterms:W3CDTF">2026-06-09T04:53:05Z</dcterms:modified>
</cp:coreProperties>
</file>

<file path=docProps/custom.xml><?xml version="1.0" encoding="utf-8"?>
<Properties xmlns="http://schemas.openxmlformats.org/officeDocument/2006/custom-properties" xmlns:vt="http://schemas.openxmlformats.org/officeDocument/2006/docPropsVTypes"/>
</file>