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32"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1"/>
    <w:bookmarkStart w:id="22"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2"/>
    <w:bookmarkStart w:id="23"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 mô hình Uppsala, lý thuyết dựa trên nguồn lực (RBV), lý thuyết thể chế và lý thuyết thượng tầng quản trị —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nhưng điểm uốn (turning point) không cố định mà giảm dần theo chất lượng thể chế —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 "lá chắn số"); (3) tại nhóm SIDS, quan hệ I–P chuyển thành âm đơn điệu không có điểm uốn —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3"/>
    <w:bookmarkStart w:id="24"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 the Uppsala model, the resource-based view (RBV), institutional theory, and upper echelons theory —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91,982 firms), complemented by country-specific analyses (Vietnam, Singapore, China, India) and a boundary case of seven Pacific Small Island Developing States (SIDS).</w:t>
      </w:r>
    </w:p>
    <w:p>
      <w:pPr>
        <w:pStyle w:val="BodyText"/>
      </w:pPr>
      <w:r>
        <w:t xml:space="preserve">Key findings: (1) the I–P relationship is inverted-U shaped, but the turning point is not fixed —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 "digital shield" effect); (3) in the SIDS group the relationship becomes monotonically negative with no turning point —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4"/>
    <w:bookmarkStart w:id="25" w:name="mục-lục"/>
    <w:p>
      <w:pPr>
        <w:pStyle w:val="Heading2"/>
      </w:pPr>
      <w:r>
        <w:t xml:space="preserve">MỤC LỤC</w:t>
      </w:r>
    </w:p>
    <w:p>
      <w:pPr>
        <w:pStyle w:val="FirstParagraph"/>
      </w:pPr>
      <w:r>
        <w:rPr>
          <w:iCs/>
          <w:i/>
        </w:rPr>
        <w:t xml:space="preserve">(Tự động cập nhật khi xuất bản; cấu trúc tóm tắt)</w:t>
      </w:r>
    </w:p>
    <w:p>
      <w:pPr>
        <w:numPr>
          <w:ilvl w:val="0"/>
          <w:numId w:val="1001"/>
        </w:numPr>
        <w:pStyle w:val="Compact"/>
      </w:pPr>
      <w:r>
        <w:t xml:space="preserve">Chương 1. Giới thiệu</w:t>
      </w:r>
    </w:p>
    <w:p>
      <w:pPr>
        <w:numPr>
          <w:ilvl w:val="0"/>
          <w:numId w:val="1001"/>
        </w:numPr>
        <w:pStyle w:val="Compact"/>
      </w:pPr>
      <w:r>
        <w:t xml:space="preserve">Chương 2. Cơ sở lý thuyết và tổng quan tài liệu</w:t>
      </w:r>
    </w:p>
    <w:p>
      <w:pPr>
        <w:numPr>
          <w:ilvl w:val="0"/>
          <w:numId w:val="1001"/>
        </w:numPr>
        <w:pStyle w:val="Compact"/>
      </w:pPr>
      <w:r>
        <w:t xml:space="preserve">Chương 3. Phương pháp nghiên cứu</w:t>
      </w:r>
    </w:p>
    <w:p>
      <w:pPr>
        <w:numPr>
          <w:ilvl w:val="0"/>
          <w:numId w:val="1001"/>
        </w:numPr>
        <w:pStyle w:val="Compact"/>
      </w:pPr>
      <w:r>
        <w:t xml:space="preserve">Chương 4. Kết quả nghiên cứu</w:t>
      </w:r>
    </w:p>
    <w:p>
      <w:pPr>
        <w:numPr>
          <w:ilvl w:val="0"/>
          <w:numId w:val="1001"/>
        </w:numPr>
        <w:pStyle w:val="Compact"/>
      </w:pPr>
      <w:r>
        <w:t xml:space="preserve">Chương 5. Thảo luận và kết luận</w:t>
      </w:r>
    </w:p>
    <w:p>
      <w:pPr>
        <w:numPr>
          <w:ilvl w:val="0"/>
          <w:numId w:val="1001"/>
        </w:numPr>
        <w:pStyle w:val="Compact"/>
      </w:pPr>
      <w:r>
        <w:t xml:space="preserve">Tài liệu tham khảo</w:t>
      </w:r>
    </w:p>
    <w:p>
      <w:pPr>
        <w:numPr>
          <w:ilvl w:val="0"/>
          <w:numId w:val="1001"/>
        </w:numPr>
        <w:pStyle w:val="Compact"/>
      </w:pPr>
      <w:r>
        <w:t xml:space="preserve">Phụ lục</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danh-mục-bảng"/>
    <w:p>
      <w:pPr>
        <w:pStyle w:val="Heading2"/>
      </w:pPr>
      <w:r>
        <w:t xml:space="preserve">DANH MỤC BẢNG</w:t>
      </w:r>
    </w:p>
    <w:p>
      <w:pPr>
        <w:pStyle w:val="FirstParagraph"/>
      </w:pPr>
      <w:r>
        <w:rPr>
          <w:iCs/>
          <w:i/>
        </w:rPr>
        <w:t xml:space="preserve">(Tự động cập nhật. Ví dụ: Bảng 4.1 — Phân tán năng suất lao động và đặc điểm quốc tế hóa theo phân nhóm con ICRV; Bảng 4.2 — Đổi mới sáng tạo và chấp nhận số theo phân nhóm con ICRV; Bảng định nghĩa biến cho từng nghiên cứu thành phần ở Chương 3; Bảng tổng hợp kết quả theo hệ giả thuyết §4.8.)</w:t>
      </w:r>
    </w:p>
    <w:bookmarkEnd w:id="27"/>
    <w:bookmarkStart w:id="28" w:name="danh-mục-hình"/>
    <w:p>
      <w:pPr>
        <w:pStyle w:val="Heading2"/>
      </w:pPr>
      <w:r>
        <w:t xml:space="preserve">DANH MỤC HÌNH</w:t>
      </w:r>
    </w:p>
    <w:p>
      <w:pPr>
        <w:numPr>
          <w:ilvl w:val="0"/>
          <w:numId w:val="1002"/>
        </w:numPr>
        <w:pStyle w:val="Compact"/>
      </w:pPr>
      <w:r>
        <w:t xml:space="preserve">Hình 2.1. Khung khái niệm tích hợp đa tầng CDCM (Chương 2)</w:t>
      </w:r>
    </w:p>
    <w:p>
      <w:pPr>
        <w:numPr>
          <w:ilvl w:val="0"/>
          <w:numId w:val="1002"/>
        </w:numPr>
        <w:pStyle w:val="Compact"/>
      </w:pPr>
      <w:r>
        <w:t xml:space="preserve">Hình 4.x. Họ đường cong I–P phụ thuộc chế độ thể chế ICRV (Chương 4)</w:t>
      </w:r>
    </w:p>
    <w:p>
      <w:pPr>
        <w:numPr>
          <w:ilvl w:val="0"/>
          <w:numId w:val="1002"/>
        </w:numPr>
        <w:pStyle w:val="Compact"/>
      </w:pPr>
      <w:r>
        <w:t xml:space="preserve">Các hình mô tả bổ sung (phân bố pool, mật độ năng suất, v.v.) đặt tại</w:t>
      </w:r>
      <w:r>
        <w:t xml:space="preserve"> </w:t>
      </w:r>
      <w:r>
        <w:rPr>
          <w:rStyle w:val="VerbatimChar"/>
        </w:rPr>
        <w:t xml:space="preserve">thesis/figures/</w:t>
      </w:r>
      <w:r>
        <w:t xml:space="preserve">.</w:t>
      </w:r>
    </w:p>
    <w:p>
      <w:r>
        <w:pict>
          <v:rect style="width:0;height:1.5pt" o:hralign="center" o:hrstd="t" o:hr="t"/>
        </w:pict>
      </w:r>
    </w:p>
    <w:bookmarkEnd w:id="28"/>
    <w:bookmarkStart w:id="31"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3"/>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 k = 113; nền tảng cho P1/P2/P6.)</w:t>
      </w:r>
    </w:p>
    <w:p>
      <w:pPr>
        <w:numPr>
          <w:ilvl w:val="0"/>
          <w:numId w:val="1003"/>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29">
        <w:r>
          <w:rPr>
            <w:rStyle w:val="Hyperlink"/>
          </w:rPr>
          <w:t xml:space="preserve">https://doi.org/10.5772/intechopen.1011012</w:t>
        </w:r>
      </w:hyperlink>
      <w:r>
        <w:t xml:space="preserve"> </w:t>
      </w:r>
      <w:r>
        <w:rPr>
          <w:iCs/>
          <w:i/>
        </w:rPr>
        <w:t xml:space="preserve">(Công trình tiền đề đã công bố về Ấn Độ — 380 doanh nghiệp WBES, ước lượng FGLS, lăng kính thượng tầng quản trị; được nghiên cứu thành phần P9 trích dẫn như prior author work.)</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3"/>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4"/>
        </w:numPr>
        <w:pStyle w:val="Compact"/>
      </w:pPr>
      <w:r>
        <w:t xml:space="preserve">Nghiên cứu thành phần P3 — Việt Nam (bối cảnh chuyển đổi thu nhập trung bình thấp).</w:t>
      </w:r>
      <w:r>
        <w:t xml:space="preserve"> </w:t>
      </w:r>
      <w:r>
        <w:rPr>
          <w:iCs/>
          <w:i/>
        </w:rPr>
        <w:t xml:space="preserve">[Bản thảo đang bình duyệt.]</w:t>
      </w:r>
    </w:p>
    <w:p>
      <w:pPr>
        <w:numPr>
          <w:ilvl w:val="0"/>
          <w:numId w:val="1004"/>
        </w:numPr>
        <w:pStyle w:val="Compact"/>
      </w:pPr>
      <w:r>
        <w:t xml:space="preserve">Nghiên cứu thành phần P4 — Singapore (bối cảnh thể chế tiên tiến–đổi mới).</w:t>
      </w:r>
      <w:r>
        <w:t xml:space="preserve"> </w:t>
      </w:r>
      <w:r>
        <w:rPr>
          <w:iCs/>
          <w:i/>
        </w:rPr>
        <w:t xml:space="preserve">[Bản thảo đang bình duyệt.]</w:t>
      </w:r>
    </w:p>
    <w:p>
      <w:pPr>
        <w:numPr>
          <w:ilvl w:val="0"/>
          <w:numId w:val="1004"/>
        </w:numPr>
        <w:pStyle w:val="Compact"/>
      </w:pPr>
      <w:r>
        <w:t xml:space="preserve">Nghiên cứu thành phần P5 — Trung Quốc 2012–2024 (bối cảnh upper-middle).</w:t>
      </w:r>
      <w:r>
        <w:t xml:space="preserve"> </w:t>
      </w:r>
      <w:r>
        <w:rPr>
          <w:iCs/>
          <w:i/>
        </w:rPr>
        <w:t xml:space="preserve">[Bản thảo đang bình duyệt.]</w:t>
      </w:r>
    </w:p>
    <w:p>
      <w:pPr>
        <w:numPr>
          <w:ilvl w:val="0"/>
          <w:numId w:val="1004"/>
        </w:numPr>
        <w:pStyle w:val="Compact"/>
      </w:pPr>
      <w:r>
        <w:t xml:space="preserve">Nghiên cứu thành phần P6 — Meta-analysis ba tầng mở rộng 1982–2026.</w:t>
      </w:r>
      <w:r>
        <w:t xml:space="preserve"> </w:t>
      </w:r>
      <w:r>
        <w:rPr>
          <w:iCs/>
          <w:i/>
        </w:rPr>
        <w:t xml:space="preserve">[Bản thảo đang bình duyệt.]</w:t>
      </w:r>
    </w:p>
    <w:p>
      <w:pPr>
        <w:numPr>
          <w:ilvl w:val="0"/>
          <w:numId w:val="1004"/>
        </w:numPr>
        <w:pStyle w:val="Compact"/>
      </w:pPr>
      <w:r>
        <w:t xml:space="preserve">Nghiên cứu thành phần P7 — Kiểm định toàn mẫu 49 nền kinh tế châu Á và Thái Bình Dương (capstone).</w:t>
      </w:r>
      <w:r>
        <w:t xml:space="preserve"> </w:t>
      </w:r>
      <w:r>
        <w:rPr>
          <w:iCs/>
          <w:i/>
        </w:rPr>
        <w:t xml:space="preserve">[Bản thảo đang chỉnh sửa theo phản biện.]</w:t>
      </w:r>
    </w:p>
    <w:p>
      <w:pPr>
        <w:numPr>
          <w:ilvl w:val="0"/>
          <w:numId w:val="1004"/>
        </w:numPr>
        <w:pStyle w:val="Compact"/>
      </w:pPr>
      <w:r>
        <w:t xml:space="preserve">Nghiên cứu thành phần P8 — Trường hợp biên SIDS, gánh nặng quốc tế hóa bắt buộc (FIP).</w:t>
      </w:r>
      <w:r>
        <w:t xml:space="preserve"> </w:t>
      </w:r>
      <w:r>
        <w:rPr>
          <w:iCs/>
          <w:i/>
        </w:rPr>
        <w:t xml:space="preserve">[Bản thảo đang chỉnh sửa theo phản biện.]</w:t>
      </w:r>
    </w:p>
    <w:p>
      <w:pPr>
        <w:numPr>
          <w:ilvl w:val="0"/>
          <w:numId w:val="1004"/>
        </w:numPr>
        <w:pStyle w:val="Compact"/>
      </w:pPr>
      <w:r>
        <w:t xml:space="preserve">Nghiên cứu thành phần P9 —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pStyle w:val="FirstParagraph"/>
      </w:pPr>
      <w:r>
        <w:rPr>
          <w:bCs/>
          <w:b/>
        </w:rPr>
        <w:t xml:space="preserve">C. Công trình liên quan khác đã công bố (cùng hướng quốc tế hóa–hiệu quả, được trích dẫn trong luận án)</w:t>
      </w:r>
    </w:p>
    <w:p>
      <w:pPr>
        <w:numPr>
          <w:ilvl w:val="0"/>
          <w:numId w:val="1005"/>
        </w:numPr>
        <w:pStyle w:val="Compact"/>
      </w:pP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w:t>
      </w:r>
      <w:r>
        <w:t xml:space="preserve"> </w:t>
      </w:r>
      <w:hyperlink r:id="rId30">
        <w:r>
          <w:rPr>
            <w:rStyle w:val="Hyperlink"/>
          </w:rPr>
          <w:t xml:space="preserve">https://doi.org/10.5267/j.ac.2020.9.006</w:t>
        </w:r>
      </w:hyperlink>
      <w:r>
        <w:t xml:space="preserve"> </w:t>
      </w:r>
      <w:r>
        <w:rPr>
          <w:iCs/>
          <w:i/>
        </w:rPr>
        <w:t xml:space="preserve">(Thổ Nhĩ Kỳ — bài báo</w:t>
      </w:r>
      <w:r>
        <w:rPr>
          <w:iCs/>
          <w:i/>
        </w:rPr>
        <w:t xml:space="preserve"> </w:t>
      </w:r>
      <w:r>
        <w:rPr>
          <w:bCs/>
          <w:b/>
          <w:iCs/>
          <w:i/>
        </w:rPr>
        <w:t xml:space="preserve">phát triển từ luận văn thạc sĩ của NCS</w:t>
      </w:r>
      <w:r>
        <w:rPr>
          <w:iCs/>
          <w:i/>
        </w:rPr>
        <w:t xml:space="preserve">; điều tiết của kinh nghiệm và giới tính nhà quản trị lên I–P; 5 trích dẫn; được trích ở H4.)</w:t>
      </w:r>
    </w:p>
    <w:p>
      <w:pPr>
        <w:numPr>
          <w:ilvl w:val="0"/>
          <w:numId w:val="1005"/>
        </w:numPr>
        <w:pStyle w:val="Compact"/>
      </w:pPr>
      <w:r>
        <w:t xml:space="preserve">Le, K. N., Do, T. H., &amp; Phan, A. T. (2021). Internationalization and Turkish manufacturing firm performance: Does managerial personality matter?</w:t>
      </w:r>
      <w:r>
        <w:t xml:space="preserve"> </w:t>
      </w:r>
      <w:r>
        <w:rPr>
          <w:iCs/>
          <w:i/>
        </w:rPr>
        <w:t xml:space="preserve">[Tên ấn phẩm — NCS xác nhận]</w:t>
      </w:r>
      <w:r>
        <w:t xml:space="preserve">.</w:t>
      </w:r>
      <w:r>
        <w:t xml:space="preserve"> </w:t>
      </w:r>
      <w:r>
        <w:rPr>
          <w:iCs/>
          <w:i/>
        </w:rPr>
        <w:t xml:space="preserve">(Thổ Nhĩ Kỳ — tính cách nhà quản trị.)</w:t>
      </w:r>
    </w:p>
    <w:p>
      <w:pPr>
        <w:numPr>
          <w:ilvl w:val="0"/>
          <w:numId w:val="1005"/>
        </w:numPr>
        <w:pStyle w:val="Compact"/>
      </w:pPr>
      <w:r>
        <w:t xml:space="preserve">Phan, A. T., Van Song, N., Van Tien, D., Van Ha, T., Tiep, N. C., Thang, D. Q., et al.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rPr>
          <w:iCs/>
          <w:i/>
        </w:rPr>
        <w:t xml:space="preserve">(Ba Lan — đặc điểm nhà quản trị và rào cản tài chính điều tiết I–P; 2 trích dẫn; được trích ở H4. NCS bổ sung đầy đủ danh sách tác giả từ bản gốc — Google Scholar rút gọn bằng "…".)</w:t>
      </w:r>
    </w:p>
    <w:p>
      <w:pPr>
        <w:pStyle w:val="FirstParagraph"/>
      </w:pPr>
      <w:r>
        <w:rPr>
          <w:iCs/>
          <w:i/>
        </w:rPr>
        <w:t xml:space="preserve">Ghi chú về liêm chính học thuật: Theo định hướng luận án kết hợp công trình thành phần, các nghiên cứu P1–P9 là một phần nội dung nghiên cứu của chính luận án; do đó trong các chương, chúng được dẫn chiếu bằng nhãn nội bộ (P1–P9)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bookmarkEnd w:id="31"/>
    <w:bookmarkEnd w:id="3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doi.org/10.5267/j.ac.2020.9.006" TargetMode="External" /><Relationship Type="http://schemas.openxmlformats.org/officeDocument/2006/relationships/hyperlink" Id="rId29" Target="https://doi.org/10.5772/intechopen.1011012" TargetMode="External" /></Relationships>
</file>

<file path=word/_rels/footnotes.xml.rels><?xml version="1.0" encoding="UTF-8"?><Relationships xmlns="http://schemas.openxmlformats.org/package/2006/relationships"><Relationship Type="http://schemas.openxmlformats.org/officeDocument/2006/relationships/hyperlink" Id="rId30" Target="https://doi.org/10.5267/j.ac.2020.9.006" TargetMode="External" /><Relationship Type="http://schemas.openxmlformats.org/officeDocument/2006/relationships/hyperlink" Id="rId29" Target="https://doi.org/10.5772/intechopen.10110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2026-06-09T03:17:31Z</dcterms:created>
  <dcterms:modified xsi:type="dcterms:W3CDTF">2026-06-09T03:17:31Z</dcterms:modified>
</cp:coreProperties>
</file>

<file path=docProps/custom.xml><?xml version="1.0" encoding="utf-8"?>
<Properties xmlns="http://schemas.openxmlformats.org/officeDocument/2006/custom-properties" xmlns:vt="http://schemas.openxmlformats.org/officeDocument/2006/docPropsVTypes"/>
</file>