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7.png" ContentType="image/png"/>
  <Override PartName="/word/media/rId42.png" ContentType="image/png"/>
  <Override PartName="/word/media/rId3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4d4887336a46287d1c8ffd4122a52e974b8a650"/>
    <w:p>
      <w:pPr>
        <w:pStyle w:val="Heading1"/>
      </w:pPr>
      <w:r>
        <w:t xml:space="preserve">CHUYÊN ĐỀ TIẾN SĨ SỐ 1 — BẢN NHÁP ĐẦY ĐỦ (PHẦN 2: CHƯƠNG 4 — THỰC TRẠNG TỪ WBES)</w:t>
      </w:r>
    </w:p>
    <w:p>
      <w:pPr>
        <w:pStyle w:val="BlockText"/>
      </w:pPr>
      <w:r>
        <w:t xml:space="preserve">Tiếp nối</w:t>
      </w:r>
      <w:r>
        <w:t xml:space="preserve"> </w:t>
      </w:r>
      <w:r>
        <w:rPr>
          <w:rStyle w:val="VerbatimChar"/>
        </w:rPr>
        <w:t xml:space="preserve">thesis/14_cd1_part1_intro_theory_vi.md</w:t>
      </w:r>
      <w:r>
        <w:t xml:space="preserve">.</w:t>
      </w:r>
      <w:r>
        <w:t xml:space="preserve"> </w:t>
      </w:r>
      <w:r>
        <w:t xml:space="preserve">Phần 3 (Chương 5–7 + TLTK):</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Hình minh họa:</w:t>
      </w:r>
      <w:r>
        <w:t xml:space="preserve"> </w:t>
      </w:r>
      <w:r>
        <w:rPr>
          <w:rStyle w:val="VerbatimChar"/>
        </w:rPr>
        <w:t xml:space="preserve">thesis/figures/</w:t>
      </w:r>
      <w:r>
        <w:t xml:space="preserve"> </w:t>
      </w:r>
      <w:r>
        <w:t xml:space="preserve">(</w:t>
      </w:r>
      <w:r>
        <w:rPr>
          <w:bCs/>
          <w:b/>
        </w:rPr>
        <w:t xml:space="preserve">11 hình</w:t>
      </w:r>
      <w:r>
        <w:t xml:space="preserve">; chạy</w:t>
      </w:r>
      <w:r>
        <w:t xml:space="preserve"> </w:t>
      </w:r>
      <w:r>
        <w:rPr>
          <w:rStyle w:val="VerbatimChar"/>
        </w:rPr>
        <w:t xml:space="preserve">python3 generate_figures.py</w:t>
      </w:r>
      <w:r>
        <w:t xml:space="preserve"> </w:t>
      </w:r>
      <w:r>
        <w:t xml:space="preserve">để regen).</w:t>
      </w:r>
      <w:r>
        <w:t xml:space="preserve"> </w:t>
      </w:r>
      <w:r>
        <w:t xml:space="preserve">—</w:t>
      </w:r>
    </w:p>
    <w:bookmarkStart w:id="59" w:name="X475e58e8adc242aba6e37c449e4a4f3ebc78386"/>
    <w:p>
      <w:pPr>
        <w:pStyle w:val="Heading2"/>
      </w:pPr>
      <w:r>
        <w:t xml:space="preserve">CHƯƠNG 4 — THỰC TRẠNG HIỆU QUẢ DOANH NGHIỆP CHÂU Á 2009–2025</w:t>
      </w:r>
    </w:p>
    <w:bookmarkStart w:id="26" w:name="X3f3f719f88bf0ed42bff718572107a40145c645"/>
    <w:p>
      <w:pPr>
        <w:pStyle w:val="Heading3"/>
      </w:pPr>
      <w:r>
        <w:t xml:space="preserve">4.1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VEFR), gấp ~2,5 lần. Phân bố theo phân nhóm con (sub-regime) ICRV: Emerging 47.803 (47%), Frontier 28.678 (28%), Upper-middle 16.693 (17%), Advanced 6.640 (7%),</w:t>
      </w:r>
      <w:r>
        <w:t xml:space="preserve"> </w:t>
      </w:r>
      <w:r>
        <w:rPr>
          <w:bCs/>
          <w:b/>
        </w:rPr>
        <w:t xml:space="preserve">SIDS 1.371 (1,4%, gồm Kiribati 2025)</w:t>
      </w:r>
      <w:r>
        <w:t xml:space="preserve">. Có</w:t>
      </w:r>
      <w:r>
        <w:t xml:space="preserve"> </w:t>
      </w:r>
      <w:r>
        <w:rPr>
          <w:bCs/>
          <w:b/>
        </w:rPr>
        <w:t xml:space="preserve">14 đợt khảo sát năm 2025</w:t>
      </w:r>
      <w:r>
        <w:t xml:space="preserve"> </w:t>
      </w:r>
      <w:r>
        <w:t xml:space="preserve">với 17.107 doanh nghiệp.</w:t>
      </w:r>
    </w:p>
    <w:p>
      <w:pPr>
        <w:pStyle w:val="CaptionedFigure"/>
      </w:pPr>
      <w:r>
        <w:drawing>
          <wp:inline>
            <wp:extent cx="5753100" cy="3141580"/>
            <wp:effectExtent b="0" l="0" r="0" t="0"/>
            <wp:docPr descr="Hình 4.1.1, Phân bố pool 5 phân nhóm con thể chế (n=101.185 doanh nghiệp)" title="" id="21" name="Picture"/>
            <a:graphic>
              <a:graphicData uri="http://schemas.openxmlformats.org/drawingml/2006/picture">
                <pic:pic>
                  <pic:nvPicPr>
                    <pic:cNvPr descr="figures/fig_4_1_pool_composition.png" id="22" name="Picture"/>
                    <pic:cNvPicPr>
                      <a:picLocks noChangeArrowheads="1" noChangeAspect="1"/>
                    </pic:cNvPicPr>
                  </pic:nvPicPr>
                  <pic:blipFill>
                    <a:blip r:embed="rId20"/>
                    <a:stretch>
                      <a:fillRect/>
                    </a:stretch>
                  </pic:blipFill>
                  <pic:spPr bwMode="auto">
                    <a:xfrm>
                      <a:off x="0" y="0"/>
                      <a:ext cx="5753100" cy="3141580"/>
                    </a:xfrm>
                    <a:prstGeom prst="rect">
                      <a:avLst/>
                    </a:prstGeom>
                    <a:noFill/>
                    <a:ln w="9525">
                      <a:noFill/>
                      <a:headEnd/>
                      <a:tailEnd/>
                    </a:ln>
                  </pic:spPr>
                </pic:pic>
              </a:graphicData>
            </a:graphic>
          </wp:inline>
        </w:drawing>
      </w:r>
    </w:p>
    <w:p>
      <w:pPr>
        <w:pStyle w:val="ImageCaption"/>
      </w:pPr>
      <w:r>
        <w:t xml:space="preserve">Hình 4.1.1, Phân bố pool 5 phân nhóm con thể chế (n=101.185 doanh nghiệp)</w:t>
      </w:r>
    </w:p>
    <w:p>
      <w:pPr>
        <w:pStyle w:val="BodyText"/>
      </w:pPr>
      <w:r>
        <w:rPr>
          <w:iCs/>
          <w:i/>
        </w:rPr>
        <w:t xml:space="preserve">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CaptionedFigure"/>
      </w:pPr>
      <w:r>
        <w:drawing>
          <wp:inline>
            <wp:extent cx="5753100" cy="2577276"/>
            <wp:effectExtent b="0" l="0" r="0" t="0"/>
            <wp:docPr descr="Hình 4.0, Phân bố mẫu 101.185 doanh nghiệp xuyên 17 năm (2009–2025) theo 3 thế hệ schema WBES" title="" id="24" name="Picture"/>
            <a:graphic>
              <a:graphicData uri="http://schemas.openxmlformats.org/drawingml/2006/picture">
                <pic:pic>
                  <pic:nvPicPr>
                    <pic:cNvPr descr="figures/fig_4_0_pool_by_year.png" id="25" name="Picture"/>
                    <pic:cNvPicPr>
                      <a:picLocks noChangeArrowheads="1" noChangeAspect="1"/>
                    </pic:cNvPicPr>
                  </pic:nvPicPr>
                  <pic:blipFill>
                    <a:blip r:embed="rId23"/>
                    <a:stretch>
                      <a:fillRect/>
                    </a:stretch>
                  </pic:blipFill>
                  <pic:spPr bwMode="auto">
                    <a:xfrm>
                      <a:off x="0" y="0"/>
                      <a:ext cx="5753100" cy="2577276"/>
                    </a:xfrm>
                    <a:prstGeom prst="rect">
                      <a:avLst/>
                    </a:prstGeom>
                    <a:noFill/>
                    <a:ln w="9525">
                      <a:noFill/>
                      <a:headEnd/>
                      <a:tailEnd/>
                    </a:ln>
                  </pic:spPr>
                </pic:pic>
              </a:graphicData>
            </a:graphic>
          </wp:inline>
        </w:drawing>
      </w:r>
    </w:p>
    <w:p>
      <w:pPr>
        <w:pStyle w:val="ImageCaption"/>
      </w:pPr>
      <w:r>
        <w:t xml:space="preserve">Hình 4.0, Phân bố mẫu 101.185 doanh nghiệp xuyên 17 năm (2009–2025) theo 3 thế hệ schema WBES</w:t>
      </w:r>
    </w:p>
    <w:p>
      <w:pPr>
        <w:pStyle w:val="BodyText"/>
      </w:pPr>
      <w:r>
        <w:rPr>
          <w:iCs/>
          <w:i/>
        </w:rPr>
        <w:t xml:space="preserve">Hình 4.0. Phân bố mẫu doanh nghiệp xuyên 17 năm theo 3 thế hệ schema WBES: PICS3 (2009-2012, n=14.171), Standardized (2013-2017, n=24.564), BREADY (2018-2025, n=62.450 gồm Kiribati 2025). Đợt 2025 đột biến với 17.107 doanh nghiệp = 16,9%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26"/>
    <w:bookmarkStart w:id="30" w:name="Xdd19b3ee5869884c11531c8fa1248eb07b4817a"/>
    <w:p>
      <w:pPr>
        <w:pStyle w:val="Heading3"/>
      </w:pPr>
      <w:r>
        <w:t xml:space="preserve">4.2 Thực trạng năng suất lao động —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(mẫu phụ đủ dữ liệu năng suất, productivity-complete subset).</w:t>
      </w:r>
    </w:p>
    <w:p>
      <w:pPr>
        <w:pStyle w:val="BlockText"/>
      </w:pPr>
      <w:r>
        <w:rPr>
          <w:bCs/>
          <w:b/>
        </w:rPr>
        <w:t xml:space="preserve">Ghi chú đầu bảng (header note)</w:t>
      </w:r>
      <w:r>
        <w:t xml:space="preserve">: Cột</w:t>
      </w:r>
      <w:r>
        <w:t xml:space="preserve"> </w:t>
      </w:r>
      <w:r>
        <w:rPr>
          <w:rStyle w:val="VerbatimChar"/>
        </w:rPr>
        <w:t xml:space="preserve">n_firms</w:t>
      </w:r>
      <w:r>
        <w:t xml:space="preserve"> </w:t>
      </w:r>
      <w:r>
        <w:t xml:space="preserve">ở Bảng 4.1 là</w:t>
      </w:r>
      <w:r>
        <w:t xml:space="preserve"> </w:t>
      </w:r>
      <w:r>
        <w:rPr>
          <w:bCs/>
          <w:b/>
        </w:rPr>
        <w:t xml:space="preserve">số doanh nghiệp có đầy đủ dữ liệu log năng suất</w:t>
      </w:r>
      <w:r>
        <w:t xml:space="preserve"> </w:t>
      </w:r>
      <w:r>
        <w:t xml:space="preserve">(productivity-complete subset, n=86.457), khác với</w:t>
      </w:r>
      <w:r>
        <w:t xml:space="preserve"> </w:t>
      </w:r>
      <w:r>
        <w:rPr>
          <w:bCs/>
          <w:b/>
        </w:rPr>
        <w:t xml:space="preserve">tổng pool mô tả là 101.185 doanh nghiệp</w:t>
      </w:r>
      <w:r>
        <w:t xml:space="preserve"> </w:t>
      </w:r>
      <w:r>
        <w:t xml:space="preserve">(Mục 4.1, dùng cho các thống kê không đòi hỏi biến năng suất). Tương tự, cột</w:t>
      </w:r>
      <w:r>
        <w:t xml:space="preserve"> </w:t>
      </w:r>
      <w:r>
        <w:rPr>
          <w:rStyle w:val="VerbatimChar"/>
        </w:rPr>
        <w:t xml:space="preserve">Cặp QG×năm</w:t>
      </w:r>
      <w:r>
        <w:t xml:space="preserve"> </w:t>
      </w:r>
      <w:r>
        <w:t xml:space="preserve">ở đây đếm số cặp quốc gia × năm còn lại sau khi loại các cặp không đủ quan sát để ước lượng phân tán năng suất, nên cộng bằng</w:t>
      </w:r>
      <w:r>
        <w:t xml:space="preserve"> </w:t>
      </w:r>
      <w:r>
        <w:rPr>
          <w:bCs/>
          <w:b/>
        </w:rPr>
        <w:t xml:space="preserve">103 cặp</w:t>
      </w:r>
      <w:r>
        <w:t xml:space="preserve"> </w:t>
      </w:r>
      <w:r>
        <w:t xml:space="preserve">chứ không phải 108 cặp của tổng pool.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tỷ số phân tán Singapore (1,03) so với Vùng Vịnh (0,49) ≈</w:t>
      </w:r>
      <w:r>
        <w:rPr>
          <w:iCs/>
          <w:i/>
        </w:rPr>
        <w:t xml:space="preserve"> </w:t>
      </w:r>
      <w:r>
        <w:rPr>
          <w:bCs/>
          <w:b/>
          <w:iCs/>
          <w:i/>
        </w:rPr>
        <w:t xml:space="preserve">2,1 lần</w:t>
      </w:r>
      <w:r>
        <w:rPr>
          <w:iCs/>
          <w:i/>
        </w:rPr>
        <w:t xml:space="preserve">. SIDS row gồm Kiribati 2025 (n=150, sd log 1,48).</w:t>
      </w:r>
    </w:p>
    <w:p>
      <w:pPr>
        <w:pStyle w:val="BodyText"/>
      </w:pPr>
      <w:r>
        <w:rPr>
          <w:iCs/>
          <w:i/>
        </w:rPr>
        <w:t xml:space="preserve">Ghi chú đối chiếu n_firms (Bảng 4.1 vs Mục 4.1)</w:t>
      </w:r>
      <w:r>
        <w:t xml:space="preserve">: Chênh lệch giữa tổng pool mô tả (101.185) và mẫu phụ đủ dữ liệu năng suất (86.457, ≈ −14,6%) là hệ quả của ràng buộc khả dụng đồng thời ba biến cấu thành log năng suất (doanh thu, số lao động, năm tham chiếu). Mức loại bỏ không đồng đều giữa các phân nhóm con: Advanced −10,8%, Upper-middle −9,1%, Emerging −5,1%, SIDS −20,0%, và</w:t>
      </w:r>
      <w:r>
        <w:t xml:space="preserve"> </w:t>
      </w:r>
      <w:r>
        <w:rPr>
          <w:bCs/>
          <w:b/>
        </w:rPr>
        <w:t xml:space="preserve">Frontier mất nhiều nhất (−34,2%, từ 28.678 còn 18.877)</w:t>
      </w:r>
      <w:r>
        <w:t xml:space="preserve">. Tỷ lệ loại bỏ Frontier cao bất thường vì nhóm này tập hợp các nền kinh tế dùng schema PICS3/MENA-WBES cũ (2009–2012) cùng các vùng xung đột (Afghanistan, Yemen, Iraq) nơi câu hỏi doanh thu (</w:t>
      </w:r>
      <w:r>
        <w:rPr>
          <w:rStyle w:val="VerbatimChar"/>
        </w:rPr>
        <w:t xml:space="preserve">d2</w:t>
      </w:r>
      <w:r>
        <w:t xml:space="preserve">) và số lao động (</w:t>
      </w:r>
      <w:r>
        <w:rPr>
          <w:rStyle w:val="VerbatimChar"/>
        </w:rPr>
        <w:t xml:space="preserve">l1</w:t>
      </w:r>
      <w:r>
        <w:t xml:space="preserve">) có tỷ lệ khuyết và từ chối trả lời cao, đồng thời nhiều doanh nghiệp Frontier chỉ khai báo biến mô tả (website, FDI) mà bỏ trống biến tài chính cần để dựng log năng suất. Vì vậy các trị số mô tả không đòi hỏi năng suất (FSTS, website, đổi mới ở Bảng 4.3–4.6) vẫn dùng tổng pool 101.185, còn các trị số phân tán năng suất (Bảng 4.1) dùng mẫu phụ 86.457; hai con số phục vụ hai mục đích khác nhau và không mâu thuẫn.</w:t>
      </w:r>
    </w:p>
    <w:p>
      <w:pPr>
        <w:pStyle w:val="CaptionedFigure"/>
      </w:pPr>
      <w:r>
        <w:drawing>
          <wp:inline>
            <wp:extent cx="5753100" cy="3401496"/>
            <wp:effectExtent b="0" l="0" r="0" t="0"/>
            <wp:docPr descr="Hình 4.2, Phân phối năng suất theo 6 phân nhóm con (kernel density, n=101.185)" title="" id="28" name="Picture"/>
            <a:graphic>
              <a:graphicData uri="http://schemas.openxmlformats.org/drawingml/2006/picture">
                <pic:pic>
                  <pic:nvPicPr>
                    <pic:cNvPr descr="figures/fig_4_2_productivity_density.png" id="29" name="Picture"/>
                    <pic:cNvPicPr>
                      <a:picLocks noChangeArrowheads="1" noChangeAspect="1"/>
                    </pic:cNvPicPr>
                  </pic:nvPicPr>
                  <pic:blipFill>
                    <a:blip r:embed="rId27"/>
                    <a:stretch>
                      <a:fillRect/>
                    </a:stretch>
                  </pic:blipFill>
                  <pic:spPr bwMode="auto">
                    <a:xfrm>
                      <a:off x="0" y="0"/>
                      <a:ext cx="5753100" cy="3401496"/>
                    </a:xfrm>
                    <a:prstGeom prst="rect">
                      <a:avLst/>
                    </a:prstGeom>
                    <a:noFill/>
                    <a:ln w="9525">
                      <a:noFill/>
                      <a:headEnd/>
                      <a:tailEnd/>
                    </a:ln>
                  </pic:spPr>
                </pic:pic>
              </a:graphicData>
            </a:graphic>
          </wp:inline>
        </w:drawing>
      </w:r>
    </w:p>
    <w:p>
      <w:pPr>
        <w:pStyle w:val="ImageCaption"/>
      </w:pPr>
      <w:r>
        <w:t xml:space="preserve">Hình 4.2, Phân phối năng suất theo 6 phân nhóm con (kernel density, n=101.185)</w:t>
      </w:r>
    </w:p>
    <w:p>
      <w:pPr>
        <w:pStyle w:val="BodyText"/>
      </w:pPr>
      <w:r>
        <w:rPr>
          <w:iCs/>
          <w:i/>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 0,86 sau khi bổ sung Vùng Vịnh, là bằng chứng dị biệt nội bộ; (2) Frontier cao nhất, phù hợp</w:t>
      </w:r>
      <w:r>
        <w:t xml:space="preserve"> </w:t>
      </w:r>
      <w:r>
        <w:rPr>
          <w:bCs/>
          <w:b/>
        </w:rPr>
        <w:t xml:space="preserve">giả thuyết phân bổ sai nguồn lực (misallocation hypothesis)</w:t>
      </w:r>
      <w:r>
        <w:t xml:space="preserve"> </w:t>
      </w:r>
      <w:r>
        <w:t xml:space="preserve">Hsieh &amp; Klenow (2009, 2014); (3) SIDS ở mức trung bình ~1,32; (4) tỷ số P90/P10 tăng đơn điệu theo phân nhóm con; (5) bằng chứng cho H5, tức điều tiết thể chế (institutional moderation).</w:t>
      </w:r>
    </w:p>
    <w:bookmarkEnd w:id="30"/>
    <w:bookmarkStart w:id="31" w:name="Xcc3eee4fbea372afb82cb0ae0b2af37656e40ee"/>
    <w:p>
      <w:pPr>
        <w:pStyle w:val="Heading3"/>
      </w:pPr>
      <w:r>
        <w:t xml:space="preserve">4.3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cho thấy phân phối phân cực mạnh; SIDS có CAGR việc làm cao nhất.</w:t>
      </w:r>
    </w:p>
    <w:bookmarkEnd w:id="31"/>
    <w:bookmarkStart w:id="35" w:name="X6ea576e0e3fd0e159d48e7775c34a2628d38d6f"/>
    <w:p>
      <w:pPr>
        <w:pStyle w:val="Heading3"/>
      </w:pPr>
      <w:r>
        <w:t xml:space="preserve">4.4 Thực trạng đổi mới sáng tạo và năng lực số</w:t>
      </w:r>
    </w:p>
    <w:bookmarkStart w:id="32" w:name="Xfa0108040495fc910da2f989f9c46818846f5fb"/>
    <w:p>
      <w:pPr>
        <w:pStyle w:val="Heading4"/>
      </w:pPr>
      <w:r>
        <w:t xml:space="preserve">4.4.0 Khung 5 lĩnh vực chỉ số WBES — định vị §4.4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 Nhóm 7.</w:t>
      </w:r>
    </w:p>
    <w:p>
      <w:pPr>
        <w:pStyle w:val="FirstParagraph"/>
      </w:pPr>
      <w:r>
        <w:t xml:space="preserve">WBES tổ chức các chỉ số doanh nghiệp thành</w:t>
      </w:r>
      <w:r>
        <w:t xml:space="preserve"> </w:t>
      </w:r>
      <w:r>
        <w:rPr>
          <w:bCs/>
          <w:b/>
        </w:rPr>
        <w:t xml:space="preserve">5 lĩnh vực chính thức (5 indicator domains)</w:t>
      </w:r>
      <w:r>
        <w:t xml:space="preserve">. Đây là khung phân tích chuẩn của World Bank được dùng nhất quán xuyên các báo cáo WBES châu Á và châu lục khác. Bảng dưới định vị §4.4 hiện tại trong tổng thể 5 lĩnh vực:</w:t>
      </w:r>
    </w:p>
    <w:p>
      <w:pPr>
        <w:pStyle w:val="BodyText"/>
      </w:pPr>
      <w:r>
        <w:rPr>
          <w:bCs/>
          <w:b/>
        </w:rPr>
        <w:t xml:space="preserve">Bảng 4.4.0</w:t>
      </w:r>
      <w:r>
        <w:t xml:space="preserve">.</w:t>
      </w:r>
      <w:r>
        <w:t xml:space="preserve"> </w:t>
      </w:r>
      <w:r>
        <w:rPr>
          <w:iCs/>
          <w:i/>
        </w:rPr>
        <w:t xml:space="preserve">Khung 5 lĩnh vực chỉ số WBES, định vị phạm vi đo lường của §4.4.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 link §4.5.5 rào cản #1)</w:t>
            </w:r>
          </w:p>
        </w:tc>
        <w:tc>
          <w:tcPr/>
          <w:p>
            <w:pPr>
              <w:pStyle w:val="Compact"/>
              <w:jc w:val="left"/>
            </w:pPr>
            <w:r>
              <w:t xml:space="preserve">CĐ2 deep-dive —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§4.4 đo gián tiếp qua quy trình mới</w:t>
            </w:r>
            <w:r>
              <w:t xml:space="preserve">;</w:t>
            </w:r>
            <w:r>
              <w:t xml:space="preserve"> </w:t>
            </w:r>
            <w:r>
              <w:rPr>
                <w:bCs/>
                <w:b/>
              </w:rPr>
              <w:t xml:space="preserve">§4.5.5 rào cản #4 đo trực tiếp</w:t>
            </w:r>
          </w:p>
        </w:tc>
        <w:tc>
          <w:tcPr/>
          <w:p>
            <w:pPr>
              <w:pStyle w:val="Compact"/>
              <w:jc w:val="left"/>
            </w:pPr>
            <w:r>
              <w:t xml:space="preserve">CĐ2 —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§4.3); cạnh tranh phi chính thức ở §4.5.5 #3</w:t>
            </w:r>
          </w:p>
        </w:tc>
        <w:tc>
          <w:tcPr/>
          <w:p>
            <w:pPr>
              <w:pStyle w:val="Compact"/>
              <w:jc w:val="left"/>
            </w:pPr>
            <w:r>
              <w:t xml:space="preserve">CĐ2 —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(phân biệt rõ trong §4.7.5)</w:t>
            </w:r>
          </w:p>
        </w:tc>
        <w:tc>
          <w:tcPr/>
          <w:p>
            <w:pPr>
              <w:pStyle w:val="Compact"/>
              <w:jc w:val="left"/>
            </w:pPr>
            <w:r>
              <w:t xml:space="preserve">CĐ2 deep-dive — biến</w:t>
            </w:r>
            <w:r>
              <w:t xml:space="preserve"> </w:t>
            </w:r>
            <w:r>
              <w:rPr>
                <w:rStyle w:val="VerbatimChar"/>
              </w:rPr>
              <w:t xml:space="preserve">bribery_incidence_pct</w:t>
            </w:r>
          </w:p>
        </w:tc>
      </w:tr>
    </w:tbl>
    <w:p>
      <w:pPr>
        <w:pStyle w:val="BodyText"/>
      </w:pPr>
      <w:r>
        <w:rPr>
          <w:bCs/>
          <w:b/>
        </w:rPr>
        <w:t xml:space="preserve">Phạm vi đo lường của §4.4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(§4.10) hoặc rào cản hàng đầu (§4.5.5), nhưng chưa được phân tích sâu. Đây là</w:t>
      </w:r>
      <w:r>
        <w:t xml:space="preserve"> </w:t>
      </w:r>
      <w:r>
        <w:rPr>
          <w:bCs/>
          <w:b/>
        </w:rPr>
        <w:t xml:space="preserve">scope mở rộng cho CĐ2</w:t>
      </w:r>
      <w:r>
        <w:t xml:space="preserve"> </w:t>
      </w:r>
      <w:r>
        <w:t xml:space="preserve">với 5 control variables mới (xem §4.5.5 hàm ý CĐ2).</w:t>
      </w:r>
    </w:p>
    <w:p>
      <w:pPr>
        <w:pStyle w:val="BodyText"/>
      </w:pPr>
      <w:r>
        <w:rPr>
          <w:bCs/>
          <w:b/>
        </w:rPr>
        <w:t xml:space="preserve">Lý do giới hạn phạm vi CĐ1</w:t>
      </w:r>
      <w:r>
        <w:t xml:space="preserve">: (a) tính khả dụng của biến: biến trong (1) (2) (4) có nhiều missing values trong PICS3 schema cũ 2009-2012, gây mất cân đối panel; (b) tập trung vào hai construct cốt lõi của luận án (TCI + DAI), mà Đỗ &amp; Phan (2026,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kế thừa Đỗ &amp; Phan (2026, VEFR).</w:t>
      </w:r>
    </w:p>
    <w:bookmarkEnd w:id="32"/>
    <w:bookmarkStart w:id="33" w:name="X3d285362798247fb6677c6c4e1561f49678ad58"/>
    <w:p>
      <w:pPr>
        <w:pStyle w:val="Heading4"/>
      </w:pPr>
      <w:r>
        <w:t xml:space="preserve">4.4.5 Tái định hình</w:t>
      </w:r>
      <w:r>
        <w:t xml:space="preserve"> </w:t>
      </w:r>
      <w:r>
        <w:t xml:space="preserve">“</w:t>
      </w:r>
      <w:r>
        <w:t xml:space="preserve">Năng lực số</w:t>
      </w:r>
      <w:r>
        <w:t xml:space="preserve">”</w:t>
      </w:r>
      <w:r>
        <w:t xml:space="preserve"> </w:t>
      </w:r>
      <w:r>
        <w:t xml:space="preserve">—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w:t>
      </w:r>
      <w:r>
        <w:t xml:space="preserve"> </w:t>
      </w:r>
      <w:r>
        <w:t xml:space="preserve">“</w:t>
      </w:r>
      <w:r>
        <w:t xml:space="preserve">Năng lực số (DAI)</w:t>
      </w:r>
      <w:r>
        <w:t xml:space="preserve">”</w:t>
      </w:r>
      <w:r>
        <w:t xml:space="preserve">.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w:t>
      </w:r>
      <w:r>
        <w:t xml:space="preserve"> </w:t>
      </w:r>
      <w:r>
        <w:t xml:space="preserve">“</w:t>
      </w:r>
      <w:r>
        <w:t xml:space="preserve">số hóa làm giảm năng suất ở Singapore/Hàn Quốc/Hong Kong</w:t>
      </w:r>
      <w:r>
        <w:t xml:space="preserve">”</w:t>
      </w:r>
      <w:r>
        <w:t xml:space="preserve">. Nhưng đây là</w:t>
      </w:r>
      <w:r>
        <w:t xml:space="preserve"> </w:t>
      </w:r>
      <w:r>
        <w:rPr>
          <w:bCs/>
          <w:b/>
        </w:rPr>
        <w:t xml:space="preserve">ảo ảnh thống kê</w:t>
      </w:r>
      <w:r>
        <w:t xml:space="preserve"> </w:t>
      </w:r>
      <w:r>
        <w:t xml:space="preserve">do đo lường sơ sài, không phải thực tế kinh tế. Một ẩn dụ minh họa (tác giả, ghi chú phân tích nội bộ, 2026): đo lường năng lực số bằng website nhị phân chẳng khác nào đánh giá hiệu suất một mạng lưới logistic vận hành bằng AI hiện đại nhưng lại dùng bản đồ trạm điện tín thế kỷ 19.</w:t>
      </w:r>
    </w:p>
    <w:p>
      <w:pPr>
        <w:pStyle w:val="BodyText"/>
      </w:pPr>
      <w:r>
        <w:rPr>
          <w:bCs/>
          <w:b/>
        </w:rPr>
        <w:t xml:space="preserve">Đề xuất tái định danh biến</w:t>
      </w:r>
      <w:r>
        <w:t xml:space="preserve">: Đổi tên biến trong Spec 1 từ</w:t>
      </w:r>
      <w:r>
        <w:t xml:space="preserve"> </w:t>
      </w:r>
      <w:r>
        <w:t xml:space="preserve">“</w:t>
      </w:r>
      <w:r>
        <w:t xml:space="preserve">DAI / Năng lực số / Chuyển đổi số</w:t>
      </w:r>
      <w:r>
        <w:t xml:space="preserve">”</w:t>
      </w:r>
      <w:r>
        <w:t xml:space="preserve"> </w:t>
      </w:r>
      <w:r>
        <w:t xml:space="preserve">sang</w:t>
      </w:r>
      <w:r>
        <w:t xml:space="preserve"> </w:t>
      </w:r>
      <w:r>
        <w:rPr>
          <w:bCs/>
          <w:b/>
        </w:rPr>
        <w:t xml:space="preserve">“</w:t>
      </w:r>
      <w:r>
        <w:rPr>
          <w:bCs/>
          <w:b/>
        </w:rPr>
        <w:t xml:space="preserve">Sự hiện diện số cơ bản (Tier-1 Digital Presence)</w:t>
      </w:r>
      <w:r>
        <w:rPr>
          <w:bCs/>
          <w:b/>
        </w:rPr>
        <w:t xml:space="preserve">”</w:t>
      </w:r>
      <w:r>
        <w:t xml:space="preserve">: phạm vi hẹp hơn, khiêm tốn hơn, thừa nhận rằng Spec 1 chỉ đo</w:t>
      </w:r>
      <w:r>
        <w:t xml:space="preserve"> </w:t>
      </w:r>
      <w:r>
        <w:rPr>
          <w:iCs/>
          <w:i/>
        </w:rPr>
        <w:t xml:space="preserve">“</w:t>
      </w:r>
      <w:r>
        <w:rPr>
          <w:iCs/>
          <w:i/>
        </w:rPr>
        <w:t xml:space="preserve">bức số hóa tài liệu</w:t>
      </w:r>
      <w:r>
        <w:rPr>
          <w:iCs/>
          <w:i/>
        </w:rPr>
        <w:t xml:space="preserve">”</w:t>
      </w:r>
      <w:r>
        <w:t xml:space="preserve"> </w:t>
      </w:r>
      <w:r>
        <w:t xml:space="preserve">(website binary), KHÔNG đo thay đổi mô hình kinh doanh hay digital transformation.</w:t>
      </w:r>
    </w:p>
    <w:p>
      <w:pPr>
        <w:pStyle w:val="BodyText"/>
      </w:pPr>
      <w:r>
        <w:rPr>
          <w:bCs/>
          <w:b/>
        </w:rPr>
        <w:t xml:space="preserve">ICT exclusion test (promoted từ §4.8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Đỗ &amp; Phan, 2026,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w:t>
      </w:r>
      <w:r>
        <w:rPr>
          <w:iCs/>
          <w:i/>
        </w:rPr>
        <w:t xml:space="preserve">Sự hiện diện số cơ bản đã bão hòa ở các nước tiên tiến từ lâu. Vì vậy biến này không còn discriminate năng suất giữa các firms ở Advanced.</w:t>
      </w:r>
      <w:r>
        <w:rPr>
          <w:iCs/>
          <w:i/>
        </w:rPr>
        <w:t xml:space="preserve">”</w:t>
      </w:r>
    </w:p>
    <w:p>
      <w:pPr>
        <w:pStyle w:val="BodyText"/>
      </w:pPr>
      <w:r>
        <w:rPr>
          <w:bCs/>
          <w:b/>
        </w:rPr>
        <w:t xml:space="preserve">Spec 1 vs Spec 2, biểu đồ đối chiếu hai trục thời gian</w:t>
      </w:r>
      <w:r>
        <w:t xml:space="preserve"> </w:t>
      </w:r>
      <w:r>
        <w:rPr>
          <w:iCs/>
          <w:i/>
        </w:rPr>
        <w:t xml:space="preserve">(đề xuất Hình 4.X mới, đang chuẩn bị)</w:t>
      </w:r>
      <w:r>
        <w:t xml:space="preserve">: Spec 1 (single var website binary, 2009–2025) vs Spec 2 (composite DAI 5 thành phần: website + email + smartphone POS + e-commerce + cloud, 2018–2025) trên cùng trục thời gian: chứng minh hệ sinh thái số chuyển từ</w:t>
      </w:r>
      <w:r>
        <w:t xml:space="preserve"> </w:t>
      </w:r>
      <w:r>
        <w:rPr>
          <w:bCs/>
          <w:b/>
        </w:rPr>
        <w:t xml:space="preserve">trạng thái tĩnh</w:t>
      </w:r>
      <w:r>
        <w:rPr>
          <w:bCs/>
          <w:b/>
        </w:rPr>
        <w:t xml:space="preserve"> </w:t>
      </w:r>
      <w:r>
        <w:rPr>
          <w:bCs/>
          <w:b/>
        </w:rPr>
        <w:t xml:space="preserve">“</w:t>
      </w:r>
      <w:r>
        <w:rPr>
          <w:bCs/>
          <w:b/>
        </w:rPr>
        <w:t xml:space="preserve">Tier-1 Digital Presence</w:t>
      </w:r>
      <w:r>
        <w:rPr>
          <w:bCs/>
          <w:b/>
        </w:rPr>
        <w:t xml:space="preserve">”</w:t>
      </w:r>
      <w:r>
        <w:t xml:space="preserve"> </w:t>
      </w:r>
      <w:r>
        <w:t xml:space="preserve">(chỉ documents online) sang</w:t>
      </w:r>
      <w:r>
        <w:t xml:space="preserve"> </w:t>
      </w:r>
      <w:r>
        <w:rPr>
          <w:bCs/>
          <w:b/>
        </w:rPr>
        <w:t xml:space="preserve">trạng thái động</w:t>
      </w:r>
      <w:r>
        <w:rPr>
          <w:bCs/>
          <w:b/>
        </w:rPr>
        <w:t xml:space="preserve"> </w:t>
      </w:r>
      <w:r>
        <w:rPr>
          <w:bCs/>
          <w:b/>
        </w:rPr>
        <w:t xml:space="preserve">“</w:t>
      </w:r>
      <w:r>
        <w:rPr>
          <w:bCs/>
          <w:b/>
        </w:rPr>
        <w:t xml:space="preserve">Tier-2 Digital Transformation</w:t>
      </w:r>
      <w:r>
        <w:rPr>
          <w:bCs/>
          <w:b/>
        </w:rPr>
        <w:t xml:space="preserve">”</w:t>
      </w:r>
      <w:r>
        <w:t xml:space="preserve"> </w:t>
      </w:r>
      <w:r>
        <w:t xml:space="preserve">(business models reshaped, kế thừa Banalieva &amp; Dhanaraj, 2019 layered framework).</w:t>
      </w:r>
    </w:p>
    <w:bookmarkEnd w:id="33"/>
    <w:bookmarkStart w:id="34" w:name="X38a0a6c6411b5adcdadbe8a42712fac8d35d825"/>
    <w:p>
      <w:pPr>
        <w:pStyle w:val="Heading4"/>
      </w:pPr>
      <w:r>
        <w:t xml:space="preserve">4.4.5.1 Đối chiếu DAI xuyên quốc gia — Singapore (Tier 1+2) vs Việt Nam (Tier 1 only)</w:t>
      </w:r>
    </w:p>
    <w:p>
      <w:pPr>
        <w:pStyle w:val="BlockText"/>
      </w:pPr>
      <w:r>
        <w:rPr>
          <w:bCs/>
          <w:b/>
        </w:rPr>
        <w:t xml:space="preserve">Bằng chứng nền tảng</w:t>
      </w:r>
      <w:r>
        <w:t xml:space="preserve">: §2.7 file 14 (Khung 4-Tier Verhoef + CDCM); phân tích Singapore; phân tích Việt Nam.</w:t>
      </w:r>
    </w:p>
    <w:p>
      <w:pPr>
        <w:pStyle w:val="FirstParagraph"/>
      </w:pPr>
      <w:r>
        <w:t xml:space="preserve">Ghi chú phân tích nội bộ của tác giả (2026) chỉ ra một</w:t>
      </w:r>
      <w:r>
        <w:t xml:space="preserve"> </w:t>
      </w:r>
      <w:r>
        <w:rPr>
          <w:bCs/>
          <w:b/>
        </w:rPr>
        <w:t xml:space="preserve">tương phản cốt lõi</w:t>
      </w:r>
      <w:r>
        <w:t xml:space="preserve"> </w:t>
      </w:r>
      <w:r>
        <w:t xml:space="preserve">giữa hai bản thảo: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tức observable signature của CIMT (kênh institutional-void amplification) trong điều kiện số hóa, theo định vị phân tầng tại luận án Chương 2 §2.5.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w:t>
            </w:r>
            <w:r>
              <w:t xml:space="preserve">— conditional scaling resource ở xuất khẩu cao</w:t>
            </w:r>
          </w:p>
        </w:tc>
        <w:tc>
          <w:tcPr/>
          <w:p>
            <w:pPr>
              <w:pStyle w:val="Compact"/>
              <w:jc w:val="left"/>
            </w:pPr>
            <w:r>
              <w:rPr>
                <w:bCs/>
                <w:b/>
              </w:rPr>
              <w:t xml:space="preserve">β=-0,912, p=,043 (âm) ở 2023</w:t>
            </w:r>
            <w:r>
              <w:t xml:space="preserve"> </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iCs/>
          <w:i/>
        </w:rPr>
        <w:t xml:space="preserve">Ghi chú cỡ mẫu: Việt Nam n=2.958 là mẫu phụ đủ biến hồi quy (complete-case), nhỏ hơn tổng n=3.077 doanh nghiệp Việt Nam trong pool (chênh 119 doanh nghiệp, 3,9%) do dữ liệu khuyết ở một số biến giải thích, xem ghi chú đối chiếu cỡ mẫu tại §5.3 file 16.</w:t>
      </w:r>
    </w:p>
    <w:p>
      <w:pPr>
        <w:pStyle w:val="BodyText"/>
      </w:pPr>
      <w:r>
        <w:rPr>
          <w:bCs/>
          <w:b/>
        </w:rPr>
        <w:t xml:space="preserve">Hàm ý cho lập luận §4.4.5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ở §4.4.5)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replication pattern Singapore phân tích Singapore.</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chạy Spec 2 chỉ ở 41 nước có đủ Tier 1+2 data (BREADY+ wave); confirm rằng pattern Singapore-style (DAI × FSTS² dương) emerges khi có composite digital adoption metric. Nếu confirm → đóng góp lý thuyết mạnh cho CDCM (Đỗ &amp; Phan, 2026 mở rộng từ APJM sang luận án). Nếu không confirm → cần Tier 3 (ERP/CRM) hoặc Tier 4 (AI) để nắm cơ chế thực sự, hàm ý cho data collection tương lai (limitations §7.3.4 file 16).</w:t>
      </w:r>
    </w:p>
    <w:bookmarkEnd w:id="34"/>
    <w:bookmarkEnd w:id="35"/>
    <w:bookmarkStart w:id="41" w:name="thực-trạng-cấu-trúc-doanh-nghiệp"/>
    <w:p>
      <w:pPr>
        <w:pStyle w:val="Heading3"/>
      </w:pPr>
      <w:r>
        <w:t xml:space="preserve">4.5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CaptionedFigure"/>
      </w:pPr>
      <w:r>
        <w:drawing>
          <wp:inline>
            <wp:extent cx="5753100" cy="3545232"/>
            <wp:effectExtent b="0" l="0" r="0" t="0"/>
            <wp:docPr descr="Hình 4.6, Phân phối quy mô doanh nghiệp theo phân nhóm con (n=101.185)" title="" id="37" name="Picture"/>
            <a:graphic>
              <a:graphicData uri="http://schemas.openxmlformats.org/drawingml/2006/picture">
                <pic:pic>
                  <pic:nvPicPr>
                    <pic:cNvPr descr="figures/fig_4_6_firm_size.png" id="38" name="Picture"/>
                    <pic:cNvPicPr>
                      <a:picLocks noChangeArrowheads="1" noChangeAspect="1"/>
                    </pic:cNvPicPr>
                  </pic:nvPicPr>
                  <pic:blipFill>
                    <a:blip r:embed="rId36"/>
                    <a:stretch>
                      <a:fillRect/>
                    </a:stretch>
                  </pic:blipFill>
                  <pic:spPr bwMode="auto">
                    <a:xfrm>
                      <a:off x="0" y="0"/>
                      <a:ext cx="5753100" cy="3545232"/>
                    </a:xfrm>
                    <a:prstGeom prst="rect">
                      <a:avLst/>
                    </a:prstGeom>
                    <a:noFill/>
                    <a:ln w="9525">
                      <a:noFill/>
                      <a:headEnd/>
                      <a:tailEnd/>
                    </a:ln>
                  </pic:spPr>
                </pic:pic>
              </a:graphicData>
            </a:graphic>
          </wp:inline>
        </w:drawing>
      </w:r>
    </w:p>
    <w:p>
      <w:pPr>
        <w:pStyle w:val="ImageCaption"/>
      </w:pPr>
      <w:r>
        <w:t xml:space="preserve">Hình 4.6, Phân phối quy mô doanh nghiệp theo phân nhóm con (n=101.185)</w:t>
      </w:r>
    </w:p>
    <w:p>
      <w:pPr>
        <w:pStyle w:val="BodyText"/>
      </w:pPr>
      <w:r>
        <w:rPr>
          <w:iCs/>
          <w:i/>
        </w:rPr>
        <w:t xml:space="preserve">Hình 4.6. Stacked bar chart cho thấy SIDS Pacific có tỷ lệ SME cao nhất (88,5%), Frontier kế tiếp (85,0%), Advanced thấp nhất (79,1%). Pattern phù hợp với cấu trúc kinh tế khu vực —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Start w:id="39" w:name="X59024c0b6ba75f32b72136ec1a93cd061cbee07"/>
    <w:p>
      <w:pPr>
        <w:pStyle w:val="Heading4"/>
      </w:pPr>
      <w:r>
        <w:t xml:space="preserve">4.5.5 Bốn rào cản hàng đầu của khu vực tư nhân Á-Thái —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§4.4 (đổi mới + năng lực số) và §4.5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phân tầng theo phân nhóm con thể chế (cảm quan định tính + vào sâu chương trình CĐ2).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absorptive capacity; Kafouros et al. (2023) —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numPr>
          <w:ilvl w:val="0"/>
          <w:numId w:val="1001"/>
        </w:numPr>
      </w:pPr>
      <w:r>
        <w:rPr>
          <w:bCs/>
          <w:b/>
        </w:rPr>
        <w:t xml:space="preserve">Rào cản 1,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§4.4</w:t>
      </w:r>
      <w:r>
        <w:t xml:space="preserve"> </w:t>
      </w:r>
      <w:r>
        <w:rPr>
          <w:iCs/>
          <w:i/>
        </w:rPr>
        <w:t xml:space="preserve">Số hóa tài chính (Financial digitalization)</w:t>
      </w:r>
      <w:r>
        <w:t xml:space="preserve">: công nghệ tài chính (fintech) có thể giảm chi phí giao dịch nhưng chưa thay thế được kênh ngân hàng truyền thống ở SME.</w:t>
      </w:r>
    </w:p>
    <w:p>
      <w:pPr>
        <w:numPr>
          <w:ilvl w:val="0"/>
          <w:numId w:val="1001"/>
        </w:numPr>
      </w:pPr>
      <w:r>
        <w:rPr>
          <w:bCs/>
          <w:b/>
        </w:rPr>
        <w:t xml:space="preserve">Rào cản 2, Lực lượng lao động thiếu kỹ năng</w:t>
      </w:r>
      <w:r>
        <w:t xml:space="preserve">: Đặc biệt nghiêm trọng cho doanh nghiệp sản xuất công nghệ cao (manufacturing high-tech) và ICT (Bảng 4.8.1),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numPr>
          <w:ilvl w:val="0"/>
          <w:numId w:val="1001"/>
        </w:numPr>
      </w:pPr>
      <w:r>
        <w:rPr>
          <w:bCs/>
          <w:b/>
        </w:rPr>
        <w:t xml:space="preserve">Rào cản 3,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liên kết §4.4</w:t>
      </w:r>
      <w:r>
        <w:t xml:space="preserve"> </w:t>
      </w:r>
      <w:r>
        <w:rPr>
          <w:iCs/>
          <w:i/>
        </w:rPr>
        <w:t xml:space="preserve">Δ R&amp;D Emerging giảm -42,1 đpt</w:t>
      </w:r>
      <w:r>
        <w:t xml:space="preserve">.</w:t>
      </w:r>
    </w:p>
    <w:p>
      <w:pPr>
        <w:numPr>
          <w:ilvl w:val="0"/>
          <w:numId w:val="1001"/>
        </w:numPr>
      </w:pPr>
      <w:r>
        <w:rPr>
          <w:bCs/>
          <w:b/>
        </w:rPr>
        <w:t xml:space="preserve">Rào cản 4, Nguồn cung điện không đáng tin cậy</w:t>
      </w:r>
      <w:r>
        <w:t xml:space="preserve">: Đặc biệt nghiêm trọng cho SIDS Pacific và Frontier (e.g., Bangladesh, Pakistan power outages &gt; 10 hours/tháng theo WBES). Trực tiếp giảm năng suất lao động (Banerjee &amp; Duflo, 2014), liên kết §4.2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FirstParagraph"/>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(§4.8) và phân nhóm con thể chế (Chương 3 file 14), CĐ2 sẽ có</w:t>
      </w:r>
      <w:r>
        <w:t xml:space="preserve"> </w:t>
      </w:r>
      <w:r>
        <w:rPr>
          <w:bCs/>
          <w:b/>
        </w:rPr>
        <w:t xml:space="preserve">specification đầy đủ 5 lĩnh vực WBES</w:t>
      </w:r>
      <w:r>
        <w:t xml:space="preserve">, không chỉ 2 lĩnh vực (đổi mới + năng lực số) như §4.4 hiện đang phân tích.</w:t>
      </w:r>
    </w:p>
    <w:bookmarkEnd w:id="39"/>
    <w:bookmarkStart w:id="40" w:name="X139dc698771487ae151b0ada3bdbb2cf58e2e95"/>
    <w:p>
      <w:pPr>
        <w:pStyle w:val="Heading4"/>
      </w:pPr>
      <w:r>
        <w:t xml:space="preserve">4.5.6 Giới tính quản lý cấp cao và sở hữu — bằng chứng từ WBES pool</w:t>
      </w:r>
    </w:p>
    <w:p>
      <w:pPr>
        <w:pStyle w:val="BlockText"/>
      </w:pPr>
      <w:r>
        <w:rPr>
          <w:bCs/>
          <w:b/>
        </w:rPr>
        <w:t xml:space="preserve">Nguồn chuẩn</w:t>
      </w:r>
      <w:r>
        <w:t xml:space="preserve">: Carboni et al. (2024/2025, WBES 192.000 doanh nghiệp, 158 quốc gia, 2006–2023); World Bank (2024)</w:t>
      </w:r>
      <w:r>
        <w:t xml:space="preserve"> </w:t>
      </w:r>
      <w:r>
        <w:rPr>
          <w:iCs/>
          <w:i/>
        </w:rPr>
        <w:t xml:space="preserve">Unlocking Global Growth: Closing the Gender Gap in Business</w:t>
      </w:r>
      <w:r>
        <w:t xml:space="preserve"> </w:t>
      </w:r>
      <w:r>
        <w:t xml:space="preserve">(WBES 167 nền kinh tế). Biến WBES:</w:t>
      </w:r>
      <w:r>
        <w:t xml:space="preserve"> </w:t>
      </w:r>
      <w:r>
        <w:rPr>
          <w:rStyle w:val="VerbatimChar"/>
        </w:rPr>
        <w:t xml:space="preserve">b7a</w:t>
      </w:r>
      <w:r>
        <w:t xml:space="preserve"> </w:t>
      </w:r>
      <w:r>
        <w:t xml:space="preserve">= female top manager (nhị phân Y/N);</w:t>
      </w:r>
      <w:r>
        <w:t xml:space="preserve"> </w:t>
      </w:r>
      <w:r>
        <w:rPr>
          <w:rStyle w:val="VerbatimChar"/>
        </w:rPr>
        <w:t xml:space="preserve">b4</w:t>
      </w:r>
      <w:r>
        <w:t xml:space="preserve"> </w:t>
      </w:r>
      <w:r>
        <w:t xml:space="preserve">= female majority ownership.</w:t>
      </w:r>
    </w:p>
    <w:p>
      <w:pPr>
        <w:pStyle w:val="FirstParagraph"/>
      </w:pPr>
      <w:r>
        <w:rPr>
          <w:bCs/>
          <w:b/>
        </w:rPr>
        <w:t xml:space="preserve">Bảng 4.5.6</w:t>
      </w:r>
      <w:r>
        <w:t xml:space="preserve">.</w:t>
      </w:r>
      <w:r>
        <w:t xml:space="preserve"> </w:t>
      </w:r>
      <w:r>
        <w:rPr>
          <w:iCs/>
          <w:i/>
        </w:rPr>
        <w:t xml:space="preserve">Tỷ lệ nữ quản lý cấp cao (female top manager) và nữ sở hữu, theo phân nhóm con ICRV.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 Nữ Top Manager (b7a)</w:t>
            </w:r>
          </w:p>
        </w:tc>
        <w:tc>
          <w:tcPr/>
          <w:p>
            <w:pPr>
              <w:pStyle w:val="Compact"/>
              <w:jc w:val="left"/>
            </w:pPr>
            <w:r>
              <w:t xml:space="preserve">% Nữ Majority Owner</w:t>
            </w:r>
          </w:p>
        </w:tc>
        <w:tc>
          <w:tcPr/>
          <w:p>
            <w:pPr>
              <w:pStyle w:val="Compact"/>
              <w:jc w:val="left"/>
            </w:pPr>
            <w:r>
              <w:t xml:space="preserve">Ghi chú</w:t>
            </w:r>
          </w:p>
        </w:tc>
      </w:tr>
      <w:tr>
        <w:tc>
          <w:tcPr/>
          <w:p>
            <w:pPr>
              <w:pStyle w:val="Compact"/>
              <w:jc w:val="left"/>
            </w:pPr>
            <w:r>
              <w:rPr>
                <w:bCs/>
                <w:b/>
              </w:rPr>
              <w:t xml:space="preserve">Advanced — innovation-driven</w:t>
            </w:r>
          </w:p>
        </w:tc>
        <w:tc>
          <w:tcPr/>
          <w:p>
            <w:pPr>
              <w:pStyle w:val="Compact"/>
              <w:jc w:val="left"/>
            </w:pPr>
            <w:r>
              <w:t xml:space="preserve">~26–30%</w:t>
            </w:r>
          </w:p>
        </w:tc>
        <w:tc>
          <w:tcPr/>
          <w:p>
            <w:pPr>
              <w:pStyle w:val="Compact"/>
              <w:jc w:val="left"/>
            </w:pPr>
            <w:r>
              <w:t xml:space="preserve">~18–22%</w:t>
            </w:r>
          </w:p>
        </w:tc>
        <w:tc>
          <w:tcPr/>
          <w:p>
            <w:pPr>
              <w:pStyle w:val="Compact"/>
              <w:jc w:val="left"/>
            </w:pPr>
            <w:r>
              <w:t xml:space="preserve">Singapore: WBES 2023 (b7a) ≈ 28%</w:t>
            </w:r>
          </w:p>
        </w:tc>
      </w:tr>
      <w:tr>
        <w:tc>
          <w:tcPr/>
          <w:p>
            <w:pPr>
              <w:pStyle w:val="Compact"/>
              <w:jc w:val="left"/>
            </w:pPr>
            <w:r>
              <w:rPr>
                <w:bCs/>
                <w:b/>
              </w:rPr>
              <w:t xml:space="preserve">Advanced — resource-driven</w:t>
            </w:r>
          </w:p>
        </w:tc>
        <w:tc>
          <w:tcPr/>
          <w:p>
            <w:pPr>
              <w:pStyle w:val="Compact"/>
              <w:jc w:val="left"/>
            </w:pPr>
            <w:r>
              <w:t xml:space="preserve">~5–8%</w:t>
            </w:r>
          </w:p>
        </w:tc>
        <w:tc>
          <w:tcPr/>
          <w:p>
            <w:pPr>
              <w:pStyle w:val="Compact"/>
              <w:jc w:val="left"/>
            </w:pPr>
            <w:r>
              <w:t xml:space="preserve">~3–5%</w:t>
            </w:r>
          </w:p>
        </w:tc>
        <w:tc>
          <w:tcPr/>
          <w:p>
            <w:pPr>
              <w:pStyle w:val="Compact"/>
              <w:jc w:val="left"/>
            </w:pPr>
            <w:r>
              <w:t xml:space="preserve">Vùng Vịnh: thấp do cấu trúc xã hội-thể chế</w:t>
            </w:r>
          </w:p>
        </w:tc>
      </w:tr>
      <w:tr>
        <w:tc>
          <w:tcPr/>
          <w:p>
            <w:pPr>
              <w:pStyle w:val="Compact"/>
              <w:jc w:val="left"/>
            </w:pPr>
            <w:r>
              <w:rPr>
                <w:bCs/>
                <w:b/>
              </w:rPr>
              <w:t xml:space="preserve">Upper-middle</w:t>
            </w:r>
          </w:p>
        </w:tc>
        <w:tc>
          <w:tcPr/>
          <w:p>
            <w:pPr>
              <w:pStyle w:val="Compact"/>
              <w:jc w:val="left"/>
            </w:pPr>
            <w:r>
              <w:t xml:space="preserve">~30–35%</w:t>
            </w:r>
          </w:p>
        </w:tc>
        <w:tc>
          <w:tcPr/>
          <w:p>
            <w:pPr>
              <w:pStyle w:val="Compact"/>
              <w:jc w:val="left"/>
            </w:pPr>
            <w:r>
              <w:t xml:space="preserve">~20–25%</w:t>
            </w:r>
          </w:p>
        </w:tc>
        <w:tc>
          <w:tcPr/>
          <w:p>
            <w:pPr>
              <w:pStyle w:val="Compact"/>
              <w:jc w:val="left"/>
            </w:pPr>
            <w:r>
              <w:t xml:space="preserve">Trung Quốc, Malaysia, Thái Lan dẫn dắt</w:t>
            </w:r>
          </w:p>
        </w:tc>
      </w:tr>
      <w:tr>
        <w:tc>
          <w:tcPr/>
          <w:p>
            <w:pPr>
              <w:pStyle w:val="Compact"/>
              <w:jc w:val="left"/>
            </w:pPr>
            <w:r>
              <w:rPr>
                <w:bCs/>
                <w:b/>
              </w:rPr>
              <w:t xml:space="preserve">Emerging</w:t>
            </w:r>
          </w:p>
        </w:tc>
        <w:tc>
          <w:tcPr/>
          <w:p>
            <w:pPr>
              <w:pStyle w:val="Compact"/>
              <w:jc w:val="left"/>
            </w:pPr>
            <w:r>
              <w:t xml:space="preserve">~25–33%</w:t>
            </w:r>
          </w:p>
        </w:tc>
        <w:tc>
          <w:tcPr/>
          <w:p>
            <w:pPr>
              <w:pStyle w:val="Compact"/>
              <w:jc w:val="left"/>
            </w:pPr>
            <w:r>
              <w:t xml:space="preserve">~18–24%</w:t>
            </w:r>
          </w:p>
        </w:tc>
        <w:tc>
          <w:tcPr/>
          <w:p>
            <w:pPr>
              <w:pStyle w:val="Compact"/>
              <w:jc w:val="left"/>
            </w:pPr>
            <w:r>
              <w:t xml:space="preserve">EAP trung bình 33,4% (dẫn đầu toàn cầu — xem §6.1)</w:t>
            </w:r>
          </w:p>
        </w:tc>
      </w:tr>
      <w:tr>
        <w:tc>
          <w:tcPr/>
          <w:p>
            <w:pPr>
              <w:pStyle w:val="Compact"/>
              <w:jc w:val="left"/>
            </w:pPr>
            <w:r>
              <w:rPr>
                <w:bCs/>
                <w:b/>
              </w:rPr>
              <w:t xml:space="preserve">Frontier</w:t>
            </w:r>
          </w:p>
        </w:tc>
        <w:tc>
          <w:tcPr/>
          <w:p>
            <w:pPr>
              <w:pStyle w:val="Compact"/>
              <w:jc w:val="left"/>
            </w:pPr>
            <w:r>
              <w:t xml:space="preserve">~15–25%</w:t>
            </w:r>
          </w:p>
        </w:tc>
        <w:tc>
          <w:tcPr/>
          <w:p>
            <w:pPr>
              <w:pStyle w:val="Compact"/>
              <w:jc w:val="left"/>
            </w:pPr>
            <w:r>
              <w:t xml:space="preserve">~10–18%</w:t>
            </w:r>
          </w:p>
        </w:tc>
        <w:tc>
          <w:tcPr/>
          <w:p>
            <w:pPr>
              <w:pStyle w:val="Compact"/>
              <w:jc w:val="left"/>
            </w:pPr>
            <w:r>
              <w:t xml:space="preserve">Phân tán lớn — Bangladesh (~16%) vs Kyrgyz (~35%)</w:t>
            </w:r>
          </w:p>
        </w:tc>
      </w:tr>
      <w:tr>
        <w:tc>
          <w:tcPr/>
          <w:p>
            <w:pPr>
              <w:pStyle w:val="Compact"/>
              <w:jc w:val="left"/>
            </w:pPr>
            <w:r>
              <w:rPr>
                <w:bCs/>
                <w:b/>
              </w:rPr>
              <w:t xml:space="preserve">SIDS Thái Bình Dương</w:t>
            </w:r>
          </w:p>
        </w:tc>
        <w:tc>
          <w:tcPr/>
          <w:p>
            <w:pPr>
              <w:pStyle w:val="Compact"/>
              <w:jc w:val="left"/>
            </w:pPr>
            <w:r>
              <w:t xml:space="preserve">~20–28%</w:t>
            </w:r>
          </w:p>
        </w:tc>
        <w:tc>
          <w:tcPr/>
          <w:p>
            <w:pPr>
              <w:pStyle w:val="Compact"/>
              <w:jc w:val="left"/>
            </w:pPr>
            <w:r>
              <w:t xml:space="preserve">~15–20%</w:t>
            </w:r>
          </w:p>
        </w:tc>
        <w:tc>
          <w:tcPr/>
          <w:p>
            <w:pPr>
              <w:pStyle w:val="Compact"/>
              <w:jc w:val="left"/>
            </w:pPr>
            <w:r>
              <w:t xml:space="preserve">Fiji/Solomon Islands — matrilineal land tenure culture</w:t>
            </w:r>
          </w:p>
        </w:tc>
      </w:tr>
    </w:tbl>
    <w:p>
      <w:pPr>
        <w:pStyle w:val="BodyText"/>
      </w:pPr>
      <w:r>
        <w:rPr>
          <w:iCs/>
          <w:i/>
        </w:rPr>
        <w:t xml:space="preserve">Lưu ý: Số liệu tỷ lệ phần trăm là ước tính theo phân nhóm con ICRV dựa trên tổng hợp WBES pool, cần đối chiếu lại với dữ liệu</w:t>
      </w:r>
      <w:r>
        <w:rPr>
          <w:iCs/>
          <w:i/>
        </w:rPr>
        <w:t xml:space="preserve"> </w:t>
      </w:r>
      <w:r>
        <w:rPr>
          <w:rStyle w:val="VerbatimChar"/>
          <w:iCs/>
          <w:i/>
        </w:rPr>
        <w:t xml:space="preserve">b7a</w:t>
      </w:r>
      <w:r>
        <w:rPr>
          <w:iCs/>
          <w:i/>
        </w:rPr>
        <w:t xml:space="preserve"> </w:t>
      </w:r>
      <w:r>
        <w:rPr>
          <w:iCs/>
          <w:i/>
        </w:rPr>
        <w:t xml:space="preserve">gốc khi hoàn thiện. Bảng 6.1.1 (file 16 §6.1) cung cấp số liệu chính xác theo vùng WB.</w:t>
      </w:r>
    </w:p>
    <w:p>
      <w:pPr>
        <w:pStyle w:val="BodyText"/>
      </w:pPr>
      <w:r>
        <w:rPr>
          <w:bCs/>
          <w:b/>
        </w:rPr>
        <w:t xml:space="preserve">Ba phát hiện nổi bật</w:t>
      </w:r>
      <w:r>
        <w:t xml:space="preserve">:</w:t>
      </w:r>
    </w:p>
    <w:p>
      <w:pPr>
        <w:numPr>
          <w:ilvl w:val="0"/>
          <w:numId w:val="1002"/>
        </w:numPr>
      </w:pPr>
      <w:r>
        <w:rPr>
          <w:bCs/>
          <w:b/>
        </w:rPr>
        <w:t xml:space="preserve">EAP paradox, dẫn đầu về representation nhưng không về performance gap</w:t>
      </w:r>
      <w:r>
        <w:t xml:space="preserve">: Dữ liệu WBES EAP 33,4% nữ TMT cao nhất toàn cầu, nhưng Carboni et al. cho thấy mối quan hệ female top manager × ESG (môi trường-xã hội-quản trị) phụ thuộc mạnh vào chất lượng thể chế và công nghệ. Tại các nền kinh tế như Việt Nam, Trung Quốc, Philippines, phụ nữ quản lý cấp cao hiện diện cao nhưng thường ở SME nội địa năng suất thấp hơn, cần kiểm soát quy mô, ngành và ICRV regime.</w:t>
      </w:r>
    </w:p>
    <w:p>
      <w:pPr>
        <w:numPr>
          <w:ilvl w:val="0"/>
          <w:numId w:val="1002"/>
        </w:numPr>
      </w:pPr>
      <w:r>
        <w:rPr>
          <w:bCs/>
          <w:b/>
        </w:rPr>
        <w:t xml:space="preserve">Vùng Vịnh, gap lớn nhất</w:t>
      </w:r>
      <w:r>
        <w:t xml:space="preserve">: Advanced resource-driven (Vùng Vịnh Saudi/Qatar/Kuwait) có tỷ lệ nữ TMT thấp nhất trong toàn pool (3–8%), phản ánh cấu trúc thể chế-xã hội đặc thù. Đây là boundary condition cho mọi phân tích gender performance: kết quả gender × productivity ở Vùng Vịnh không thể suy rộng sang Advanced innovation-driven.</w:t>
      </w:r>
    </w:p>
    <w:p>
      <w:pPr>
        <w:numPr>
          <w:ilvl w:val="0"/>
          <w:numId w:val="1002"/>
        </w:numPr>
      </w:pPr>
      <w:r>
        <w:rPr>
          <w:bCs/>
          <w:b/>
        </w:rPr>
        <w:t xml:space="preserve">Frontier, phân tán nội bộ lớn</w:t>
      </w:r>
      <w:r>
        <w:t xml:space="preserve">: Kyrgyz Republic + Tajikistan (Frontier/Trung Á, nữ TMT ~35%) so với Yemen + Afghanistan (Frontier/MENA, nữ TMT &lt;5%), minh họa cho lý do ICRV phân nhóm Frontier 17 nước thay vì gộp chung.</w:t>
      </w:r>
    </w:p>
    <w:p>
      <w:pPr>
        <w:pStyle w:val="FirstParagraph"/>
      </w:pPr>
      <w:r>
        <w:rPr>
          <w:bCs/>
          <w:b/>
        </w:rPr>
        <w:t xml:space="preserve">Biến WBES và hàm ý CĐ2</w:t>
      </w:r>
      <w:r>
        <w:t xml:space="preserve">: Biến</w:t>
      </w:r>
      <w:r>
        <w:t xml:space="preserve"> </w:t>
      </w:r>
      <w:r>
        <w:rPr>
          <w:rStyle w:val="VerbatimChar"/>
        </w:rPr>
        <w:t xml:space="preserve">b7a</w:t>
      </w:r>
      <w:r>
        <w:t xml:space="preserve"> </w:t>
      </w:r>
      <w:r>
        <w:t xml:space="preserve">(female top manager) trong CĐ2 có thể đóng vai trò (i)</w:t>
      </w:r>
      <w:r>
        <w:t xml:space="preserve"> </w:t>
      </w:r>
      <w:r>
        <w:rPr>
          <w:bCs/>
          <w:b/>
        </w:rPr>
        <w:t xml:space="preserve">biến kiểm soát</w:t>
      </w:r>
      <w:r>
        <w:t xml:space="preserve"> </w:t>
      </w:r>
      <w:r>
        <w:t xml:space="preserve">trong specification cơ bản để loại tác động cơ cấu giới lên năng suất; (ii)</w:t>
      </w:r>
      <w:r>
        <w:t xml:space="preserve"> </w:t>
      </w:r>
      <w:r>
        <w:rPr>
          <w:bCs/>
          <w:b/>
        </w:rPr>
        <w:t xml:space="preserve">biến điều tiết (moderating variable)</w:t>
      </w:r>
      <w:r>
        <w:t xml:space="preserve"> </w:t>
      </w:r>
      <w:r>
        <w:t xml:space="preserve">cho H4 TMT moderation theo Mardones-Ibáñez (2025,</w:t>
      </w:r>
      <w:r>
        <w:t xml:space="preserve"> </w:t>
      </w:r>
      <w:r>
        <w:rPr>
          <w:iCs/>
          <w:i/>
        </w:rPr>
        <w:t xml:space="preserve">SAGE Open</w:t>
      </w:r>
      <w:r>
        <w:t xml:space="preserve">) + Al-Najjar et al. (2025,</w:t>
      </w:r>
      <w:r>
        <w:t xml:space="preserve"> </w:t>
      </w:r>
      <w:r>
        <w:rPr>
          <w:iCs/>
          <w:i/>
        </w:rPr>
        <w:t xml:space="preserve">IJHRM</w:t>
      </w:r>
      <w:r>
        <w:t xml:space="preserve">). Carboni et al. framework gợi ý: tác động female top manager lên firm performance không phải tuyến tính mà phụ thuộc vào (a) mức độ số hóa (DAI), technology complement gender diversity; (b) ICRV regime, thể chế mạnh khuếch đại tác động gender diversity; (c) ngành, tech-dynamic industries có ROI cao hơn từ gender diverse leadership.</w:t>
      </w:r>
    </w:p>
    <w:bookmarkEnd w:id="40"/>
    <w:bookmarkEnd w:id="41"/>
    <w:bookmarkStart w:id="48" w:name="bức-tranh-thay-đổi-theo-thời-gian"/>
    <w:p>
      <w:pPr>
        <w:pStyle w:val="Heading3"/>
      </w:pPr>
      <w:r>
        <w:t xml:space="preserve">4.6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phù hợp luận điểm digital leapfrog của Banalieva &amp; Dhanaraj (2019).</w:t>
      </w:r>
    </w:p>
    <w:p>
      <w:pPr>
        <w:pStyle w:val="CaptionedFigure"/>
      </w:pPr>
      <w:r>
        <w:drawing>
          <wp:inline>
            <wp:extent cx="5753100" cy="2590690"/>
            <wp:effectExtent b="0" l="0" r="0" t="0"/>
            <wp:docPr descr="Hình 4.4, Slope chart 2009–2012 vs 2018–2025 (Δ điểm phần trăm 5 chỉ số)" title="" id="43" name="Picture"/>
            <a:graphic>
              <a:graphicData uri="http://schemas.openxmlformats.org/drawingml/2006/picture">
                <pic:pic>
                  <pic:nvPicPr>
                    <pic:cNvPr descr="figures/fig_4_4_growth_pathway.png" id="44" name="Picture"/>
                    <pic:cNvPicPr>
                      <a:picLocks noChangeArrowheads="1" noChangeAspect="1"/>
                    </pic:cNvPicPr>
                  </pic:nvPicPr>
                  <pic:blipFill>
                    <a:blip r:embed="rId42"/>
                    <a:stretch>
                      <a:fillRect/>
                    </a:stretch>
                  </pic:blipFill>
                  <pic:spPr bwMode="auto">
                    <a:xfrm>
                      <a:off x="0" y="0"/>
                      <a:ext cx="5753100" cy="2590690"/>
                    </a:xfrm>
                    <a:prstGeom prst="rect">
                      <a:avLst/>
                    </a:prstGeom>
                    <a:noFill/>
                    <a:ln w="9525">
                      <a:noFill/>
                      <a:headEnd/>
                      <a:tailEnd/>
                    </a:ln>
                  </pic:spPr>
                </pic:pic>
              </a:graphicData>
            </a:graphic>
          </wp:inline>
        </w:drawing>
      </w:r>
    </w:p>
    <w:p>
      <w:pPr>
        <w:pStyle w:val="ImageCaption"/>
      </w:pPr>
      <w:r>
        <w:t xml:space="preserve">Hình 4.4, Slope chart 2009–2012 vs 2018–2025 (Δ điểm phần trăm 5 chỉ số)</w:t>
      </w:r>
    </w:p>
    <w:p>
      <w:pPr>
        <w:pStyle w:val="BodyText"/>
      </w:pPr>
      <w:r>
        <w:rPr>
          <w:iCs/>
          <w:i/>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CaptionedFigure"/>
      </w:pPr>
      <w:r>
        <w:drawing>
          <wp:inline>
            <wp:extent cx="5753100" cy="2222977"/>
            <wp:effectExtent b="0" l="0" r="0" t="0"/>
            <wp:docPr descr="Hình 4.7, Spider chart 5 chiều × 2 mốc thời gian (Advanced, Emerging, SIDS)" title="" id="46" name="Picture"/>
            <a:graphic>
              <a:graphicData uri="http://schemas.openxmlformats.org/drawingml/2006/picture">
                <pic:pic>
                  <pic:nvPicPr>
                    <pic:cNvPr descr="figures/fig_4_7_spider_chart.png" id="47" name="Picture"/>
                    <pic:cNvPicPr>
                      <a:picLocks noChangeArrowheads="1" noChangeAspect="1"/>
                    </pic:cNvPicPr>
                  </pic:nvPicPr>
                  <pic:blipFill>
                    <a:blip r:embed="rId45"/>
                    <a:stretch>
                      <a:fillRect/>
                    </a:stretch>
                  </pic:blipFill>
                  <pic:spPr bwMode="auto">
                    <a:xfrm>
                      <a:off x="0" y="0"/>
                      <a:ext cx="5753100" cy="2222977"/>
                    </a:xfrm>
                    <a:prstGeom prst="rect">
                      <a:avLst/>
                    </a:prstGeom>
                    <a:noFill/>
                    <a:ln w="9525">
                      <a:noFill/>
                      <a:headEnd/>
                      <a:tailEnd/>
                    </a:ln>
                  </pic:spPr>
                </pic:pic>
              </a:graphicData>
            </a:graphic>
          </wp:inline>
        </w:drawing>
      </w:r>
    </w:p>
    <w:p>
      <w:pPr>
        <w:pStyle w:val="ImageCaption"/>
      </w:pPr>
      <w:r>
        <w:t xml:space="preserve">Hình 4.7, Spider chart 5 chiều × 2 mốc thời gian (Advanced, Emerging, SIDS)</w:t>
      </w:r>
    </w:p>
    <w:p>
      <w:pPr>
        <w:pStyle w:val="BodyText"/>
      </w:pPr>
      <w:r>
        <w:rPr>
          <w:iCs/>
          <w:i/>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48"/>
    <w:bookmarkStart w:id="50" w:name="Xf9df93bb474e03b33e5eb8b9166e3e3f4caa8ec"/>
    <w:p>
      <w:pPr>
        <w:pStyle w:val="Heading3"/>
      </w:pPr>
      <w:r>
        <w:t xml:space="preserve">4.7 Tổng hợp Chương 4 (mở rộng D4 — 10 kết luận chính)</w:t>
      </w:r>
    </w:p>
    <w:p>
      <w:pPr>
        <w:pStyle w:val="FirstParagraph"/>
      </w:pPr>
      <w:r>
        <w:t xml:space="preserve">Chương 4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các nghiên cứu IB, mở rộng từ 17 nước châu Á mới nổi (Đỗ &amp; Phan, 2026,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đã được tách trực quan trong</w:t>
      </w:r>
      <w:r>
        <w:t xml:space="preserve"> </w:t>
      </w:r>
      <w:r>
        <w:rPr>
          <w:bCs/>
          <w:b/>
        </w:rPr>
        <w:t xml:space="preserve">Bảng 4.1</w:t>
      </w:r>
      <w:r>
        <w:t xml:space="preserve">.</w:t>
      </w:r>
    </w:p>
    <w:p>
      <w:pPr>
        <w:pStyle w:val="BodyText"/>
      </w:pPr>
      <w:r>
        <w:rPr>
          <w:bCs/>
          <w:b/>
        </w:rPr>
        <w:t xml:space="preserve">(iii) Dị biệt nội bộ phân nhóm Emerging, 3 phân nhóm con</w:t>
      </w:r>
      <w:r>
        <w:t xml:space="preserve"> </w:t>
      </w:r>
      <w:r>
        <w:rPr>
          <w:iCs/>
          <w:i/>
        </w:rPr>
        <w:t xml:space="preserve">(NEW D1, §4.9)</w:t>
      </w:r>
      <w:r>
        <w:t xml:space="preserve">. FDI dẫn dắt SEA (VNM+IDN+PHL, FSTS 13,2%) ≠ dân số lớn (IND+LKA+JOR, FSTS 7,2%) ≠ tài nguyên (MNG, FSTS 5,0%). TCI ngược dấu:</w:t>
      </w:r>
      <w:r>
        <w:t xml:space="preserve"> </w:t>
      </w:r>
      <w:r>
        <w:rPr>
          <w:bCs/>
          <w:b/>
        </w:rPr>
        <w:t xml:space="preserve">học hỏi do FDI dẫn dắt vs học hỏi tự thân</w:t>
      </w:r>
      <w:r>
        <w:t xml:space="preserve"> </w:t>
      </w:r>
      <w:r>
        <w:t xml:space="preserve">(Cohen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gợi ý dị biệt nội bộ SIDS giữa</w:t>
      </w:r>
      <w:r>
        <w:rPr>
          <w:bCs/>
          <w:b/>
        </w:rPr>
        <w:t xml:space="preserve"> </w:t>
      </w:r>
      <w:r>
        <w:rPr>
          <w:bCs/>
          <w:b/>
        </w:rPr>
        <w:t xml:space="preserve">“</w:t>
      </w:r>
      <w:r>
        <w:rPr>
          <w:bCs/>
          <w:b/>
        </w:rPr>
        <w:t xml:space="preserve">high digital leapfrog</w:t>
      </w:r>
      <w:r>
        <w:rPr>
          <w:bCs/>
          <w:b/>
        </w:rPr>
        <w:t xml:space="preserve">”</w:t>
      </w:r>
      <w:r>
        <w:rPr>
          <w:bCs/>
          <w:b/>
        </w:rPr>
        <w:t xml:space="preserve"> </w:t>
      </w:r>
      <w:r>
        <w:rPr>
          <w:bCs/>
          <w:b/>
        </w:rPr>
        <w:t xml:space="preserve">(Fiji, Maldives) và</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bằng chứng tái định vị Uppsala (Banalieva &amp; Dhanaraj, 2019).</w:t>
      </w:r>
      <w:r>
        <w:t xml:space="preserve"> </w:t>
      </w:r>
      <w:r>
        <w:rPr>
          <w:iCs/>
          <w:i/>
        </w:rPr>
        <w:t xml:space="preserve">Kiribati 2025 không thể hiện leapfrog (website 18,7%): cần điều kiện hạ tầng tối thiểu mà Kiribati chưa đạt.</w:t>
      </w:r>
      <w:r>
        <w:t xml:space="preserve"> </w:t>
      </w:r>
      <w:r>
        <w:rPr>
          <w:bCs/>
          <w:b/>
        </w:rPr>
        <w:t xml:space="preserve">: Cần phân biệt</w:t>
      </w:r>
      <w:r>
        <w:rPr>
          <w:bCs/>
          <w:b/>
        </w:rPr>
        <w:t xml:space="preserve"> </w:t>
      </w:r>
      <w:r>
        <w:t xml:space="preserve">Tier-1 Digital Presence** (website binary, đo trong Spec 1, đã bão hòa ở Advanced từ trước 2018) vs</w:t>
      </w:r>
      <w:r>
        <w:t xml:space="preserve"> </w:t>
      </w:r>
      <w:r>
        <w:rPr>
          <w:bCs/>
          <w:b/>
        </w:rPr>
        <w:t xml:space="preserve">Tier-2 Digital Transformation</w:t>
      </w:r>
      <w:r>
        <w:t xml:space="preserve"> </w:t>
      </w:r>
      <w:r>
        <w:t xml:space="preserve">(DAI multi-component: e-commerce, cloud, AI adoption, đo trong Spec 2 với 5 thành phần). Hệ số âm DAI ở Advanced trong Spec 1 (-0,129) KHÔNG phản ánh</w:t>
      </w:r>
      <w:r>
        <w:t xml:space="preserve"> </w:t>
      </w:r>
      <w:r>
        <w:t xml:space="preserve">“</w:t>
      </w:r>
      <w:r>
        <w:t xml:space="preserve">số hóa làm giảm năng suất</w:t>
      </w:r>
      <w:r>
        <w:t xml:space="preserve">”</w:t>
      </w:r>
      <w:r>
        <w:t xml:space="preserve"> </w:t>
      </w:r>
      <w:r>
        <w:t xml:space="preserve">mà là</w:t>
      </w:r>
      <w:r>
        <w:t xml:space="preserve"> </w:t>
      </w:r>
      <w:r>
        <w:rPr>
          <w:bCs/>
          <w:b/>
        </w:rPr>
        <w:t xml:space="preserve">artifact của Tier-1 saturation</w:t>
      </w:r>
      <w:r>
        <w:t xml:space="preserve"> </w:t>
      </w:r>
      <w:r>
        <w:t xml:space="preserve">ở các nước tiên tiến, xem §4.4.5 ICT exclusion test.</w:t>
      </w:r>
    </w:p>
    <w:p>
      <w:pPr>
        <w:pStyle w:val="BodyText"/>
      </w:pPr>
      <w:r>
        <w:rPr>
          <w:bCs/>
          <w:b/>
        </w:rPr>
        <w:t xml:space="preserve">(vii) Pattern phi tuyến FDI ≥10%</w:t>
      </w:r>
      <w:r>
        <w:t xml:space="preserve">, dạng chữ U với cực tiểu Emerging (4,7%): Advanced 11,1% → Upper-middle 8,4% → Emerging 4,7% → Frontier 5,9% → SIDS 23,5%. Hai mô hình FDI: (a) Advanced: MNE hub + Vùng Vịnh hạn chế; (b) SIDS: du lịch + viễn thông.</w:t>
      </w:r>
    </w:p>
    <w:p>
      <w:pPr>
        <w:pStyle w:val="BodyText"/>
      </w:pPr>
      <w:r>
        <w:rPr>
          <w:bCs/>
          <w:b/>
        </w:rPr>
        <w:t xml:space="preserve">(viii) Đợt khảo sát 2025, mẫu đơn năm lớn nhất</w:t>
      </w:r>
      <w:r>
        <w:t xml:space="preserve"> </w:t>
      </w:r>
      <w:r>
        <w:rPr>
          <w:iCs/>
          <w:i/>
        </w:rPr>
        <w:t xml:space="preserve">(NEW D2)</w:t>
      </w:r>
      <w:r>
        <w:t xml:space="preserve">.</w:t>
      </w:r>
      <w:r>
        <w:t xml:space="preserve"> </w:t>
      </w:r>
      <w:r>
        <w:rPr>
          <w:bCs/>
          <w:b/>
        </w:rPr>
        <w:t xml:space="preserve">14 nước × 17.107 doanh nghiệp</w:t>
      </w:r>
      <w:r>
        <w:t xml:space="preserve">: (a) IND FSTS sụt 5 đpt (schema + Atmanirbhar Bharat); (b) Fiji website 74,8% &gt; Singapore 66,1%;</w:t>
      </w:r>
      <w:r>
        <w:t xml:space="preserve"> </w:t>
      </w:r>
      <w:r>
        <w:rPr>
          <w:bCs/>
          <w:b/>
        </w:rPr>
        <w:t xml:space="preserve">Kiribati đối lập với website 18,7%, FSTS 1,03%</w:t>
      </w:r>
      <w:r>
        <w:t xml:space="preserve">; (c) Vùng Vịnh+Brunei resource-driven Advanced confirmed; (d) R&amp;D schema-induced overestimation cảnh báo.</w:t>
      </w:r>
    </w:p>
    <w:p>
      <w:pPr>
        <w:pStyle w:val="BodyText"/>
      </w:pPr>
      <w:r>
        <w:rPr>
          <w:bCs/>
          <w:b/>
        </w:rPr>
        <w:t xml:space="preserve">(ix) Khung phân tích cấp ngành (industry-level)</w:t>
      </w:r>
      <w:r>
        <w:t xml:space="preserve"> </w:t>
      </w:r>
      <w:r>
        <w:rPr>
          <w:iCs/>
          <w:i/>
        </w:rPr>
        <w:t xml:space="preserve">(NEW D3, §4.8)</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numPr>
          <w:ilvl w:val="0"/>
          <w:numId w:val="1003"/>
        </w:numPr>
        <w:pStyle w:val="Compact"/>
      </w:pPr>
      <w:r>
        <w:rPr>
          <w:bCs/>
          <w:b/>
        </w:rPr>
        <w:t xml:space="preserve">Hệ giả thuyết H1–H6 (phát biểu hình thức)</w:t>
      </w:r>
      <w:r>
        <w:t xml:space="preserve">. Mỗi giả thuyết nêu rõ dấu dự đoán, cơ chế lý thuyết được định danh và liên kết vận hành hóa với bằng chứng mô tả của CĐ1. Đây là</w:t>
      </w:r>
      <w:r>
        <w:t xml:space="preserve"> </w:t>
      </w:r>
      <w:r>
        <w:rPr>
          <w:iCs/>
          <w:i/>
        </w:rPr>
        <w:t xml:space="preserve">existence evidence</w:t>
      </w:r>
      <w:r>
        <w:t xml:space="preserve"> </w:t>
      </w:r>
      <w:r>
        <w:t xml:space="preserve">(bằng chứng tồn tại) của CĐ1;</w:t>
      </w:r>
      <w:r>
        <w:t xml:space="preserve"> </w:t>
      </w:r>
      <w:r>
        <w:rPr>
          <w:iCs/>
          <w:i/>
        </w:rPr>
        <w:t xml:space="preserve">magnitude evidence</w:t>
      </w:r>
      <w:r>
        <w:t xml:space="preserve"> </w:t>
      </w:r>
      <w:r>
        <w:t xml:space="preserve">(bằng chứng cường độ) sẽ do mô hình kiểm định của CĐ2 và phân tích tổng hợp bổ sung.</w:t>
      </w:r>
    </w:p>
    <w:p>
      <w:pPr>
        <w:numPr>
          <w:ilvl w:val="0"/>
          <w:numId w:val="1004"/>
        </w:numPr>
      </w:pPr>
      <w:r>
        <w:rPr>
          <w:bCs/>
          <w:b/>
        </w:rPr>
        <w:t xml:space="preserve">H1 (Quan hệ quốc tế hóa–năng suất phi tuyến)</w:t>
      </w:r>
      <w:r>
        <w:t xml:space="preserve">: Quan hệ giữa cường độ xuất khẩu (FSTS) và log năng suất có dạng chữ U ngược (inverted-U): hệ số bậc nhất β₁ &gt; 0 và hệ số bậc hai β₂ &lt; 0. Cơ chế là chi phí điều phối xuyên biên giới tăng phi tuyến vượt một ngưỡng tối ưu (Lu &amp; Beamish, 2004), khuếch đại bởi chi phí giao dịch thể chế (Coase, 1937; Williamson, 1985). Vận hành hóa: FSTS =</w:t>
      </w:r>
      <w:r>
        <w:t xml:space="preserve"> </w:t>
      </w:r>
      <w:r>
        <w:rPr>
          <w:rStyle w:val="VerbatimChar"/>
        </w:rPr>
        <w:t xml:space="preserve">d3b + d3c</w:t>
      </w:r>
      <w:r>
        <w:t xml:space="preserve">, FSTS² là bình phương đã trung tâm hóa; kiểm định Lind–Mehlum cho điểm uốn nội miền. Bằng chứng CĐ1 (Mục 6.1.2): điểm uốn Việt Nam ≈ 39–46% (Lind–Mehlum p &lt; 0,013), Trung Quốc ≈ 47,2–49,4% (kiểm định Paternoster bền vững).</w:t>
      </w:r>
    </w:p>
    <w:p>
      <w:pPr>
        <w:numPr>
          <w:ilvl w:val="0"/>
          <w:numId w:val="1004"/>
        </w:numPr>
      </w:pPr>
      <w:r>
        <w:rPr>
          <w:bCs/>
          <w:b/>
        </w:rPr>
        <w:t xml:space="preserve">H2 (TCI điều tiết quan hệ I–P)</w:t>
      </w:r>
      <w:r>
        <w:t xml:space="preserve">: Năng lực công nghệ (TCI = R&amp;D + ISO) điều tiết quan hệ FSTS–năng suất theo hướng</w:t>
      </w:r>
      <w:r>
        <w:t xml:space="preserve"> </w:t>
      </w:r>
      <w:r>
        <w:rPr>
          <w:iCs/>
          <w:i/>
        </w:rPr>
        <w:t xml:space="preserve">làm phẳng</w:t>
      </w:r>
      <w:r>
        <w:t xml:space="preserve"> </w:t>
      </w:r>
      <w:r>
        <w:t xml:space="preserve">đường cong chữ U ngược (hệ số tương tác TCI × FSTS² &gt; 0, tức giảm độ cong âm). Cơ chế là năng lực hấp thụ (absorptive capacity, Cohen &amp; Levinthal, 1990) giúp doanh nghiệp duy trì lợi ích quốc tế hóa ở mức xuất khẩu cao hơn. Vận hành hóa: TCI là chỉ số tổ hợp aspirational; tương tác TCI × FSTS và TCI × FSTS². Bằng chứng CĐ1 (Bảng 6.1): tương quan TCI–năng suất dương ở Advanced (+0,128) và SIDS (+0,155); ở Việt Nam TCI vận hành như</w:t>
      </w:r>
      <w:r>
        <w:t xml:space="preserve"> </w:t>
      </w:r>
      <w:r>
        <w:rPr>
          <w:iCs/>
          <w:i/>
        </w:rPr>
        <w:t xml:space="preserve">scarce advantage</w:t>
      </w:r>
      <w:r>
        <w:t xml:space="preserve"> </w:t>
      </w:r>
      <w:r>
        <w:t xml:space="preserve">(TCIz IV β = 1,639, p &lt; 0,001).</w:t>
      </w:r>
    </w:p>
    <w:p>
      <w:pPr>
        <w:numPr>
          <w:ilvl w:val="0"/>
          <w:numId w:val="1004"/>
        </w:numPr>
      </w:pPr>
      <w:r>
        <w:rPr>
          <w:bCs/>
          <w:b/>
        </w:rPr>
        <w:t xml:space="preserve">H3 (DAI có hiệu lực phụ thuộc cấp tầng và bối cảnh)</w:t>
      </w:r>
      <w:r>
        <w:t xml:space="preserve">: Tác động của áp dụng số (DAI) lên năng suất phụ thuộc điều kiện cấp tầng số hóa và chế độ thể chế: ở cấp Tier-1 (website đơn thành phần) tại Advanced đã bão hòa, hệ số tiến về không hoặc âm; ở cấp Tier-1+2 (đa thành phần) hệ số dương và tương tác DAI × FSTS² &gt; 0. Cơ chế là Mô hình Năng lực số phụ thuộc bối cảnh (CDCM) đặt trên khung 4 tầng của Verhoef et al. (2021): công cụ số chỉ tạo đòn bẩy khi cấp độ số hóa tương thích với mật độ giao dịch quốc tế. Vận hành hóa: DAI Tier-1 (website nhị phân, Spec 1) và DAI Tier-1+2 (5 thành phần, Spec 2). Bằng chứng CĐ1 (Bảng 4.4.5.1, 6.1.2): hệ số âm giả tạo −0,129 ở Advanced biến mất sau ICT exclusion test; tương tác DAI × FSTS² = +3,119 (p = 0,005) ở Singapore so với DAI × FSTS = −0,912 (p = 0,043) ở Việt Nam Tier-1.</w:t>
      </w:r>
    </w:p>
    <w:p>
      <w:pPr>
        <w:numPr>
          <w:ilvl w:val="0"/>
          <w:numId w:val="1004"/>
        </w:numPr>
      </w:pPr>
      <w:r>
        <w:rPr>
          <w:bCs/>
          <w:b/>
        </w:rPr>
        <w:t xml:space="preserve">H4 (Dị biệt theo phân nhóm con thể chế)</w:t>
      </w:r>
      <w:r>
        <w:t xml:space="preserve">: Dấu và cường độ của các hệ số FSTS, TCI, DAI khác biệt có hệ thống giữa các phân nhóm con ICRV (đảo dấu cross-regime), không thể quy về một hệ số chung. Cơ chế là biến thể chế kiểu Các biến thể của chủ nghĩa tư bản (Varieties of Capitalism, Hall &amp; Soskice, 2001) cùng khoảng cách de jure–de facto (Xu, 2024). Vận hành hóa: hiệu ứng cố định (fixed effects) theo</w:t>
      </w:r>
      <w:r>
        <w:t xml:space="preserve"> </w:t>
      </w:r>
      <w:r>
        <w:rPr>
          <w:bCs/>
          <w:b/>
        </w:rPr>
        <w:t xml:space="preserve">8 phân nhóm con</w:t>
      </w:r>
      <w:r>
        <w:t xml:space="preserve"> </w:t>
      </w:r>
      <w:r>
        <w:t xml:space="preserve">(liệt kê ở mục (b)) cùng các số hạng tương tác phân nhóm con × biến cốt lõi. Bằng chứng CĐ1 (Bảng 6.1): bốn lần đảo dấu xuyên phân nhóm con cho FDI, FSTS, TCI, DAI.</w:t>
      </w:r>
    </w:p>
    <w:p>
      <w:pPr>
        <w:numPr>
          <w:ilvl w:val="0"/>
          <w:numId w:val="1004"/>
        </w:numPr>
      </w:pPr>
      <w:r>
        <w:rPr>
          <w:bCs/>
          <w:b/>
        </w:rPr>
        <w:t xml:space="preserve">H5 (Cụm tài nguyên thu hẹp phân tán và đảo chiều phân bổ sai)</w:t>
      </w:r>
      <w:r>
        <w:t xml:space="preserve">: Các nền kinh tế tài nguyên dẫn dắt (Advanced resource-driven Vùng Vịnh) thể hiện phân tán năng suất hẹp hơn và tương quan FSTS–năng suất yếu hơn so với nhóm đổi mới sáng tạo dẫn dắt cùng cấp. Cơ chế là logic nhà nước tô (rentier state, Beblawi, 1987; Hertog, 2010) bóp méo kỷ luật thị trường. Vận hành hóa: chỉ báo phân nhóm con resource-driven và độ lệch chuẩn log năng suất theo cụm. Bằng chứng CĐ1 (Bảng 4.1, Mục 5.2): sd log Vùng Vịnh 0,31–0,49 so với Singapore 1,03 (tỷ số ≈ 2,1 lần).</w:t>
      </w:r>
    </w:p>
    <w:p>
      <w:pPr>
        <w:numPr>
          <w:ilvl w:val="0"/>
          <w:numId w:val="1004"/>
        </w:numPr>
      </w:pPr>
      <w:r>
        <w:rPr>
          <w:bCs/>
          <w:b/>
        </w:rPr>
        <w:t xml:space="preserve">H6 (Chi phí buộc phải quốc tế hóa ở SIDS biên)</w:t>
      </w:r>
      <w:r>
        <w:t xml:space="preserve">: Ở các SIDS Thái Bình Dương biên (đặc biệt Kiribati cực đoan), quan hệ FSTS–năng suất không vận hành theo chữ U ngược (hệ số FSTS không có ý nghĩa thống kê hoặc đảo dấu so với Advanced/Emerging) vì quốc tế hóa là</w:t>
      </w:r>
      <w:r>
        <w:t xml:space="preserve"> </w:t>
      </w:r>
      <w:r>
        <w:rPr>
          <w:iCs/>
          <w:i/>
        </w:rPr>
        <w:t xml:space="preserve">buộc phải</w:t>
      </w:r>
      <w:r>
        <w:t xml:space="preserve"> </w:t>
      </w:r>
      <w:r>
        <w:t xml:space="preserve">chứ không phải lựa chọn tối ưu. Cơ chế là tính dễ tổn thương cấu trúc của nền kinh tế đảo nhỏ (Briguglio, 1995) và mô hình MIRAB (Bertram, 2006), làm thất bại ba điều kiện cấu trúc của đường cong U (Bảng 2.6.1 file 14). Vận hành hóa: chỉ báo phân nhóm con SIDS và số hạng tương tác SIDS × FSTS. Bằng chứng CĐ1 (Mục 5.7): Kiribati 2025 với FSTS 1,03%, FDI 0,7%, website 18,7%, ISO 1,3% là trường hợp biên cực đoan nhất pool.</w:t>
      </w:r>
    </w:p>
    <w:p>
      <w:pPr>
        <w:numPr>
          <w:ilvl w:val="0"/>
          <w:numId w:val="1005"/>
        </w:numPr>
      </w:pPr>
      <w:r>
        <w:rPr>
          <w:bCs/>
          <w:b/>
        </w:rPr>
        <w:t xml:space="preserve">Tám phân nhóm con với hiệu ứng cố định cho CĐ2</w:t>
      </w:r>
      <w:r>
        <w:t xml:space="preserve"> </w:t>
      </w:r>
      <w:r>
        <w:t xml:space="preserve">(số đếm chốt thống nhất là</w:t>
      </w:r>
      <w:r>
        <w:t xml:space="preserve"> </w:t>
      </w:r>
      <w:r>
        <w:rPr>
          <w:bCs/>
          <w:b/>
        </w:rPr>
        <w:t xml:space="preserve">8</w:t>
      </w:r>
      <w:r>
        <w:t xml:space="preserve">). Danh sách rõ ràng: (1) Advanced đổi mới sáng tạo dẫn dắt; (2) Advanced tài nguyên dẫn dắt; (3) Upper-middle; (4) Emerging, FDI dẫn dắt SEA (VNM, IDN, PHL); (5) Emerging, dân số lớn (IND, LKA, JOR); (6) Emerging, tài nguyên (MNG); (7) Frontier; (8) SIDS Thái Bình Dương. Cách đếm này tách phân nhóm con Advanced làm hai (innovation- vs resource-driven, Mục 4.2 + 5.2) và tách phân nhóm con Emerging làm ba (Bảng 4.9), tổng cộng 8.</w:t>
      </w:r>
      <w:r>
        <w:t xml:space="preserve"> </w:t>
      </w:r>
      <w:r>
        <w:rPr>
          <w:bCs/>
          <w:b/>
        </w:rPr>
        <w:t xml:space="preserve">Phương án mở rộng tùy chọn 9 phân nhóm con</w:t>
      </w:r>
      <w:r>
        <w:t xml:space="preserve"> </w:t>
      </w:r>
      <w:r>
        <w:t xml:space="preserve">chỉ xuất hiện như một biến thể kiểm định độ vững, khi tách thêm SIDS thành</w:t>
      </w:r>
      <w:r>
        <w:t xml:space="preserve"> </w:t>
      </w:r>
      <w:r>
        <w:t xml:space="preserve">“</w:t>
      </w:r>
      <w:r>
        <w:t xml:space="preserve">high-digital</w:t>
      </w:r>
      <w:r>
        <w:t xml:space="preserve">”</w:t>
      </w:r>
      <w:r>
        <w:t xml:space="preserve"> </w:t>
      </w:r>
      <w:r>
        <w:t xml:space="preserve">(Fiji, Maldives) so với</w:t>
      </w:r>
      <w:r>
        <w:t xml:space="preserve"> </w:t>
      </w:r>
      <w:r>
        <w:t xml:space="preserve">“</w:t>
      </w:r>
      <w:r>
        <w:t xml:space="preserve">isolated rural</w:t>
      </w:r>
      <w:r>
        <w:t xml:space="preserve">”</w:t>
      </w:r>
      <w:r>
        <w:t xml:space="preserve"> </w:t>
      </w:r>
      <w:r>
        <w:t xml:space="preserve">(Kiribati), xem Bảng 4.10 phát hiện (7) và hàm ý (f); con số nền tảng dùng xuyên CĐ1/CĐ2 là 8.</w:t>
      </w:r>
    </w:p>
    <w:p>
      <w:pPr>
        <w:numPr>
          <w:ilvl w:val="0"/>
          <w:numId w:val="1005"/>
        </w:numPr>
      </w:pPr>
      <w:r>
        <w:rPr>
          <w:bCs/>
          <w:b/>
        </w:rPr>
        <w:t xml:space="preserve">Hai đặc tả mô hình kiểm định vững</w:t>
      </w:r>
      <w:r>
        <w:t xml:space="preserve">: Đặc tả 1: phạm vi đầy đủ (n=101.185); Đặc tả 2: 2018-2025 (n≈50.000, DAI/TCI 5 thành phần).</w:t>
      </w:r>
    </w:p>
    <w:p>
      <w:pPr>
        <w:numPr>
          <w:ilvl w:val="0"/>
          <w:numId w:val="1005"/>
        </w:numPr>
      </w:pPr>
      <w:r>
        <w:rPr>
          <w:bCs/>
          <w:b/>
        </w:rPr>
        <w:t xml:space="preserve">Industry FE + 5 kiểm định vững mẫu con</w:t>
      </w:r>
      <w:r>
        <w:t xml:space="preserve"> </w:t>
      </w:r>
      <w:r>
        <w:rPr>
          <w:iCs/>
          <w:i/>
        </w:rPr>
        <w:t xml:space="preserve">(NEW D3)</w:t>
      </w:r>
      <w:r>
        <w:t xml:space="preserve">.</w:t>
      </w:r>
    </w:p>
    <w:p>
      <w:pPr>
        <w:pStyle w:val="FirstParagraph"/>
      </w:pPr>
      <w:r>
        <w:rPr>
          <w:bCs/>
          <w:b/>
        </w:rPr>
        <w:t xml:space="preserve">Phạm vi không trình bày</w:t>
      </w:r>
      <w:r>
        <w:t xml:space="preserve">: hồi quy đa biến (CĐ2); panel/IV identification (CĐ2); industry-level descriptive tables (Phase 2 7/2026); năng suất USD PPP (Phase 1 6/2026); resource dependence trực tiếp (Phase 1).</w:t>
      </w:r>
    </w:p>
    <w:bookmarkStart w:id="49" w:name="X34a9f8f22bd59439dbbb370c5527a9d482450a4"/>
    <w:p>
      <w:pPr>
        <w:pStyle w:val="Heading4"/>
      </w:pPr>
      <w:r>
        <w:t xml:space="preserve">4.7.5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 Nhóm 7 #64-66.</w:t>
      </w:r>
    </w:p>
    <w:p>
      <w:pPr>
        <w:pStyle w:val="FirstParagraph"/>
      </w:pPr>
      <w:r>
        <w:t xml:space="preserve">WBES đo lường tham nhũng qua</w:t>
      </w:r>
      <w:r>
        <w:t xml:space="preserve"> </w:t>
      </w:r>
      <w:r>
        <w:rPr>
          <w:bCs/>
          <w:b/>
        </w:rPr>
        <w:t xml:space="preserve">3 chỉ số riêng biệt</w:t>
      </w:r>
      <w:r>
        <w:t xml:space="preserve">, phân biệt rõ giữa</w:t>
      </w:r>
      <w:r>
        <w:t xml:space="preserve"> </w:t>
      </w:r>
      <w:r>
        <w:rPr>
          <w:bCs/>
          <w:b/>
        </w:rPr>
        <w:t xml:space="preserve">hành vi chủ thể</w:t>
      </w:r>
      <w:r>
        <w:t xml:space="preserve"> </w:t>
      </w:r>
      <w:r>
        <w:t xml:space="preserve">(subject behavior,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w:t>
      </w:r>
      <w:r>
        <w:t xml:space="preserve"> </w:t>
      </w:r>
      <w:r>
        <w:t xml:space="preserve">“</w:t>
      </w:r>
      <w:r>
        <w:t xml:space="preserve">tham nhũng</w:t>
      </w:r>
      <w:r>
        <w:t xml:space="preserve">”</w:t>
      </w:r>
      <w:r>
        <w:t xml:space="preserve"> </w:t>
      </w:r>
      <w:r>
        <w:t xml:space="preserve">trong các nghiên cứu chính sách Việt Nam.</w:t>
      </w:r>
    </w:p>
    <w:p>
      <w:pPr>
        <w:pStyle w:val="BodyText"/>
      </w:pPr>
      <w:r>
        <w:rPr>
          <w:bCs/>
          <w:b/>
        </w:rPr>
        <w:t xml:space="preserve">Bảng 4.7.5</w:t>
      </w:r>
      <w:r>
        <w:t xml:space="preserve">.</w:t>
      </w:r>
      <w:r>
        <w:t xml:space="preserve"> </w:t>
      </w:r>
      <w:r>
        <w:rPr>
          <w:iCs/>
          <w:i/>
        </w:rPr>
        <w:t xml:space="preserve">Phân biệt 3 chỉ số tham nhũng WBES, định nghĩa chính thức + cách đo + ngưỡng cảnh báo.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w:t>
      </w:r>
      <w:r>
        <w:t xml:space="preserve"> </w:t>
      </w:r>
      <w:r>
        <w:t xml:space="preserve">“</w:t>
      </w:r>
      <w:r>
        <w:t xml:space="preserve">phải hối lộ thanh tra thuế</w:t>
      </w:r>
      <w:r>
        <w:t xml:space="preserve">”</w:t>
      </w:r>
      <w:r>
        <w:t xml:space="preserve"> </w:t>
      </w:r>
      <w:r>
        <w:t xml:space="preserve">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r>
        <w:t xml:space="preserve"> </w:t>
      </w:r>
      <w:r>
        <w:t xml:space="preserve">-</w:t>
      </w:r>
      <w:r>
        <w:t xml:space="preserve"> </w:t>
      </w:r>
      <w:r>
        <w:rPr>
          <w:bCs/>
          <w:b/>
        </w:rPr>
        <w:t xml:space="preserve">(1) CĐ1 v3.x</w:t>
      </w:r>
      <w:r>
        <w:t xml:space="preserve"> </w:t>
      </w:r>
      <w:r>
        <w:t xml:space="preserve">sẽ dùng</w:t>
      </w:r>
      <w:r>
        <w:t xml:space="preserve"> </w:t>
      </w:r>
      <w:r>
        <w:t xml:space="preserve">“</w:t>
      </w:r>
      <w:r>
        <w:t xml:space="preserve">Hối lộ</w:t>
      </w:r>
      <w:r>
        <w:t xml:space="preserve">”</w:t>
      </w:r>
      <w:r>
        <w:t xml:space="preserve"> </w:t>
      </w:r>
      <w:r>
        <w:t xml:space="preserve">(Bribery) và</w:t>
      </w:r>
      <w:r>
        <w:t xml:space="preserve"> </w:t>
      </w:r>
      <w:r>
        <w:t xml:space="preserve">“</w:t>
      </w:r>
      <w:r>
        <w:t xml:space="preserve">Tham ô</w:t>
      </w:r>
      <w:r>
        <w:t xml:space="preserve">”</w:t>
      </w:r>
      <w:r>
        <w:t xml:space="preserve"> </w:t>
      </w:r>
      <w:r>
        <w:t xml:space="preserve">(Graft) thay vì</w:t>
      </w:r>
      <w:r>
        <w:t xml:space="preserve"> </w:t>
      </w:r>
      <w:r>
        <w:t xml:space="preserve">“</w:t>
      </w:r>
      <w:r>
        <w:t xml:space="preserve">tham nhũng</w:t>
      </w:r>
      <w:r>
        <w:t xml:space="preserve">”</w:t>
      </w:r>
      <w:r>
        <w:t xml:space="preserve"> </w:t>
      </w:r>
      <w:r>
        <w:t xml:space="preserve">tổng quát khi cite số liệu cụ thể từ WBES. Khi nói chung về vấn đề thể chế hoặc chính sách quốc gia, vẫn có thể dùng</w:t>
      </w:r>
      <w:r>
        <w:t xml:space="preserve"> </w:t>
      </w:r>
      <w:r>
        <w:t xml:space="preserve">“</w:t>
      </w:r>
      <w:r>
        <w:t xml:space="preserve">tham nhũng</w:t>
      </w:r>
      <w:r>
        <w:t xml:space="preserve">”</w:t>
      </w:r>
      <w:r>
        <w:t xml:space="preserve"> </w:t>
      </w:r>
      <w:r>
        <w:t xml:space="preserve">như một tổng thể.</w:t>
      </w:r>
      <w:r>
        <w:t xml:space="preserve"> </w:t>
      </w:r>
      <w:r>
        <w:t xml:space="preserve">-</w:t>
      </w:r>
      <w:r>
        <w:t xml:space="preserve"> </w:t>
      </w: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w:t>
      </w:r>
      <w:r>
        <w:t xml:space="preserve"> </w:t>
      </w:r>
      <w:r>
        <w:t xml:space="preserve">“</w:t>
      </w:r>
      <w:r>
        <w:t xml:space="preserve">extensive corruption</w:t>
      </w:r>
      <w:r>
        <w:t xml:space="preserve">”</w:t>
      </w:r>
      <w:r>
        <w:t xml:space="preserve"> </w:t>
      </w:r>
      <w:r>
        <w:t xml:space="preserve">(Bribery Incidence cao, Depth thấp, tham nhũng phổ biến nhưng mỗi giao dịch ít) và</w:t>
      </w:r>
      <w:r>
        <w:t xml:space="preserve"> </w:t>
      </w:r>
      <w:r>
        <w:t xml:space="preserve">“</w:t>
      </w:r>
      <w:r>
        <w:t xml:space="preserve">intensive corruption</w:t>
      </w:r>
      <w:r>
        <w:t xml:space="preserve">”</w:t>
      </w:r>
      <w:r>
        <w:t xml:space="preserve"> </w:t>
      </w:r>
      <w:r>
        <w:t xml:space="preserve">(Incidence thấp, Depth cao, chỉ một số ít DN nhưng giao dịch nào cũng tham nhũng).</w:t>
      </w:r>
      <w:r>
        <w:t xml:space="preserve"> </w:t>
      </w:r>
      <w:r>
        <w:t xml:space="preserve">-</w:t>
      </w:r>
      <w:r>
        <w:t xml:space="preserve"> </w:t>
      </w:r>
      <w:r>
        <w:rPr>
          <w:bCs/>
          <w:b/>
        </w:rPr>
        <w:t xml:space="preserve">(3) Liên kết với §4.5.5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r>
        <w:t xml:space="preserve"> </w:t>
      </w:r>
      <w:r>
        <w:t xml:space="preserve">-</w:t>
      </w:r>
      <w:r>
        <w:t xml:space="preserve"> </w:t>
      </w:r>
      <w:r>
        <w:rPr>
          <w:bCs/>
          <w:b/>
        </w:rPr>
        <w:t xml:space="preserve">(4) Liên kết với khung phân tích cấp ngành §4.8</w:t>
      </w:r>
      <w:r>
        <w:t xml:space="preserve">: ngành Xây dựng (cường độ hợp đồng cao, high contract intensity) thường có Bribery Depth cao do từng giao dịch công lớn; ngành Khai khoáng/Du lịch (tỷ trọng công ty đa quốc gia, high MNE share) có Bribery Incidence cao nhưng Depth thấp do</w:t>
      </w:r>
      <w:r>
        <w:t xml:space="preserve"> </w:t>
      </w:r>
      <w:r>
        <w:rPr>
          <w:bCs/>
          <w:b/>
        </w:rPr>
        <w:t xml:space="preserve">áp lực tuân thủ MNE (MNE compliance pressure)</w:t>
      </w:r>
      <w:r>
        <w:t xml:space="preserve">.</w:t>
      </w:r>
    </w:p>
    <w:bookmarkEnd w:id="49"/>
    <w:bookmarkEnd w:id="50"/>
    <w:bookmarkStart w:id="51" w:name="X116b9dc63d324a4899d8e0a49782bce0c578162"/>
    <w:p>
      <w:pPr>
        <w:pStyle w:val="Heading3"/>
      </w:pPr>
      <w:r>
        <w:t xml:space="preserve">4.8 Khung phân tích cấp ngành (industry-level) — kế hoạch CĐ2</w:t>
      </w:r>
    </w:p>
    <w:p>
      <w:pPr>
        <w:pStyle w:val="BlockText"/>
      </w:pPr>
      <w:r>
        <w:t xml:space="preserve">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 Bảng 4.8.1 bổ sung cột</w:t>
      </w:r>
      <w:r>
        <w:t xml:space="preserve"> </w:t>
      </w:r>
      <w:r>
        <w:t xml:space="preserve">“</w:t>
      </w:r>
      <w:r>
        <w:t xml:space="preserve">Dynamism profile (Kafouros 2023)</w:t>
      </w:r>
      <w:r>
        <w:t xml:space="preserve">”</w:t>
      </w:r>
      <w:r>
        <w:t xml:space="preserve"> </w:t>
      </w:r>
      <w:r>
        <w:t xml:space="preserve">cùng đoạn lý giải về tương tác industry × institutional quality và hàm ý phương pháp luận (f) về số hạng tương tác.</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 deepening pattern)</w:t>
            </w:r>
          </w:p>
        </w:tc>
      </w:tr>
      <w:tr>
        <w:tc>
          <w:tcPr/>
          <w:p>
            <w:pPr>
              <w:pStyle w:val="Compact"/>
              <w:jc w:val="left"/>
            </w:pPr>
            <w:r>
              <w:t xml:space="preserve">Manufacturing —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xem §4.4 và lập luận Tier-1 saturation) có thể bị nhiễu bởi ICT firms saturated; (b) Bảng 4.6 cho thấy Δ R&amp;D Emerging giảm -42,1 đpt,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numPr>
          <w:ilvl w:val="0"/>
          <w:numId w:val="1006"/>
        </w:numPr>
        <w:pStyle w:val="Compact"/>
      </w:pPr>
      <w:r>
        <w:t xml:space="preserve">Industry FE 9 ngành theo Bảng 4.8.1.</w:t>
      </w:r>
    </w:p>
    <w:p>
      <w:pPr>
        <w:numPr>
          <w:ilvl w:val="0"/>
          <w:numId w:val="1006"/>
        </w:numPr>
        <w:pStyle w:val="Compact"/>
      </w:pPr>
      <w:r>
        <w:t xml:space="preserve">Manufacturing-only subsample, tách cho high-tech vs low-tech theo Kafouros (2023) classification.</w:t>
      </w:r>
    </w:p>
    <w:p>
      <w:pPr>
        <w:numPr>
          <w:ilvl w:val="0"/>
          <w:numId w:val="1006"/>
        </w:numPr>
        <w:pStyle w:val="Compact"/>
      </w:pPr>
      <w:r>
        <w:t xml:space="preserve">Tourism separation cho SIDS Pacific (boundary case extension §1.3).</w:t>
      </w:r>
    </w:p>
    <w:p>
      <w:pPr>
        <w:numPr>
          <w:ilvl w:val="0"/>
          <w:numId w:val="1006"/>
        </w:numPr>
        <w:pStyle w:val="Compact"/>
      </w:pPr>
      <w:r>
        <w:t xml:space="preserve">Construction subsample test Vùng Vịnh resource-driven Advanced.</w:t>
      </w:r>
    </w:p>
    <w:p>
      <w:pPr>
        <w:numPr>
          <w:ilvl w:val="0"/>
          <w:numId w:val="1006"/>
        </w:numPr>
        <w:pStyle w:val="Compact"/>
      </w:pPr>
      <w:r>
        <w:t xml:space="preserve">ICT exclusion test cho DAI, đặc biệt liên quan việc tái định danh Tier-1 Digital Presence (§4.4.5).</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đóng góp lý thuyết của luận án.</w:t>
      </w:r>
    </w:p>
    <w:bookmarkEnd w:id="51"/>
    <w:bookmarkStart w:id="52" w:name="X6137fe898ea43b8b79c4fbf5a7a9f2b335b5fcf"/>
    <w:p>
      <w:pPr>
        <w:pStyle w:val="Heading3"/>
      </w:pPr>
      <w:r>
        <w:t xml:space="preserve">4.9 Phân nhóm con Emerging — phát hiện dị biệt nội bộ</w:t>
      </w:r>
    </w:p>
    <w:p>
      <w:pPr>
        <w:pStyle w:val="BlockText"/>
      </w:pPr>
      <w:r>
        <w:t xml:space="preserve">Phát hiện phương pháp luận thứ hai cho CĐ2.</w:t>
      </w:r>
    </w:p>
    <w:p>
      <w:pPr>
        <w:pStyle w:val="FirstParagraph"/>
      </w:pPr>
      <w:r>
        <w:rPr>
          <w:bCs/>
          <w:b/>
        </w:rPr>
        <w:t xml:space="preserve">Bảng 4.9</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rPr>
          <w:iCs/>
          <w:i/>
        </w:rPr>
        <w:t xml:space="preserve">Ghi chú phân rã cấp quốc gia hàng</w:t>
      </w:r>
      <w:r>
        <w:rPr>
          <w:iCs/>
          <w:i/>
        </w:rPr>
        <w:t xml:space="preserve"> </w:t>
      </w:r>
      <w:r>
        <w:rPr>
          <w:iCs/>
          <w:i/>
        </w:rPr>
        <w:t xml:space="preserve">“</w:t>
      </w:r>
      <w:r>
        <w:rPr>
          <w:iCs/>
          <w:i/>
        </w:rPr>
        <w:t xml:space="preserve">Emerging, FDI dẫn dắt SEA</w:t>
      </w:r>
      <w:r>
        <w:rPr>
          <w:iCs/>
          <w:i/>
        </w:rPr>
        <w:t xml:space="preserve">”</w:t>
      </w:r>
      <w:r>
        <w:rPr>
          <w:iCs/>
          <w:i/>
        </w:rPr>
        <w:t xml:space="preserve"> </w:t>
      </w:r>
      <w:r>
        <w:rPr>
          <w:iCs/>
          <w:i/>
        </w:rPr>
        <w:t xml:space="preserve">(n=13.779)</w:t>
      </w:r>
      <w:r>
        <w:t xml:space="preserve">: Ba nước cấu thành gồm Việt Nam (VNM, n=3.077, khớp với tổng doanh nghiệp Việt Nam trong pool ở Mục 5.3 file 16), Indonesia (IDN, n≈7.500) và Philippines (PHL, n≈3.200); tổng đối chiếu ≈ 13.777, sai số làm tròn so với 13.779. Chỉ con số Việt Nam là chính xác từ pool; n của IDN và PHL là ước tính phần dư (residual) và sẽ được chốt số chính xác trong gói tái lập của CĐ2. Lưu ý rằng số liệu hồi quy phụ của Việt Nam ở Bảng 6.1.2 (file 16) dùng mẫu phụ complete-case n=2.958, nhỏ hơn 3.077 ở đây vì ràng buộc đủ biến giải thích (xem ghi chú đối chiếu cỡ mẫu §5.3 file 16).</w:t>
      </w:r>
    </w:p>
    <w:p>
      <w:pPr>
        <w:pStyle w:val="BodyText"/>
      </w:pPr>
      <w:r>
        <w:t xml:space="preserve">Năm phát hiện: (1) FSTS phân tầng 5,0%-7,2%-13,2% bị che giấu; (2) FDI chênh lệch 6× ASEAN-3 vs Nam Á+Tây Á; (3) TCI ngược dấu; (4) Mongolia boundary case; (5) sd log 1,53 vs 1,16, two-tier (Hsieh &amp; Klenow, 2009).</w:t>
      </w:r>
    </w:p>
    <w:bookmarkEnd w:id="52"/>
    <w:bookmarkStart w:id="53" w:name="phân-tích-sâu-đợt-khảo-sát-2025"/>
    <w:p>
      <w:pPr>
        <w:pStyle w:val="Heading3"/>
      </w:pPr>
      <w:r>
        <w:t xml:space="preserve">4.10 Phân tích sâu đợt khảo sát 2025</w:t>
      </w:r>
    </w:p>
    <w:p>
      <w:pPr>
        <w:pStyle w:val="BlockText"/>
      </w:pPr>
      <w:r>
        <w:t xml:space="preserve">Đợt 2025 chiếm 17.107 doanh nghiệp (16,9% pool, gồm Kiribati 2025).</w:t>
      </w:r>
    </w:p>
    <w:p>
      <w:pPr>
        <w:pStyle w:val="FirstParagraph"/>
      </w:pPr>
      <w:r>
        <w:rPr>
          <w:bCs/>
          <w:b/>
        </w:rPr>
        <w:t xml:space="preserve">Bảng 4.10</w:t>
      </w:r>
      <w:r>
        <w:t xml:space="preserve">.</w:t>
      </w:r>
      <w:r>
        <w:t xml:space="preserve"> </w:t>
      </w:r>
      <w:r>
        <w:rPr>
          <w:iCs/>
          <w:i/>
        </w:rPr>
        <w:t xml:space="preserve">14 quốc gia trong đợt 2025 (n=17.107, gồm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17.107</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(NPL, n=1.740), schema BREADY chưa thống nhất nên các chỉ số FSTS, FDI, R&amp;D, Website và sd log để n/a và được loại khỏi mọi trung bình có trọng số của hàng tổng; do đó hàng tổng cột n_firms phản ánh đầy đủ 17.107 doanh nghiệp (khớp với Mục 1.1 file 14), trong khi các cột chỉ số trung bình được tính trên 13 nước có dữ liệu đầy đủ (n=15.367). ²Kiribati 2025: Lower Middle Income; viện trợ AUS/NZ ~30% GDP.</w:t>
      </w:r>
    </w:p>
    <w:p>
      <w:pPr>
        <w:pStyle w:val="BodyText"/>
      </w:pPr>
      <w:r>
        <w:rPr>
          <w:bCs/>
          <w:b/>
        </w:rPr>
        <w:t xml:space="preserve">Bảy phát hiện</w:t>
      </w:r>
      <w:r>
        <w:t xml:space="preserve">: (1) IND FSTS sụt 5 đpt (schema effect); (2) THA</w:t>
      </w:r>
      <w:r>
        <w:t xml:space="preserve"> </w:t>
      </w:r>
      <w:r>
        <w:t xml:space="preserve">“</w:t>
      </w:r>
      <w:r>
        <w:t xml:space="preserve">digital up, exports down</w:t>
      </w:r>
      <w:r>
        <w:t xml:space="preserve">”</w:t>
      </w:r>
      <w:r>
        <w:t xml:space="preserve">; (3) Fiji website 74,8% &gt; Singapore (digital leapfrog); (4) Vùng Vịnh + Brunei resource-driven Advanced confirmed; (5) R&amp;D schema-induced overestimation; (6) 2025 wave validation sample CĐ2;</w:t>
      </w:r>
      <w:r>
        <w:t xml:space="preserve"> </w:t>
      </w:r>
      <w:r>
        <w:rPr>
          <w:bCs/>
          <w:b/>
        </w:rPr>
        <w:t xml:space="preserve">(7) Kiribati extreme (FSTS 1,03%, FDI 0,7%, website 18,7%) đối lập với Fiji digital leapfrog. Bằng chứng dị biệt SIDS rõ rệt:</w:t>
      </w:r>
      <w:r>
        <w:rPr>
          <w:bCs/>
          <w:b/>
        </w:rPr>
        <w:t xml:space="preserve"> </w:t>
      </w:r>
      <w:r>
        <w:rPr>
          <w:bCs/>
          <w:b/>
        </w:rPr>
        <w:t xml:space="preserve">“</w:t>
      </w:r>
      <w:r>
        <w:rPr>
          <w:bCs/>
          <w:b/>
        </w:rPr>
        <w:t xml:space="preserve">high-digital</w:t>
      </w:r>
      <w:r>
        <w:rPr>
          <w:bCs/>
          <w:b/>
        </w:rPr>
        <w:t xml:space="preserve">”</w:t>
      </w:r>
      <w:r>
        <w:rPr>
          <w:bCs/>
          <w:b/>
        </w:rPr>
        <w:t xml:space="preserve"> </w:t>
      </w:r>
      <w:r>
        <w:rPr>
          <w:bCs/>
          <w:b/>
        </w:rPr>
        <w:t xml:space="preserve">(FJI, MDV) vs</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§4.11)</w:t>
      </w:r>
      <w:r>
        <w:t xml:space="preserve">; (c) Advanced sub-grouping test 11 quốc gia; (d) SIDS digital leapfrog evidence cho H6,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w:t>
      </w:r>
      <w:r>
        <w:t xml:space="preserve">“</w:t>
      </w:r>
      <w:r>
        <w:t xml:space="preserve">high-digital</w:t>
      </w:r>
      <w:r>
        <w:t xml:space="preserve">”</w:t>
      </w:r>
      <w:r>
        <w:t xml:space="preserve"> </w:t>
      </w:r>
      <w:r>
        <w:t xml:space="preserve">vs</w:t>
      </w:r>
      <w:r>
        <w:t xml:space="preserve"> </w:t>
      </w:r>
      <w:r>
        <w:t xml:space="preserve">“</w:t>
      </w:r>
      <w:r>
        <w:t xml:space="preserve">isolated</w:t>
      </w:r>
      <w:r>
        <w:t xml:space="preserve">”</w:t>
      </w:r>
      <w:r>
        <w:t xml:space="preserve">), phương án mở rộng tùy chọn từ 8 lên 9 phân nhóm con (xem Mục 4.7(b)); (g) Tách 2025 thành</w:t>
      </w:r>
      <w:r>
        <w:t xml:space="preserve"> </w:t>
      </w:r>
      <w:r>
        <w:rPr>
          <w:bCs/>
          <w:b/>
        </w:rPr>
        <w:t xml:space="preserve">“</w:t>
      </w:r>
      <w:r>
        <w:rPr>
          <w:bCs/>
          <w:b/>
        </w:rPr>
        <w:t xml:space="preserve">Panel hậu đại dịch độc lập</w:t>
      </w:r>
      <w:r>
        <w:rPr>
          <w:bCs/>
          <w:b/>
        </w:rPr>
        <w:t xml:space="preserve">”</w:t>
      </w:r>
      <w:r>
        <w:t xml:space="preserve"> </w:t>
      </w:r>
      <w:r>
        <w:rPr>
          <w:iCs/>
          <w:i/>
        </w:rPr>
        <w:t xml:space="preserve">(chi tiết §4.11)</w:t>
      </w:r>
      <w:r>
        <w:t xml:space="preserve">.</w:t>
      </w:r>
    </w:p>
    <w:bookmarkEnd w:id="53"/>
    <w:bookmarkStart w:id="58" w:name="X064d699a5a1c4a05177a44dfa39cecfdbf09aba"/>
    <w:p>
      <w:pPr>
        <w:pStyle w:val="Heading3"/>
      </w:pPr>
      <w:r>
        <w:t xml:space="preserve">4.11 Cô lập đứt gãy schema BREADY 2025 — 3 đề xuất phương pháp luận</w:t>
      </w:r>
    </w:p>
    <w:p>
      <w:pPr>
        <w:pStyle w:val="FirstParagraph"/>
      </w:pPr>
      <w:r>
        <w:t xml:space="preserve">Đợt 2025 (n=17.107 firms,</w:t>
      </w:r>
      <w:r>
        <w:t xml:space="preserve"> </w:t>
      </w:r>
      <w:r>
        <w:rPr>
          <w:bCs/>
          <w:b/>
        </w:rPr>
        <w:t xml:space="preserve">16,9% pool</w:t>
      </w:r>
      <w:r>
        <w:t xml:space="preserve">) sử dụng schema mới BREADY khác bản hỏi cũ, gây cú sốc phi lý: IND FSTS rơi 7,7%→2,7% (xem §4.10), R&amp;D nhiều nước tăng vọt do</w:t>
      </w:r>
      <w:r>
        <w:t xml:space="preserve"> </w:t>
      </w:r>
      <w:r>
        <w:rPr>
          <w:bCs/>
          <w:b/>
        </w:rPr>
        <w:t xml:space="preserve">hiệu ứng bảng hỏi (questionnaire effect)</w:t>
      </w:r>
      <w:r>
        <w:t xml:space="preserve"> </w:t>
      </w:r>
      <w:r>
        <w:t xml:space="preserve">chứ không phải thực tế. Như tác giả lưu ý trong ghi chú phân tích nội bộ (2026), đứt gãy schema BREADY 2025 đe dọa trực tiếp tính liên tục của phân tích chuỗi thời gian; mô hình kiểm tra điểm uốn có thể cho kết luận sai lệch nếu không được xử lý. Nghiên cứu sinh đã cảnh báo trong §4.10 (mục 5: R&amp;D schema-induced overestimation) nhưng cần làm sâu hơn với 3 đề xuất phương pháp luận.</w:t>
      </w:r>
    </w:p>
    <w:bookmarkStart w:id="54" w:name="X1b8e1b5287c0e6e65659f757dcd4c99d2900ff7"/>
    <w:p>
      <w:pPr>
        <w:pStyle w:val="Heading4"/>
      </w:pPr>
      <w:r>
        <w:t xml:space="preserve">4.11.1 Đề xuất 3a — Biến giả</w:t>
      </w:r>
      <w:r>
        <w:t xml:space="preserve"> </w:t>
      </w:r>
      <w:r>
        <w:rPr>
          <w:rStyle w:val="VerbatimChar"/>
        </w:rPr>
        <w:t xml:space="preserve">Post_BREADY_2024</w:t>
      </w:r>
      <w:r>
        <w:t xml:space="preserve"> </w:t>
      </w:r>
      <w:r>
        <w:t xml:space="preserve">trong mọi spec tổng gộp</w:t>
      </w:r>
    </w:p>
    <w:p>
      <w:pPr>
        <w:pStyle w:val="FirstParagraph"/>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07"/>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w:t>
      </w:r>
      <w:r>
        <w:t xml:space="preserve"> </w:t>
      </w:r>
      <w:r>
        <w:t xml:space="preserve">“</w:t>
      </w:r>
      <w:r>
        <w:t xml:space="preserve">doanh thu xuất khẩu trực tiếp</w:t>
      </w:r>
      <w:r>
        <w:t xml:space="preserve">”</w:t>
      </w:r>
      <w:r>
        <w:t xml:space="preserve"> </w:t>
      </w:r>
      <w:r>
        <w:t xml:space="preserve">vs PICS3 hỏi tổng quát hơn).</w:t>
      </w:r>
    </w:p>
    <w:p>
      <w:pPr>
        <w:numPr>
          <w:ilvl w:val="0"/>
          <w:numId w:val="1007"/>
        </w:numPr>
        <w:pStyle w:val="Compact"/>
      </w:pPr>
      <w:r>
        <w:rPr>
          <w:bCs/>
          <w:b/>
        </w:rPr>
        <w:t xml:space="preserve">Cảnh báo phương pháp luận</w:t>
      </w:r>
      <w:r>
        <w:t xml:space="preserve">: biến giả không phải giải pháp vạn năng. Nó chỉ hấp thụ tác động tĩnh (mức trung bình) chứ không hiệu chỉnh được thay đổi phương sai do schema. Vì vậy cần đi cùng đề xuất 3b (anchor model) để kiểm tra độ vững.</w:t>
      </w:r>
    </w:p>
    <w:p>
      <w:pPr>
        <w:numPr>
          <w:ilvl w:val="0"/>
          <w:numId w:val="1007"/>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bookmarkEnd w:id="54"/>
    <w:bookmarkStart w:id="55" w:name="đề-xuất-3b-mô-hình-neo-anchor-model"/>
    <w:p>
      <w:pPr>
        <w:pStyle w:val="Heading4"/>
      </w:pPr>
      <w:r>
        <w:t xml:space="preserve">4.11.2 Đề xuất 3b — Mô hình neo (anchor model)</w:t>
      </w:r>
    </w:p>
    <w:p>
      <w:pPr>
        <w:pStyle w:val="FirstParagraph"/>
      </w:pPr>
      <w:r>
        <w:t xml:space="preserve">Quy trình 3 bước:</w:t>
      </w:r>
    </w:p>
    <w:p>
      <w:pPr>
        <w:numPr>
          <w:ilvl w:val="0"/>
          <w:numId w:val="1008"/>
        </w:numPr>
      </w:pPr>
      <w:r>
        <w:t xml:space="preserve">Chạy hồi quy với data chỉ đến 2024 (n≈84.000 firms, 13 đợt khảo sát 2009-2024) → có</w:t>
      </w:r>
      <w:r>
        <w:t xml:space="preserve"> </w:t>
      </w:r>
      <w:r>
        <w:rPr>
          <w:bCs/>
          <w:b/>
        </w:rPr>
        <w:t xml:space="preserve">bộ hệ số</w:t>
      </w:r>
      <w:r>
        <w:rPr>
          <w:bCs/>
          <w:b/>
        </w:rPr>
        <w:t xml:space="preserve"> </w:t>
      </w:r>
      <w:r>
        <w:rPr>
          <w:bCs/>
          <w:b/>
        </w:rPr>
        <w:t xml:space="preserve">“</w:t>
      </w:r>
      <w:r>
        <w:rPr>
          <w:bCs/>
          <w:b/>
        </w:rPr>
        <w:t xml:space="preserve">neo</w:t>
      </w:r>
      <w:r>
        <w:rPr>
          <w:bCs/>
          <w:b/>
        </w:rPr>
        <w:t xml:space="preserve">”</w:t>
      </w:r>
      <w:r>
        <w:t xml:space="preserve"> </w:t>
      </w:r>
      <w:r>
        <w:t xml:space="preserve">(anchor coefficients) cho FSTS, FSTS², TCI, DAI và các tương tác.</w:t>
      </w:r>
    </w:p>
    <w:p>
      <w:pPr>
        <w:numPr>
          <w:ilvl w:val="0"/>
          <w:numId w:val="1008"/>
        </w:numPr>
      </w:pP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numPr>
          <w:ilvl w:val="0"/>
          <w:numId w:val="1008"/>
        </w:numPr>
      </w:pPr>
      <w:r>
        <w:t xml:space="preserve">Re-run hồi quy với data đầy đủ 2009-2025 (n=101.185), so sánh:</w:t>
      </w:r>
    </w:p>
    <w:p>
      <w:pPr>
        <w:numPr>
          <w:ilvl w:val="0"/>
          <w:numId w:val="1009"/>
        </w:numPr>
        <w:pStyle w:val="Compact"/>
      </w:pPr>
      <w:r>
        <w:t xml:space="preserve">Coefficient stability test (Wald test, Chow test): hệ số FSTS, FSTS², TCI, DAI có thay đổi significantly khi thêm 2025 không?</w:t>
      </w:r>
    </w:p>
    <w:p>
      <w:pPr>
        <w:numPr>
          <w:ilvl w:val="0"/>
          <w:numId w:val="1009"/>
        </w:numPr>
        <w:pStyle w:val="Compact"/>
      </w:pPr>
      <w:r>
        <w:t xml:space="preserve">Likelihood ratio test giữa 2 mô hình: Δ AIC, Δ BIC.</w:t>
      </w:r>
    </w:p>
    <w:p>
      <w:pPr>
        <w:numPr>
          <w:ilvl w:val="0"/>
          <w:numId w:val="1009"/>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w:t>
      </w:r>
      <w:r>
        <w:t xml:space="preserve"> </w:t>
      </w:r>
      <w:r>
        <w:t xml:space="preserve">“</w:t>
      </w:r>
      <w:r>
        <w:t xml:space="preserve">cấu trúc bảng hỏi mới có làm đảo chiều ý nghĩa thống kê cốt lõi hay không</w:t>
      </w:r>
      <w:r>
        <w:t xml:space="preserve">”</w:t>
      </w:r>
      <w:r>
        <w:t xml:space="preserve">.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bookmarkEnd w:id="55"/>
    <w:bookmarkStart w:id="56" w:name="X168702046bd615e61410f2a681cc0ccd5166c8a"/>
    <w:p>
      <w:pPr>
        <w:pStyle w:val="Heading4"/>
      </w:pPr>
      <w:r>
        <w:t xml:space="preserve">4.11.3 Đề xuất 3c — Tách 2025 thành</w:t>
      </w:r>
      <w:r>
        <w:t xml:space="preserve"> </w:t>
      </w:r>
      <w:r>
        <w:t xml:space="preserve">“</w:t>
      </w:r>
      <w:r>
        <w:t xml:space="preserve">Panel hậu đại dịch độc lập</w:t>
      </w:r>
      <w:r>
        <w:t xml:space="preserve">”</w:t>
      </w:r>
    </w:p>
    <w:p>
      <w:pPr>
        <w:pStyle w:val="FirstParagraph"/>
      </w:pPr>
      <w:r>
        <w:t xml:space="preserve">Thay vì cố ép 2025 vào đường xu hướng lịch sử, dành riêng một sub-section trong CĐ2 (đề xuất §X.Y trong §6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w:t>
      </w:r>
      <w:r>
        <w:rPr>
          <w:iCs/>
          <w:i/>
        </w:rPr>
        <w:t xml:space="preserve">Quy luật thể chế và U-curve giai đoạn 2009-2024 có còn hiệu lực trong</w:t>
      </w:r>
      <w:r>
        <w:rPr>
          <w:iCs/>
          <w:i/>
        </w:rPr>
        <w:t xml:space="preserve"> </w:t>
      </w:r>
      <w:r>
        <w:rPr>
          <w:iCs/>
          <w:i/>
        </w:rPr>
        <w:t xml:space="preserve">‘</w:t>
      </w:r>
      <w:r>
        <w:rPr>
          <w:iCs/>
          <w:i/>
        </w:rPr>
        <w:t xml:space="preserve">trạng thái bình thường mới</w:t>
      </w:r>
      <w:r>
        <w:rPr>
          <w:iCs/>
          <w:i/>
        </w:rPr>
        <w:t xml:space="preserve">’</w:t>
      </w:r>
      <w:r>
        <w:rPr>
          <w:iCs/>
          <w:i/>
        </w:rPr>
        <w:t xml:space="preserve"> </w:t>
      </w:r>
      <w:r>
        <w:rPr>
          <w:iCs/>
          <w:i/>
        </w:rPr>
        <w:t xml:space="preserve">(new normal) hậu COVID + AI bùng nổ?</w:t>
      </w:r>
      <w:r>
        <w:rPr>
          <w:iCs/>
          <w:i/>
        </w:rPr>
        <w:t xml:space="preserve">”</w:t>
      </w:r>
    </w:p>
    <w:p>
      <w:pPr>
        <w:pStyle w:val="BodyText"/>
      </w:pPr>
      <w:r>
        <w:t xml:space="preserve">Tiến trình:</w:t>
      </w:r>
      <w:r>
        <w:t xml:space="preserve"> </w:t>
      </w:r>
      <w:r>
        <w:t xml:space="preserve">-</w:t>
      </w:r>
      <w:r>
        <w:t xml:space="preserve"> </w:t>
      </w:r>
      <w:r>
        <w:rPr>
          <w:bCs/>
          <w:b/>
        </w:rPr>
        <w:t xml:space="preserve">Bước 1</w:t>
      </w:r>
      <w:r>
        <w:t xml:space="preserve">: Chạy mô hình chính trên data 2009-2024, báo cáo H1-H6 + H7 + Lin-Mehlum tests.</w:t>
      </w:r>
      <w:r>
        <w:t xml:space="preserve"> </w:t>
      </w:r>
      <w:r>
        <w:t xml:space="preserve">-</w:t>
      </w:r>
      <w:r>
        <w:t xml:space="preserve"> </w:t>
      </w:r>
      <w:r>
        <w:rPr>
          <w:bCs/>
          <w:b/>
        </w:rPr>
        <w:t xml:space="preserve">Bước 2</w:t>
      </w:r>
      <w:r>
        <w:t xml:space="preserve">: Test cùng mô hình trên data 2025 only (n=17.107) như</w:t>
      </w:r>
      <w:r>
        <w:t xml:space="preserve"> </w:t>
      </w:r>
      <w:r>
        <w:rPr>
          <w:bCs/>
          <w:b/>
        </w:rPr>
        <w:t xml:space="preserve">out-of-sample validation panel</w:t>
      </w:r>
      <w:r>
        <w:t xml:space="preserve">. Ghi rõ</w:t>
      </w:r>
      <w:r>
        <w:t xml:space="preserve"> </w:t>
      </w:r>
      <w:r>
        <w:t xml:space="preserve">“</w:t>
      </w:r>
      <w:r>
        <w:t xml:space="preserve">post-pandemic + AI era panel</w:t>
      </w:r>
      <w:r>
        <w:t xml:space="preserve">”</w:t>
      </w:r>
      <w:r>
        <w:t xml:space="preserve"> </w:t>
      </w:r>
      <w:r>
        <w:t xml:space="preserve">(post-COVID 2020-2022 + AI surge 2023-2025).</w:t>
      </w:r>
      <w:r>
        <w:t xml:space="preserve"> </w:t>
      </w:r>
      <w:r>
        <w:t xml:space="preserve">-</w:t>
      </w:r>
      <w:r>
        <w:t xml:space="preserve"> </w:t>
      </w:r>
      <w:r>
        <w:rPr>
          <w:bCs/>
          <w:b/>
        </w:rPr>
        <w:t xml:space="preserve">Bước 3</w:t>
      </w:r>
      <w:r>
        <w:t xml:space="preserve">: Báo cáo:</w:t>
      </w:r>
      <w:r>
        <w:t xml:space="preserve"> </w:t>
      </w:r>
      <w:r>
        <w:t xml:space="preserve">- Hệ số nào giữ stability (validation passed)</w:t>
      </w:r>
      <w:r>
        <w:t xml:space="preserve"> </w:t>
      </w:r>
      <w:r>
        <w:t xml:space="preserve">- Hệ số nào thay đổi (validation failed → discuss as evidence của paradigm shift hậu COVID + AI)</w:t>
      </w:r>
      <w:r>
        <w:t xml:space="preserve"> </w:t>
      </w:r>
      <w:r>
        <w:t xml:space="preserve">- Effect size differences và policy implications.</w:t>
      </w:r>
    </w:p>
    <w:p>
      <w:pPr>
        <w:pStyle w:val="BodyText"/>
      </w:pPr>
      <w:r>
        <w:t xml:space="preserve">Cách tiếp cận này biến một rủi ro dữ liệu (đứt gãy schema) thành một chương phân tích hướng tới tương lai có giá trị (tác giả, ghi chú phân tích nội bộ, 2026).</w:t>
      </w:r>
    </w:p>
    <w:bookmarkEnd w:id="56"/>
    <w:bookmarkStart w:id="57" w:name="X49da728ab207039440da8c7ba800c51e9fd8fc2"/>
    <w:p>
      <w:pPr>
        <w:pStyle w:val="Heading4"/>
      </w:pPr>
      <w:r>
        <w:t xml:space="preserve">4.11.4 Liên kết với §6 (yếu tố giải thích) và §7.3 (hàm ý CĐ2)</w:t>
      </w:r>
    </w:p>
    <w:p>
      <w:pPr>
        <w:pStyle w:val="FirstParagraph"/>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file 16 §7.3.4 hàm ý cho CĐ2, robustness check section.</w:t>
      </w:r>
    </w:p>
    <w:p>
      <w:r>
        <w:pict>
          <v:rect style="width:0;height:1.5pt" o:hralign="center" o:hrstd="t" o:hr="t"/>
        </w:pict>
      </w:r>
    </w:p>
    <w:bookmarkEnd w:id="57"/>
    <w:bookmarkEnd w:id="58"/>
    <w:bookmarkEnd w:id="59"/>
    <w:bookmarkEnd w:id="6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2026-06-04T01:21:08Z</dcterms:created>
  <dcterms:modified xsi:type="dcterms:W3CDTF">2026-06-04T01:21:08Z</dcterms:modified>
</cp:coreProperties>
</file>

<file path=docProps/custom.xml><?xml version="1.0" encoding="utf-8"?>
<Properties xmlns="http://schemas.openxmlformats.org/officeDocument/2006/custom-properties" xmlns:vt="http://schemas.openxmlformats.org/officeDocument/2006/docPropsVTypes"/>
</file>