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70a15b3b5bbb4536ea9af4c27dc63ecd7a7d28c"/>
    <w:p>
      <w:pPr>
        <w:pStyle w:val="Heading1"/>
      </w:pPr>
      <w:r>
        <w:t xml:space="preserve">Quốc Tế Hóa và Hiệu Quả Doanh Nghiệp tại 49 Nền Kinh Tế Châu Á và Thái Bình Dương: Chế Độ Thể Chế, Năng Lực Số và Đặc Điểm Quản Lý là Các Yếu Tố Điều Kiện</w:t>
      </w:r>
    </w:p>
    <w:p>
      <w:pPr>
        <w:pStyle w:val="FirstParagraph"/>
      </w:pPr>
      <w:r>
        <w:rPr>
          <w:iCs/>
          <w:i/>
        </w:rPr>
        <w:t xml:space="preserve">Bản dịch tiếng Việt.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Journal of International Business Studies (JIBS)</w:t>
      </w:r>
    </w:p>
    <w:p>
      <w:pPr>
        <w:pStyle w:val="BodyText"/>
      </w:pPr>
      <w:r>
        <w:rPr>
          <w:iCs/>
          <w:i/>
        </w:rPr>
        <w:t xml:space="preserve">Phiên bản: Bản thảo đang hoàn thiện (tháng 5/2026)</w:t>
      </w:r>
      <w:r>
        <w:t xml:space="preserve"> </w:t>
      </w:r>
      <w:r>
        <w:rPr>
          <w:iCs/>
          <w:i/>
        </w:rPr>
        <w:t xml:space="preserve">Trạng thái: Kết quả thực nghiệm đã hoàn tất; đang chỉnh sửa để nộp đăng</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6.850 từ.</w:t>
      </w:r>
    </w:p>
    <w:p>
      <w:pPr>
        <w:pStyle w:val="BodyText"/>
      </w:pPr>
      <w:r>
        <w:rPr>
          <w:bCs/>
          <w:b/>
        </w:rPr>
        <w:t xml:space="preserve">Bảng biểu:</w:t>
      </w:r>
      <w:r>
        <w:t xml:space="preserve"> </w:t>
      </w:r>
      <w:r>
        <w:t xml:space="preserve">3 (Bảng 1 định nghĩa và đo lường biến số; Bảng 2 độ phù hợp mô hình và điểm ngưỡng; Bảng 3 các ước lượng hệ số chính M2, M7, M8, M9, M10).</w:t>
      </w:r>
    </w:p>
    <w:p>
      <w:r>
        <w:pict>
          <v:rect style="width:0;height:1.5pt" o:hralign="center" o:hrstd="t" o:hr="t"/>
        </w:pict>
      </w:r>
    </w:p>
    <w:bookmarkStart w:id="24" w:name="tóm-tắt"/>
    <w:p>
      <w:pPr>
        <w:pStyle w:val="Heading2"/>
      </w:pPr>
      <w:r>
        <w:t xml:space="preserve">Tóm tắt</w:t>
      </w:r>
    </w:p>
    <w:p>
      <w:pPr>
        <w:pStyle w:val="FirstParagraph"/>
      </w:pPr>
      <w:r>
        <w:t xml:space="preserve">Nghiên cứu này xem xét liệu mối quan hệ quốc tế hóa–hiệu quả (internationalization–performance, I–P) có duy trì xuyên suốt một tập hợp lớn và đa dạng về thể chế các nền kinh tế châu Á và Thái Bình Dương hay không, đồng thời nhận diện các điều kiện theo đó doanh nghiệp chuyển hóa cường độ xuất khẩu (export intensity) thành hiệu quả sản xuất. Sử dụng dữ liệu vi mô từ 91.982 doanh nghiệp thuộc 49 nền kinh tế và 102 đợt khảo sát quốc gia-năm của Khảo sát Doanh nghiệp Ngân hàng Thế giới (World Bank Enterprise Survey, WBES) (2003–2025), trải rộng cả sáu nhóm chế độ Năng lực Thể chế và Tổn thương Nguồn lực (Institutional Capability and Resource Vulnerability, ICRV), nghiên cứu ước lượng một tập hợp phân cấp các mô hình OLS với sai số chuẩn vững HC1. Kết quả ủng hộ vững chắc mối quan hệ I–P hình chữ U ngược (inverted-U) với điểm ngưỡng (turning point) xấp xỉ 36% doanh thu từ xuất khẩu (kiểm định Lind–Mehlum p &lt; .001; được xác nhận ở M11 với TP = 34,6%, p = .002). Năng lực công nghệ (Technological Capability Index, TCI) nâng mức hiệu quả nhưng không tái định hình một cách vững chắc đường cong. Áp dụng số (Digital Adoption Index, DAI) vừa nâng mức hiệu quả vừa tái định hình đáng kể đường cong I–P: doanh nghiệp có DAI cao hơn trải qua lợi tức bị nén ở sườn đi lên tại mức FSTS thấp và sự suy giảm hiệu quả được giảm nhẹ tại mức FSTS cao (FSTS×DAI p &lt; .01; FSTS²×DAI p &lt; .01 ở M8–M9). Chế độ thể chế (ICRV) điều tiết cả độ dốc lẫn độ cong. Kinh nghiệm quản lý và quản lý cấp cao là nữ cải thiện hiệu quả; kinh nghiệm còn điều tiết bổ sung hình dạng đường cong trong đặc tả đầy đủ. Những phát hiện này đưa ra một lời giải gọn nhẹ cho tính dị biệt I–P ở châu Á: mối quan hệ luôn mang dạng hình chữ U ngược, nhưng chất lượng chế độ thể chế và năng lực số cùng quyết định vị trí điểm ngưỡng rơi vào đâu.</w:t>
      </w:r>
    </w:p>
    <w:p>
      <w:pPr>
        <w:pStyle w:val="BodyText"/>
      </w:pPr>
      <w:r>
        <w:rPr>
          <w:bCs/>
          <w:b/>
        </w:rPr>
        <w:t xml:space="preserve">Từ khóa:</w:t>
      </w:r>
      <w:r>
        <w:t xml:space="preserve"> </w:t>
      </w:r>
      <w:r>
        <w:t xml:space="preserve">quốc tế hóa–hiệu quả; hình chữ U ngược; chế độ thể chế; năng lực số; châu Á-Thái Bình Dương; Khảo sát Doanh nghiệp Ngân hàng Thế giới.</w:t>
      </w:r>
    </w:p>
    <w:p>
      <w:r>
        <w:pict>
          <v:rect style="width:0;height:1.5pt" o:hralign="center" o:hrstd="t" o:hr="t"/>
        </w:pict>
      </w:r>
    </w:p>
    <w:bookmarkEnd w:id="24"/>
    <w:bookmarkStart w:id="25" w:name="X8291021638e5c0ee7b47a0aaabc4b853f1da348"/>
    <w:p>
      <w:pPr>
        <w:pStyle w:val="Heading2"/>
      </w:pPr>
      <w:r>
        <w:t xml:space="preserve">1. Giới thiệu</w:t>
      </w:r>
    </w:p>
    <w:p>
      <w:pPr>
        <w:pStyle w:val="FirstParagraph"/>
      </w:pPr>
      <w:r>
        <w:t xml:space="preserve">Một câu hỏi trọng tâm trong nghiên cứu kinh doanh quốc tế liên quan đến việc liệu quốc tế hóa (internationalization) qua xuất khẩu có và bằng cách nào chuyển hóa thành hiệu quả doanh nghiệp (firm performance) hay không (Lu &amp; Beamish, 2004; Johanson &amp; Vahlne, 2009). Các phân tích tổng hợp ghi nhận tương quan trung bình xấp xỉ r = .07 qua vài nghìn nghiên cứu (Bausch &amp; Krist, 2007; Kirca et al., 2012; Marano et al., 2016), nhưng phương sai giữa các nghiên cứu vượt xa mức mà sai số lấy mẫu có thể giải thích. Tại châu Á, khu vực chiếm hơn một nửa kim ngạch xuất khẩu chế tạo toàn cầu (UNCTAD, 2023), bằng chứng đặc biệt phân mảnh: các nghiên cứu trước báo cáo mối quan hệ thuận chiều (Pangarkar, 2008; Hàn Quốc), đường cong hình chữ U ngược (Chiao et al., 2006; Đài Loan), hoặc tác động không có ý nghĩa và ngược chiều (Mondal et al., 2022; Ấn Độ). Lời giải thích chuẩn mực viện dẫn bối cảnh như một biến điều tiết (moderator) (Marano et al., 2016; Kirca et al., 2012), nhưng các kiểm định thực nghiệm đồng thời trên các nền kinh tế châu Á đa dạng về thể chế vẫn hiếm.</w:t>
      </w:r>
    </w:p>
    <w:p>
      <w:pPr>
        <w:pStyle w:val="BodyText"/>
      </w:pPr>
      <w:r>
        <w:t xml:space="preserve">Bài báo này giải quyết khoảng trống đó. Nghiên cứu tổng hợp 91.982 quan sát doanh nghiệp từ 49 nền kinh tế châu Á và Thái Bình Dương trải rộng giai đoạn 2003–2025, được hài hòa từ Khảo sát Doanh nghiệp Ngân hàng Thế giới (WBES). Mẫu nghiên cứu trải rộng cả sáu nhóm chế độ ICRV, từ các nền kinh tế dẫn dắt bởi đổi mới tiên tiến (Singapore, Hàn Quốc, Đài Loan, Hong Kong, Israel, Cyprus) đến các Quốc gia Đảo nhỏ Đang phát triển ở Thái Bình Dương (Vanuatu, Solomon Islands, Fiji, Tonga, Samoa, Kiribati, Papua New Guinea, Timor-Leste) và các nền kinh tế tài nguyên tiên tiến vùng Vịnh (Bahrain, Kuwait, Qatar, Brunei, Saudi Arabia, Oman), được phân loại qua khung Năng lực Thể chế và Tổn thương Nguồn lực (ICRV) làm nền tảng cho chương trình luận án rộng hơn mà nghiên cứu này là một phần.</w:t>
      </w:r>
    </w:p>
    <w:p>
      <w:pPr>
        <w:pStyle w:val="BodyText"/>
      </w:pPr>
      <w:r>
        <w:t xml:space="preserve">Đóng góp của nghiên cứu gồm ba hướng. Thứ nhất, nghiên cứu cung cấp kiểm định lớn nhất dựa trên WBES về giả thuyết I–P hình chữ U ngược ở châu Á, xác nhận điểm ngưỡng xấp xỉ 36% cường độ doanh thu nước ngoài qua tất cả các đặc tả (N = 84.910–29.840), vững ngay cả trong mô hình điều tiết ba chiều đầy đủ (M11: TP = 34,6%, LM p = .002). Thứ hai, nghiên cứu ghi nhận rằng áp dụng số (DAI) là biến điều tiết năng lực chủ đạo tái định hình đường cong I–P, tạo ra các hiệu ứng nén đường cong có ý nghĩa thống kê (FSTS×DAI p &lt; .001) xuất hiện ngay cả khi không kiểm soát đặc điểm quản lý. Năng lực công nghệ (TCI) nâng mức hiệu quả nhưng không tái định hình một cách vững chắc sườn đi lên trong mẫu này. Thứ ba, nghiên cứu ghi nhận rằng chế độ thể chế (nhóm ICRV) điều tiết một cách có hệ thống cả độ dốc lẫn độ cong của hàm I–P, với các tương tác DAI×ICRV (p = .012) cho thấy năng lực số mang lại lợi tức hiệu quả trên mỗi đơn vị mạnh hơn trong các môi trường thể chế yếu hơn.</w:t>
      </w:r>
    </w:p>
    <w:p>
      <w:pPr>
        <w:pStyle w:val="BodyText"/>
      </w:pPr>
      <w:r>
        <w:t xml:space="preserve">Phần còn lại của bài báo được tổ chức như sau. Mục 2 phát triển khung lý thuyết và các giả thuyết hình thức. Mục 3 mô tả dữ liệu và phương pháp. Mục 4 trình bày kết quả. Mục 5 thảo luận hàm ý và hạn chế. Mục 6 kết luận.</w:t>
      </w:r>
    </w:p>
    <w:p>
      <w:r>
        <w:pict>
          <v:rect style="width:0;height:1.5pt" o:hralign="center" o:hrstd="t" o:hr="t"/>
        </w:pict>
      </w:r>
    </w:p>
    <w:bookmarkEnd w:id="25"/>
    <w:bookmarkStart w:id="33" w:name="Xfa688218e28e701d32bf8234b2f10651ad79e1f"/>
    <w:p>
      <w:pPr>
        <w:pStyle w:val="Heading2"/>
      </w:pPr>
      <w:r>
        <w:t xml:space="preserve">2. Khung lý thuyết và giả thuyết</w:t>
      </w:r>
    </w:p>
    <w:bookmarkStart w:id="26" w:name="Xf0b9c758a18c174edf2c063806c0fe85dea612d"/>
    <w:p>
      <w:pPr>
        <w:pStyle w:val="Heading3"/>
      </w:pPr>
      <w:r>
        <w:t xml:space="preserve">2.1 Nền tảng lý thuyết</w:t>
      </w:r>
    </w:p>
    <w:p>
      <w:pPr>
        <w:pStyle w:val="FirstParagraph"/>
      </w:pPr>
      <w:r>
        <w:t xml:space="preserve">Nghiên cứu dựa trên bốn truyền thống lý thuyết. Mô hình Uppsala (Johanson &amp; Vahlne, 1977, 2009) mô tả quốc tế hóa như một quá trình tuần tự trong đó doanh nghiệp tích lũy kiến thức trải nghiệm, giảm dần khoảng cách tâm lý (psychic distance) và chi phí phối hợp. Lý thuyết dựa trên nguồn lực (Resource-Based View) (Barney, 1991; Wernerfelt, 1984) định vị các năng lực ở cấp doanh nghiệp, gồm công nghệ, số và quản lý, như cơ chế trung gian liên kết mức độ tiếp xúc xuất khẩu với kết quả hiệu quả. Lý thuyết thể chế (Institutional Theory) (North, 1990; Scott, 2008) hướng sự chú ý đến cách các thể chế chính thức và phi chính thức ở cấp quốc gia định hình cấu trúc chi phí của các giao dịch xuyên biên giới. Lý thuyết Tầng lớp Quản lý Cấp cao (Upper Echelons Theory) (Hambrick &amp; Mason, 1984; Hambrick, 2007) nhấn mạnh rằng các thuộc tính của đội ngũ quản lý cấp cao điều tiết cách doanh nghiệp ứng phó với các cơ hội và ràng buộc chiến lược.</w:t>
      </w:r>
    </w:p>
    <w:bookmarkEnd w:id="26"/>
    <w:bookmarkStart w:id="27" w:name="X2b61a2c0e5256203853e9c5c7735124bc22af0b"/>
    <w:p>
      <w:pPr>
        <w:pStyle w:val="Heading3"/>
      </w:pPr>
      <w:r>
        <w:t xml:space="preserve">2.2 Mối quan hệ I–P phi tuyến (H1)</w:t>
      </w:r>
    </w:p>
    <w:p>
      <w:pPr>
        <w:pStyle w:val="FirstParagraph"/>
      </w:pPr>
      <w:r>
        <w:t xml:space="preserve">Contractor et al. (2003) hình thức hóa giả thuyết đường cong S ba giai đoạn: quốc tế hóa sớm mang theo chi phí gia nhập cố định làm suy giảm hiệu quả; quốc tế hóa trung gian tạo ra lợi ích học hỏi và kinh tế quy mô; quốc tế hóa cao có thể lại áp đặt chi phí phối hợp và chi phí đại diện. Tuy nhiên, về mặt thực nghiệm, dữ liệu ủng hộ nhất quán hơn dạng hình chữ U ngược, một trường hợp đặc biệt trong đó giai đoạn thứ ba không xuất hiện ở các mức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theo từng quốc gia trong chương trình luận án rộng hơn cung cấp bằng chứng tiền đề. Đối với Việt Nam (P3), hình chữ U ngược được xác nhận với điểm ngưỡng ở mức 39–46% bằng thiết kế biến công cụ dựa trên WBES. Đối với Trung Quốc (P5), điểm ngưỡng hình chữ U ngược ở mức 47–49% được tái lập qua các đặc tả với kiểm định xuyên đợt Paternoster (p = .545). Đối với Singapore (P4), mối quan hệ chủ yếu là thuận chiều với điểm ngưỡng rất muộn (~88,6%), nhất quán với lợi tức gần đơn điệu trong một nền kinh tế có thể chế cao và bão hòa số. Tổng hợp trên một mẫu lớn hơn nhiều và dị biệt về thể chế, nghiên cứu kỳ vọng hình chữ U ngược xuất hiện ở một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có ý nghĩa thống kê ở các mức cường độ xuất khẩu trung gian, trong một mẫu tổng hợp các doanh nghiệp châu Á và Thái Bình Dương.</w:t>
      </w:r>
    </w:p>
    <w:bookmarkEnd w:id="27"/>
    <w:bookmarkStart w:id="28" w:name="X063ac63200afd5f0013271779dfa396f2d45756"/>
    <w:p>
      <w:pPr>
        <w:pStyle w:val="Heading3"/>
      </w:pPr>
      <w:r>
        <w:t xml:space="preserve">2.3 Năng lực công nghệ là yếu tố khuếch đại đường cong (H2)</w:t>
      </w:r>
    </w:p>
    <w:p>
      <w:pPr>
        <w:pStyle w:val="FirstParagraph"/>
      </w:pPr>
      <w:r>
        <w:t xml:space="preserve">Năng lực công nghệ, được thao tác hóa như chỉ số tổng hợp của chứng nhận chất lượng, áp dụng công nghệ nước ngoài, đổi mới quy trình và R&amp;D, nâng cao năng lực hấp thụ (absorptive capacity) (Cohen &amp; Levinthal, 1990), cho phép doanh nghiệp trích xuất giá trị hiệu quả lớn hơn trên mỗi đơn vị tiếp xúc xuất khẩu. Quan trọng là, nghiên cứu kỳ vọng TCI vận hành như một</w:t>
      </w:r>
      <w:r>
        <w:t xml:space="preserve"> </w:t>
      </w:r>
      <w:r>
        <w:rPr>
          <w:iCs/>
          <w:i/>
        </w:rPr>
        <w:t xml:space="preserve">yếu tố khuếch đại đường cong</w:t>
      </w:r>
      <w:r>
        <w:t xml:space="preserve">: ở mức cường độ xuất khẩu thấp, doanh nghiệp có TCI cao thu được nhiều hơn trên mỗi đơn vị quốc tế hóa (sườn đi lên dốc hơn); ở mức cường độ cao, các doanh nghiệp này trải qua lợi tức giảm dần sắc nét hơn khi yêu cầu phối hợp vượt quá cả những năng lực vượt trội của họ (sườn đi xuống dốc hơn). Hiệu ứng ròng là một sự dịch chuyển và dốc hóa của hình chữ U ngược, không chỉ là một dịch chuyển song song lên trên.</w:t>
      </w:r>
    </w:p>
    <w:p>
      <w:pPr>
        <w:pStyle w:val="BodyText"/>
      </w:pPr>
      <w:r>
        <w:t xml:space="preserve">Dự đoán này nhất quán với P3 Việt Nam (β(TCI) = +0,179, được nhận dạng bằng IV) và P5 Trung Quốc (β(TCI) tăng từ +0,28 lên +0,43 qua các đợt khảo sát), cả hai đều cho thấy TCI là yếu tố dịch chuyển mức dương. P4 Singapore cho thấy TCI điều tiết đường cong không đáng kể, có lẽ do mức áp dụng gần như phổ quát trong một nền kinh tế ICRV cao để lại quá ít phương sai cho điều tiết.</w:t>
      </w:r>
    </w:p>
    <w:p>
      <w:pPr>
        <w:pStyle w:val="BlockText"/>
      </w:pPr>
      <w:r>
        <w:rPr>
          <w:bCs/>
          <w:b/>
        </w:rPr>
        <w:t xml:space="preserve">H2:</w:t>
      </w:r>
      <w:r>
        <w:t xml:space="preserve"> </w:t>
      </w:r>
      <w:r>
        <w:t xml:space="preserve">TCI khuếch đại đường cong I–P, nâng mức hiệu quả trung bình và dốc hóa cả sườn đi lên lẫn sườn đi xuống của hình chữ U ngược.</w:t>
      </w:r>
    </w:p>
    <w:bookmarkEnd w:id="28"/>
    <w:bookmarkStart w:id="29" w:name="X6b62f9c2e769fc51c42e28073418119c3a2bd43"/>
    <w:p>
      <w:pPr>
        <w:pStyle w:val="Heading3"/>
      </w:pPr>
      <w:r>
        <w:t xml:space="preserve">2.4 Áp dụng số là yếu tố nâng mức (H3)</w:t>
      </w:r>
    </w:p>
    <w:p>
      <w:pPr>
        <w:pStyle w:val="FirstParagraph"/>
      </w:pPr>
      <w:r>
        <w:t xml:space="preserve">Áp dụng số, được đo qua sự hiện diện website và tỷ phần thanh toán điện tử, đã được liên hệ với việc giảm chi phí liên lạc và giao dịch (Verhoef et al., 2021). Trong Mô hình Năng lực Số Ngữ cảnh (Context-Contingent Digital Capability Model, CDCM) được phát triển trong luận án, tác động của DAI phụ thuộc vào tương tác giữa chất lượng chế độ thể chế, mức FSTS và mức bão hòa thị trường số (Đỗ &amp; Phan, 2024). Cụ thể, ở các nền kinh tế thể chế tiên tiến nơi hạ tầng số đã trưởng thành, DAI mang lại sự nâng hiệu quả phổ quát (như ở P4 Singapore: β(DAI) dương và có ý nghĩa). Trong bối cảnh các nền kinh tế mới nổi với sự tự chọn lọc đáng kể vào áp dụng số (P3 Việt Nam: β(DAI) ước lượng bằng IV ≈ 0, nhất quán với sai lệch chọn lọc trong OLS), vai trò định hình đường cong của DAI bị suy giảm. Trên mẫu tổng hợp đa nền kinh tế, nghiên cứu kỳ vọng DAI nâng mức hiệu quả trên diện rộng (hiệu ứng mức). Trong một mô hình được đặc tả đầy đủ vốn cũng tính đến chất lượng quản lý, yếu tố tương quan với áp dụng số, phương sai DAI còn lại có thể bộc lộ một hiệu ứng đường cong bổ sung năng lực (capability complementarity): doanh nghiệp được trang bị số ở mức FSTS thấp đối mặt với chi phí áp dụng chìm làm nén năng suất ngắn hạn, trong khi hạ tầng số hỗ trợ hiệu quả phối hợp ở mức FSTS cao nơi yêu cầu quản lý xuyên biên giới là lớn nhất.</w:t>
      </w:r>
    </w:p>
    <w:p>
      <w:pPr>
        <w:pStyle w:val="BlockText"/>
      </w:pPr>
      <w:r>
        <w:rPr>
          <w:bCs/>
          <w:b/>
        </w:rPr>
        <w:t xml:space="preserve">H3:</w:t>
      </w:r>
      <w:r>
        <w:t xml:space="preserve"> </w:t>
      </w:r>
      <w:r>
        <w:t xml:space="preserve">DAI có hiệu ứng chính dương đối với năng suất lao động và, khi đặc điểm quản lý được kiểm soát, tái định hình đường cong I–P bằng cách nén sườn đi lên ở mức cường độ xuất khẩu thấp và giảm nhẹ sự suy giảm hiệu quả ở mức cường độ xuất khẩu cao.</w:t>
      </w:r>
    </w:p>
    <w:bookmarkEnd w:id="29"/>
    <w:bookmarkStart w:id="30" w:name="Xaa10b7e632cbfb02432bd52440e4f0ebdfadde4"/>
    <w:p>
      <w:pPr>
        <w:pStyle w:val="Heading3"/>
      </w:pPr>
      <w:r>
        <w:t xml:space="preserve">2.5 Đặc điểm quản lý (H4)</w:t>
      </w:r>
    </w:p>
    <w:p>
      <w:pPr>
        <w:pStyle w:val="FirstParagraph"/>
      </w:pPr>
      <w:r>
        <w:t xml:space="preserve">Lý thuyết Tầng lớp Quản lý Cấp cao dự đoán rằng kinh nghiệm của quản lý cấp cao và thành phần giới tính ảnh hưởng đến nhận thức chiến lược và ra quyết định (Hambrick &amp; Mason, 1984). Kinh nghiệm quản lý giảm các sai sót phối hợp trong hoạt động xuyên biên giới; quản lý cấp cao là nữ gắn với định hướng các bên liên quan, vốn quan hệ và quản trị rủi ro, tất cả đều liên quan trong các thị trường xuất khẩu dị biệt về thể chế (Richard et al., 2019). Nghiên cứu kỳ vọng cả hai đều nâng mức hiệu quả ở bất kỳ mức FSTS cho trước nào. Tuy nhiên, do bề rộng của mẫu đa quốc gia, các khác biệt quản lý ở cấp doanh nghiệp khó có khả năng tái định hình một cách có hệ thống đường cong FSTS–hiệu quả tổng hợp, vốn có hình dạng chủ yếu được quyết định bởi các yếu tố thể chế và mức trưởng thành thị trường ở quy mô toàn nền kinh tế.</w:t>
      </w:r>
    </w:p>
    <w:p>
      <w:pPr>
        <w:pStyle w:val="BlockText"/>
      </w:pPr>
      <w:r>
        <w:rPr>
          <w:bCs/>
          <w:b/>
        </w:rPr>
        <w:t xml:space="preserve">H4:</w:t>
      </w:r>
      <w:r>
        <w:t xml:space="preserve"> </w:t>
      </w:r>
      <w:r>
        <w:t xml:space="preserve">Kinh nghiệm của quản lý cấp cao và tình trạng quản lý cấp cao là nữ có hiệu ứng chính dương đối với hiệu quả doanh nghiệp, nhưng không điều tiết một cách có ý nghĩa thống kê hình dạng đường cong FSTS–hiệu quả.</w:t>
      </w:r>
    </w:p>
    <w:bookmarkEnd w:id="30"/>
    <w:bookmarkStart w:id="31" w:name="Xa9e6d961e178cdf637370e8c5bccd37dba6fd08"/>
    <w:p>
      <w:pPr>
        <w:pStyle w:val="Heading3"/>
      </w:pPr>
      <w:r>
        <w:t xml:space="preserve">2.6 Chế độ thể chế là yếu tố dịch chuyển điểm ngưỡng (H5)</w:t>
      </w:r>
    </w:p>
    <w:p>
      <w:pPr>
        <w:pStyle w:val="FirstParagraph"/>
      </w:pPr>
      <w:r>
        <w:t xml:space="preserve">North (1990) đã thiết lập rằng các thể chế chính thức giảm chi phí giao dịch; thể chế mạnh hơn hạ thấp chi phí phối hợp xuyên biên giới và do đó dịch chuyển cường độ xuất khẩu tối đa hóa hiệu quả (điểm ngưỡng hình chữ U ngược). Trong các môi trường thể chế chất lượng cao hơn, doanh nghiệp cần một tỷ phần xuất khẩu thấp hơn để thu hồi chi phí quốc tế hóa, nên điểm ngưỡng xuất hiện sớm hơn. Tương đương, giữ FSTS không đổi, doanh nghiệp trong các chế độ thể chế mạnh hơn kiếm được lợi tức cao hơn trên mỗi đơn vị quốc tế hóa.</w:t>
      </w:r>
    </w:p>
    <w:p>
      <w:pPr>
        <w:pStyle w:val="BodyText"/>
      </w:pPr>
      <w:r>
        <w:t xml:space="preserve">Nghiên cứu thao tác hóa chế độ thể chế qua hệ thống phân loại ICRV được phát triển trong luận án: sáu nhóm trải từ Nhóm I (Dẫn dắt bởi đổi mới tiên tiến: Singapore, Hàn Quốc, Đài Loan, Israel, Cyprus) đến Nhóm VI (Quốc gia Đảo nhỏ Đang phát triển và các nền kinh tế nhỏ mở: Vanuatu, Solomon Islands, Timor-Leste). Số thứ tự nhóm ICRV cao hơn biểu thị thể chế yếu hơn. Nghiên cứu kỳ vọng các tương tác FSTS×ICRV dương và FSTS²×ICRV âm ở Nhóm III–VI so với Nhóm I (thể chế mạnh hơn = hệ số Nhóm I cao hơn), điều này tương đương về mặt quan sát với việc điểm ngưỡng xuất hiện muộn hơn trong các môi trường thể chế chất lượng thấp hơn.</w:t>
      </w:r>
    </w:p>
    <w:p>
      <w:pPr>
        <w:pStyle w:val="BlockText"/>
      </w:pPr>
      <w:r>
        <w:rPr>
          <w:bCs/>
          <w:b/>
        </w:rPr>
        <w:t xml:space="preserve">H5:</w:t>
      </w:r>
      <w:r>
        <w:t xml:space="preserve"> </w:t>
      </w:r>
      <w:r>
        <w:t xml:space="preserve">Chế độ thể chế ICRV điều tiết thuận chiều mối quan hệ I–P: doanh nghiệp trong các môi trường thể chế chất lượng cao hơn (số thứ tự nhóm ICRV thấp hơn) đạt cường độ xuất khẩu tối đa hóa hiệu quả ở các mức FSTS thấp hơn.</w:t>
      </w:r>
    </w:p>
    <w:bookmarkEnd w:id="31"/>
    <w:bookmarkStart w:id="32" w:name="X925456e7207669101f8233109c3fba2f970236d"/>
    <w:p>
      <w:pPr>
        <w:pStyle w:val="Heading3"/>
      </w:pPr>
      <w:r>
        <w:t xml:space="preserve">2.7 Hiệu ứng số phụ thuộc chế độ (H6)</w:t>
      </w:r>
    </w:p>
    <w:p>
      <w:pPr>
        <w:pStyle w:val="FirstParagraph"/>
      </w:pPr>
      <w:r>
        <w:t xml:space="preserve">Mô hình Năng lực Số Ngữ cảnh (CDCM) được phát triển trong chương trình luận án này dự đoán rằng vai trò tái định hình đường cong I–P của áp dụng số không đồng nhất qua các môi trường thể chế. Ở các nền kinh tế thể chế tiên tiến (ICRV Nhóm I–II), hạ tầng số gần như phổ quát và gần với mức nền cạnh tranh, nên sự khác biệt hóa hiệu quả biên từ việc áp dụng website và thanh toán điện tử theo đó thấp hơn. Ở các nền kinh tế thể chế yếu hơn (ICRV Nhóm IV–VI), áp dụng số vẫn mang tính khác biệt hóa: các công cụ tiếp cận thị trường số hạ thấp chi phí của bất lợi do ngoại lai (liability of foreignness) và cung cấp hỗ trợ phối hợp xuyên biên giới mà các khoảng trống thể chế không thể thay thế. Do đó, tương tác DAI×ICRV kiểm định liệu tiềm năng tái định hình đường cong của năng lực số (được thiết lập ở H3) có biến thiên một cách có hệ thống qua phổ thể chế hay không, cụ thể là liệu việc nén sườn đi lên và làm đệm cho sự suy giảm hiệu quả ở mức FSTS cao có rõ nét hơn ở các nền kinh tế thể chế yếu hơn hay không.</w:t>
      </w:r>
    </w:p>
    <w:p>
      <w:pPr>
        <w:pStyle w:val="BodyText"/>
      </w:pPr>
      <w:r>
        <w:t xml:space="preserve">Dự đoán này nhất quán với dòng bổ sung số của lý thuyết thể chế (North, 1990; Stallkamp &amp; Schotter, 2021): nơi các thể chế chính thức cung cấp thực thi hợp đồng đáng tin cậy, bảo hộ sở hữu trí tuệ và thông tin thị trường, hạ tầng số bổ sung một cách tiệm tiến; nơi khoảng trống thể chế chiếm ưu thế, công cụ số cung cấp một sự thay thế đáng kể cho các cơ chế chính thức còn thiếu. Do đó, H6 không dự đoán các hiệu ứng</w:t>
      </w:r>
      <w:r>
        <w:t xml:space="preserve"> </w:t>
      </w:r>
      <w:r>
        <w:rPr>
          <w:iCs/>
          <w:i/>
        </w:rPr>
        <w:t xml:space="preserve">mức</w:t>
      </w:r>
      <w:r>
        <w:t xml:space="preserve"> </w:t>
      </w:r>
      <w:r>
        <w:t xml:space="preserve">mạnh hơn trong bối cảnh thể chế yếu (vốn có thể phản ánh nhiều yếu tố gây nhiễu), mà cụ thể dự đoán một tương tác</w:t>
      </w:r>
      <w:r>
        <w:t xml:space="preserve"> </w:t>
      </w:r>
      <w:r>
        <w:rPr>
          <w:iCs/>
          <w:i/>
        </w:rPr>
        <w:t xml:space="preserve">định hình đường cong</w:t>
      </w:r>
      <w:r>
        <w:t xml:space="preserve"> </w:t>
      </w:r>
      <w:r>
        <w:t xml:space="preserve">mạnh hơn giữa áp dụng số và cường độ xuất khẩu, một tuyên bố về tính bổ sung có điều kiện.</w:t>
      </w:r>
    </w:p>
    <w:p>
      <w:pPr>
        <w:pStyle w:val="BlockText"/>
      </w:pPr>
      <w:r>
        <w:rPr>
          <w:bCs/>
          <w:b/>
        </w:rPr>
        <w:t xml:space="preserve">H6:</w:t>
      </w:r>
      <w:r>
        <w:t xml:space="preserve"> </w:t>
      </w:r>
      <w:r>
        <w:t xml:space="preserve">Chế độ thể chế ICRV điều tiết hiệu ứng tái định hình đường cong của áp dụng số: hiệu ứng nén của áp dụng số đối với sườn đi lên của đường cong I–P và hiệu ứng làm đệm của nó ở mức FSTS cao (H3) mạnh hơn trong các môi trường thể chế yếu hơn (số thứ tự nhóm ICRV cao hơn), nơi hạ tầng số cung cấp sự khác biệt hóa cạnh tranh lớn hơn trong tiếp cận thị trường xuyên biên giới.</w:t>
      </w:r>
    </w:p>
    <w:p>
      <w:r>
        <w:pict>
          <v:rect style="width:0;height:1.5pt" o:hralign="center" o:hrstd="t" o:hr="t"/>
        </w:pict>
      </w:r>
    </w:p>
    <w:bookmarkEnd w:id="32"/>
    <w:bookmarkEnd w:id="33"/>
    <w:bookmarkStart w:id="38" w:name="X04a517dd5a14ea73a401e4e8e76b17647fe8cfb"/>
    <w:p>
      <w:pPr>
        <w:pStyle w:val="Heading2"/>
      </w:pPr>
      <w:r>
        <w:t xml:space="preserve">3. Dữ liệu và phương pháp</w:t>
      </w:r>
    </w:p>
    <w:bookmarkStart w:id="34" w:name="X84ced60e62ea90934832891098abf01a4d917e5"/>
    <w:p>
      <w:pPr>
        <w:pStyle w:val="Heading3"/>
      </w:pPr>
      <w:r>
        <w:t xml:space="preserve">3.1 Nguồn dữ liệu</w:t>
      </w:r>
    </w:p>
    <w:p>
      <w:pPr>
        <w:pStyle w:val="FirstParagraph"/>
      </w:pPr>
      <w:r>
        <w:t xml:space="preserve">Dữ liệu bắt nguồn từ Khảo sát Doanh nghiệp Ngân hàng Thế giới (WBES), một khảo sát mẫu ngẫu nhiên phân tầng các doanh nghiệp khu vực tư nhân chính thức, được thực hiện định kỳ trên hơn 130 quốc gia. Nghiên cứu sử dụng dữ liệu vi mô từ 49 nền kinh tế châu Á và Thái Bình Dương qua 102 đợt khảo sát quốc gia-năm trải rộng giai đoạn 2003–2025. Phạm vi này bao gồm sáu tiểu vùng châu Á theo phân loại UN M.49: Đông Á (Trung Quốc, Hong Kong, Hàn Quốc, Mông Cổ, Đài Loan), Đông Nam Á (Brunei, Campuchia, Indonesia, Lào, Malaysia, Myanmar, Philippines, Singapore, Thái Lan, Timor-Leste, Việt Nam), Nam Á (Afghanistan, Bangladesh, Bhutan, Ấn Độ, Maldives, Nepal, Pakistan, Sri Lanka), Trung Á (Kazakhstan, Kyrgyz Republic, Tajikistan, Turkmenistan, Uzbekistan), Tây Á (Armenia, Bahrain, Cyprus, Iraq, Israel, Jordan, Kuwait, Lebanon, Oman, Qatar, Saudi Arabia, Yemen), và Thái Bình Dương/SIDS (Fiji, Kiribati, Papua New Guinea, Samoa, Solomon Islands, Tonga, Vanuatu).</w:t>
      </w:r>
    </w:p>
    <w:p>
      <w:pPr>
        <w:pStyle w:val="BodyText"/>
      </w:pPr>
      <w:r>
        <w:t xml:space="preserve">Tập dữ liệu phân tích cuối cùng chứa 91.982 quan sát doanh nghiệp (trước khi áp dụng yêu cầu biến kết quả và FSTS không khuyết). Dữ liệu sẵn có của Oman (đợt 2003) có trước các biến năng lực số dùng trong M6–M11; nó đóng góp cho M2 nhưng bị loại khỏi M3+ do thiếu biến kiểm soát. Các thiết kế WBES mang tính mặt cắt ngang trong mỗi đợt, với công cụ chuẩn hóa bảo đảm định nghĩa biến chung qua các nền kinh tế và năm. Nghiên cứu áp dụng ba bước hài hòa dữ liệu (data harmonization): (1) ánh xạ ưu tiên biến cho các mục ứng viên qua các thế hệ công cụ khảo sát PICS3 (2009–2013), Standardised (2014–2018), và BREADY/BEE (2019–2025); (2) đọc dữ liệu vững theo mã hóa (UTF-8 chính với dự phòng Latin-1/CP1252); (3) loại trùng lặp, chọn tệp lớn nhất cho mỗi cặp (quốc gia, năm) khi có nhiều lần tải lên.</w:t>
      </w:r>
    </w:p>
    <w:bookmarkEnd w:id="34"/>
    <w:bookmarkStart w:id="35"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(labour productivity) được thao tác hóa là log doanh thu hàng năm trên mỗi lao động thường xuyên: ln(LP) = ln(doanh thu / l1_workers). Doanh thu lấy từ mục WBES n3 (hoặc d2 khi n3 khuyết). Hiệu ứng tiền tệ được hấp thụ bởi hiệu ứng cố định quốc gia-năm ở M5; nếu không có hiệu ứng cố định, mức năng suất biến thiên theo giá trị danh nghĩa qua các nền kinh tế và năm.</w:t>
      </w:r>
    </w:p>
    <w:p>
      <w:pPr>
        <w:pStyle w:val="BodyText"/>
      </w:pPr>
      <w:r>
        <w:rPr>
          <w:bCs/>
          <w:b/>
        </w:rPr>
        <w:t xml:space="preserve">Cường độ doanh thu nước ngoài (FSTS).</w:t>
      </w:r>
      <w:r>
        <w:t xml:space="preserve"> </w:t>
      </w:r>
      <w:r>
        <w:t xml:space="preserve">Được định nghĩa là tỷ phần doanh thu từ xuất khẩu trực tiếp (d3c / 100), dao động từ 0 đến 1. Nghiên cứu căn giữa FSTS theo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Một chỉ số tổng hợp hai mục (sẵn có ở &gt;95% số tệp) gồm chứng nhận chất lượng (b8: có ISO hoặc chứng nhận khác) và áp dụng công nghệ nước ngoài (e6: sử dụng công nghệ cấp phép nước ngoài), được chuẩn hóa về trung bình 0, độ lệch chuẩn 1. Điểm z bảo toàn biến thiên xuyên nền kinh tế.</w:t>
      </w:r>
    </w:p>
    <w:p>
      <w:pPr>
        <w:pStyle w:val="BodyText"/>
      </w:pPr>
      <w:r>
        <w:rPr>
          <w:bCs/>
          <w:b/>
        </w:rPr>
        <w:t xml:space="preserve">Chỉ số áp dụng số (DAI_z).</w:t>
      </w:r>
      <w:r>
        <w:t xml:space="preserve"> </w:t>
      </w:r>
      <w:r>
        <w:t xml:space="preserve">Hiện diện website (c22b / e1) lấy trung bình với tỷ phần thanh toán điện tử (k33 / 100 khi có sẵn), được chuẩn hóa về trung bình 0, độ lệch chuẩn 1. Trong các đợt không có mục thanh toán điện tử, DAI chỉ bằng hiện diện website.</w:t>
      </w:r>
    </w:p>
    <w:p>
      <w:pPr>
        <w:pStyle w:val="BodyText"/>
      </w:pPr>
      <w:r>
        <w:rPr>
          <w:bCs/>
          <w:b/>
        </w:rPr>
        <w:t xml:space="preserve">Đặc điểm quản lý.</w:t>
      </w:r>
      <w:r>
        <w:t xml:space="preserve"> </w:t>
      </w:r>
      <w:r>
        <w:t xml:space="preserve">Kinh nghiệm của quản lý cấp cao trong ngành (b7, tính bằng năm) và một chỉ báo nhị phân cho quản lý cấp cao là nữ (b7a / b6a).</w:t>
      </w:r>
    </w:p>
    <w:p>
      <w:pPr>
        <w:pStyle w:val="BodyText"/>
      </w:pPr>
      <w:r>
        <w:rPr>
          <w:bCs/>
          <w:b/>
        </w:rPr>
        <w:t xml:space="preserve">Biến kiểm soát.</w:t>
      </w:r>
      <w:r>
        <w:t xml:space="preserve"> </w:t>
      </w:r>
      <w:r>
        <w:t xml:space="preserve">Tỷ phần sở hữu nữ (b4 &gt; 0,5: sở hữu đa số bởi nữ, nhị phân), phần trăm sở hữu nước ngoài (b6a / 100), tuổi doanh nghiệp (tính bằng năm, năm hiện tại − b5), và log số lao động thường xuyên (ln l1_workers) làm biến đại diện quy mô.</w:t>
      </w:r>
    </w:p>
    <w:p>
      <w:pPr>
        <w:pStyle w:val="BodyText"/>
      </w:pPr>
      <w:r>
        <w:rPr>
          <w:bCs/>
          <w:b/>
        </w:rPr>
        <w:t xml:space="preserve">Chế độ thể chế (nhóm ICRV).</w:t>
      </w:r>
      <w:r>
        <w:t xml:space="preserve"> </w:t>
      </w:r>
      <w:r>
        <w:t xml:space="preserve">Số nguyên 1–6 dựa trên phân loại ICRV; được dùng làm biến điều tiết liên tục ở M10/M11 và làm biến điều tiết cấp nhóm cho các đồ thị hiệu ứng biên.</w:t>
      </w:r>
    </w:p>
    <w:bookmarkEnd w:id="35"/>
    <w:bookmarkStart w:id="36" w:name="X7bb3fee78b87f48d0c2473c5ced53c572ee4cbc"/>
    <w:p>
      <w:pPr>
        <w:pStyle w:val="Heading3"/>
      </w:pPr>
      <w:r>
        <w:t xml:space="preserve">3.3 Chiến lược ước lượng</w:t>
      </w:r>
    </w:p>
    <w:p>
      <w:pPr>
        <w:pStyle w:val="FirstParagraph"/>
      </w:pPr>
      <w:r>
        <w:t xml:space="preserve">Nghiên cứu ước lượng một chuỗi phân cấp gồm 11 mô hình (Bảng 2). Tất cả các mô hình đều dùng OLS với sai số chuẩn vững theo phương sai sai số không đồng nhất HC1 (Long &amp; Ervin, 2000), gom cụm theo quốc gia-năm. Hiệu ứng cố định quốc gia-năm (M5) cung cấp mức nền tham chiếu thận trọng nhất. Nghiên cứu ưu tiên HC1 hơn sai số chuẩn cụm vì việc lấy mẫu WBES được phân tầng bên trong, chứ không phải xuyên qua, các quốc gia-năm.</w:t>
      </w:r>
    </w:p>
    <w:p>
      <w:pPr>
        <w:pStyle w:val="BodyText"/>
      </w:pPr>
      <w:r>
        <w:t xml:space="preserve">Hình dạng hình chữ U ngược được xác nhận hình thức bằng kiểm định Lind–Mehlum (2010), vốn yêu cầu: (a) β₁ &gt; 0, β₂ &lt; 0, và (b) điểm ngưỡng nằm hoàn toàn trong phạm vi FSTS quan sát, và (c) độ dốc ở các cực thỏa mãn dự đoán về hướng. Nghiên cứu báo cáo điểm ngưỡng theo công thức: TP = −β₁ / (2β₂) + mean(FSTS), trong đó β₁ và β₂ được ước lượng trên thang FSTS_c căn giữa theo trung bình và kết quả được biểu diễn dưới dạng tỷ phần (0–1) của tổng doanh thu.</w:t>
      </w:r>
    </w:p>
    <w:p>
      <w:pPr>
        <w:pStyle w:val="BodyText"/>
      </w:pPr>
      <w:r>
        <w:t xml:space="preserve">Đối với các kiểm định điều tiết (M7–M11), nghiên cứu đưa vào các số hạng tương tác FSTS×biến điều tiết và FSTS²×biến điều tiết. Ý nghĩa thống kê đồng thời của hai số hạng tương tác được kiểm định bằng kiểm định F; nghiên cứu báo cáo cả p-value đồng thời lẫn p-value của từng hệ số.</w:t>
      </w:r>
    </w:p>
    <w:bookmarkEnd w:id="36"/>
    <w:bookmarkStart w:id="37" w:name="X0cac5e96510277512b2b1fca2596ae548606a9b"/>
    <w:p>
      <w:pPr>
        <w:pStyle w:val="Heading3"/>
      </w:pPr>
      <w:r>
        <w:t xml:space="preserve">3.4 Cỡ mẫu</w:t>
      </w:r>
    </w:p>
    <w:p>
      <w:pPr>
        <w:pStyle w:val="FirstParagraph"/>
      </w:pPr>
      <w:r>
        <w:t xml:space="preserve">Mẫu phân tích cho M2 (biến kết quả + FSTS không khuyết) là N = 84.910. Thêm các biến kiểm soát giảm mẫu xuống N = 38.342 (M3); mô hình hiệu ứng cố định quốc gia-năm M5 dùng cùng mẫu. Các mô hình điều tiết theo TCI (M6, M7) dùng N ≈ 38.051; thêm DAI (M8) N ≈ 37.940; các mô hình quản lý (M9) N ≈ 35.568; điều tiết theo ICRV (M10) N ≈ 31.928; ba chiều đầy đủ (M11) N ≈ 29.840. Sự sụt giảm từ M2 xuống M3/M5 phản ánh tình trạng khuyết của các biến kiểm soát (chủ yếu là sở hữu nước ngoài và tuổi doanh nghiệp), vốn phổ biến hơn ở các nền kinh tế nhỏ hơn và các đợt WBES sớm.</w:t>
      </w:r>
    </w:p>
    <w:p>
      <w:r>
        <w:pict>
          <v:rect style="width:0;height:1.5pt" o:hralign="center" o:hrstd="t" o:hr="t"/>
        </w:pict>
      </w:r>
    </w:p>
    <w:bookmarkEnd w:id="37"/>
    <w:bookmarkEnd w:id="38"/>
    <w:bookmarkStart w:id="46" w:name="Xc1528237297c4ce8999628372a6b48494fd6214"/>
    <w:p>
      <w:pPr>
        <w:pStyle w:val="Heading2"/>
      </w:pPr>
      <w:r>
        <w:t xml:space="preserve">4. Kết quả</w:t>
      </w:r>
    </w:p>
    <w:bookmarkStart w:id="39" w:name="X270692b7fb857c24731b5eb1b9637ba60d98ddf"/>
    <w:p>
      <w:pPr>
        <w:pStyle w:val="Heading3"/>
      </w:pPr>
      <w:r>
        <w:t xml:space="preserve">4.1 Thống kê mô tả và tương quan</w:t>
      </w:r>
    </w:p>
    <w:p>
      <w:pPr>
        <w:pStyle w:val="FirstParagraph"/>
      </w:pPr>
      <w:r>
        <w:t xml:space="preserve">Mẫu phân tích đầy đủ trải rộng 49 nền kinh tế và 102 đợt khảo sát quốc gia-năm. FSTS trung bình giữa các doanh nghiệp xấp xỉ 12% (trung vị ≈ 0), phản ánh thực tế rằng đa số doanh nghiệp WBES định hướng nội địa; các nhà xuất khẩu (FSTS &gt; 0) chiếm xấp xỉ 18% mẫu. Năng suất lao động dao động từ ln(LP) ≈ 10 (Tajikistan, Timor-Leste) đến ln(LP) ≈ 20 (Việt Nam, Indonesia, phản ánh khác biệt doanh thu danh nghĩa chưa điều chỉnh theo PPP). Các tương quan theo cặp giữa các biến trọng tâm ở mức vừa phải (|r| &lt; .15 cho tất cả các cặp), và các hệ số phóng đại phương sai trong mô hình đầy đủ dưới 3,5, loại trừ lo ngại về đa cộng tuyến.</w:t>
      </w:r>
    </w:p>
    <w:bookmarkEnd w:id="39"/>
    <w:bookmarkStart w:id="40" w:name="Xbd77db0d5d214cebc051e6245297261eba8b144"/>
    <w:p>
      <w:pPr>
        <w:pStyle w:val="Heading3"/>
      </w:pPr>
      <w:r>
        <w:t xml:space="preserve">4.2 Hiệu ứng chính: Hình chữ U ngược (H1)</w:t>
      </w:r>
    </w:p>
    <w:p>
      <w:pPr>
        <w:pStyle w:val="FirstParagraph"/>
      </w:pPr>
      <w:r>
        <w:rPr>
          <w:iCs/>
          <w:i/>
        </w:rPr>
        <w:t xml:space="preserve">Bảng 2, các Mô hình M0–M5.</w:t>
      </w:r>
    </w:p>
    <w:p>
      <w:pPr>
        <w:pStyle w:val="BodyText"/>
      </w:pPr>
      <w:r>
        <w:t xml:space="preserve">Mô hình tuyến tính cơ sở (M0) xác nhận rằng riêng FSTS không bổ sung sức giải thích (adjR² = .000). Thêm số hạng bậc hai FSTS² (M2) cho β₁ = +1,316 (p &lt; .001) và β₂ = −1,810 (p &lt; .001), nhất quán với hình chữ U ngược. Theo Haans, Pieters và He (2016), tất cả bốn điều kiện hình thức cho một hình chữ U ngược thực sự được thỏa mãn ở M2: (C1) β₁ = +1,316 (p &lt; .001), xác nhận sườn đi lên dương; (C2) β₂ = −1,810 (p &lt; .001), xác nhận tính lõm; (C3) điểm ngưỡng TP* ≈ 36,4% nằm hoàn toàn trong phạm vi FSTS quan sát [0%, 100%]; và (C4) hiệu ứng biên của quốc tế hóa dương ở biên dữ liệu dưới (FSTS ≈ 0%, độ dốc ≈ +1,32) và âm ở biên trên (FSTS ≈ 100%, độ dốc ≈ −2,30), với dấu ngược chiều được xác nhận bằng kiểm định u Lind–Mehlum (2010) (p đồng thời &lt; .001). Hình chữ U ngược vẫn có ý nghĩa khi thêm các biến kiểm soát (M3: TP = 33,8%, LM p &lt; .001) và khi hiệu ứng cố định quốc gia-năm hấp thụ toàn bộ tính dị biệt quốc gia biến thiên theo thời gian không quan sát được (M5: TP = 40,0%, LM p &lt; .001, adjR² = .677). Tính nhất quán của điểm ngưỡng qua M2, M3 và M5, dao động từ 33,8% đến 40,0%, cung cấp bằng chứng mạnh rằng hình chữ U ngược không phải là sản phẩm giả tạo của các yếu tố gây nhiễu cấp quốc gia bị bỏ sót. Quan trọng là, hình chữ U ngược cũng được xác nhận trong mô hình điều tiết ba chiều đầy đủ M11 (TP = 34,6%, LM p = .002), thiết lập tính vững đối với đặc tả khắt khe nhất.</w:t>
      </w:r>
    </w:p>
    <w:p>
      <w:pPr>
        <w:pStyle w:val="BodyText"/>
      </w:pPr>
      <w:r>
        <w:rPr>
          <w:bCs/>
          <w:b/>
        </w:rPr>
        <w:t xml:space="preserve">H1 được ủng hộ.</w:t>
      </w:r>
      <w:r>
        <w:t xml:space="preserve"> </w:t>
      </w:r>
      <w:r>
        <w:t xml:space="preserve">Mối quan hệ I–P mang dạng hình chữ U ngược vững chắc trong mẫu tổng hợp 49 nền kinh tế châu Á và Thái Bình Dương, với điểm ngưỡng xấp xỉ 36% cường độ doanh thu nước ngoài.</w:t>
      </w:r>
    </w:p>
    <w:bookmarkEnd w:id="40"/>
    <w:bookmarkStart w:id="41" w:name="X11fb7ec804872d4cad671d2db0bb52b74b07440"/>
    <w:p>
      <w:pPr>
        <w:pStyle w:val="Heading3"/>
      </w:pPr>
      <w:r>
        <w:t xml:space="preserve">4.3 Điều tiết theo năng lực công nghệ (H2)</w:t>
      </w:r>
    </w:p>
    <w:p>
      <w:pPr>
        <w:pStyle w:val="FirstParagraph"/>
      </w:pPr>
      <w:r>
        <w:rPr>
          <w:iCs/>
          <w:i/>
        </w:rPr>
        <w:t xml:space="preserve">Bảng 2, các Mô hình M6–M7.</w:t>
      </w:r>
    </w:p>
    <w:p>
      <w:pPr>
        <w:pStyle w:val="BodyText"/>
      </w:pPr>
      <w:r>
        <w:t xml:space="preserve">Thêm TCI làm hiệu ứng chính (M6: β = +0,321, p &lt; .001) nâng adjR² từ .015 lên .024. Mô hình tương tác M7 thêm FSTS×TCI và FSTS²×TCI. Kết quả cho thấy:</w:t>
      </w:r>
    </w:p>
    <w:p>
      <w:pPr>
        <w:numPr>
          <w:ilvl w:val="0"/>
          <w:numId w:val="1001"/>
        </w:numPr>
        <w:pStyle w:val="Compact"/>
      </w:pPr>
      <w:r>
        <w:t xml:space="preserve">Hiệu ứng chính TCI: β = +0,344 (p &lt; .001), TCI cao hơn nâng hiệu quả nền</w:t>
      </w:r>
    </w:p>
    <w:p>
      <w:pPr>
        <w:numPr>
          <w:ilvl w:val="0"/>
          <w:numId w:val="1001"/>
        </w:numPr>
        <w:pStyle w:val="Compact"/>
      </w:pPr>
      <w:r>
        <w:t xml:space="preserve">FSTS×TCI: β = −0,144 (không có ý nghĩa), tương tác sườn đi lên không có ý nghĩa</w:t>
      </w:r>
    </w:p>
    <w:p>
      <w:pPr>
        <w:numPr>
          <w:ilvl w:val="0"/>
          <w:numId w:val="1001"/>
        </w:numPr>
        <w:pStyle w:val="Compact"/>
      </w:pPr>
      <w:r>
        <w:t xml:space="preserve">FSTS²×TCI: β = −0,137 (không có ý nghĩa ở M7; vẫn không có ý nghĩa ở M8, p = .129)</w:t>
      </w:r>
    </w:p>
    <w:p>
      <w:pPr>
        <w:pStyle w:val="FirstParagraph"/>
      </w:pPr>
      <w:r>
        <w:t xml:space="preserve">Kiểm định F đồng thời cho hai số hạng tương tác TCI không có ý nghĩa qua M7–M9. Hình chữ U ngược vẫn được xác nhận ở M7 (TP = 33,9%, LM p &lt; .001). Một mức tăng một độ lệch chuẩn của TCI nâng năng suất lao động lên exp(0,344) − 1 ≈ 41% tại mức FSTS trung bình, một hiệu ứng mức lớn và có ý nghĩa thực tiễn. Sự dốc hóa độ cong mà H2 dự đoán không xuất hiện trong mẫu mở rộng này.</w:t>
      </w:r>
    </w:p>
    <w:p>
      <w:pPr>
        <w:pStyle w:val="BodyText"/>
      </w:pPr>
      <w:r>
        <w:rPr>
          <w:bCs/>
          <w:b/>
        </w:rPr>
        <w:t xml:space="preserve">H2 được ủng hộ một phần (hiệu ứng mức được xác nhận; hiệu ứng độ cong không có ý nghĩa).</w:t>
      </w:r>
      <w:r>
        <w:t xml:space="preserve"> </w:t>
      </w:r>
      <w:r>
        <w:t xml:space="preserve">TCI nâng mức hiệu quả một cách nhất quán qua các đặc tả, nhưng cả sự khuếch đại sườn đi lên lẫn sườn đi xuống đều không đạt ý nghĩa thống kê. Kết quả null về điều tiết độ cong có lẽ phản ánh các hiệu ứng TCI dị biệt qua mẫu 49 nền kinh tế đa dạng về thể chế, làm suy giảm các mô hình từng quốc gia được ghi nhận ở P3/P5.</w:t>
      </w:r>
    </w:p>
    <w:bookmarkEnd w:id="41"/>
    <w:bookmarkStart w:id="42" w:name="Xf17dd62e373a0644da3c548817cfc7167c00125"/>
    <w:p>
      <w:pPr>
        <w:pStyle w:val="Heading3"/>
      </w:pPr>
      <w:r>
        <w:t xml:space="preserve">4.4 Điều tiết theo áp dụng số (H3)</w:t>
      </w:r>
    </w:p>
    <w:p>
      <w:pPr>
        <w:pStyle w:val="FirstParagraph"/>
      </w:pPr>
      <w:r>
        <w:rPr>
          <w:iCs/>
          <w:i/>
        </w:rPr>
        <w:t xml:space="preserve">Bảng 2, Mô hình M8.</w:t>
      </w:r>
    </w:p>
    <w:p>
      <w:pPr>
        <w:pStyle w:val="BodyText"/>
      </w:pPr>
      <w:r>
        <w:t xml:space="preserve">Khi DAI được thêm vào M7, hiệu ứng chính DAI dương và có ý nghĩa thống kê (β = +0,155, p &lt; .001), nhất quán với mức bù hiệu quả xấp xỉ 17% cho các doanh nghiệp hoạt động số tích cực (exp(0,155) − 1 ≈ 17%). Đáng chú ý, cả hai số hạng tương tác DAI đều có ý nghĩa thống kê ở M8: FSTS×DAI = −0,614 (p &lt; .001, ***) và FSTS²×DAI = +0,766 (p = .001, **). Mô hình tương tác, FSTS×DAI âm và FSTS²×DAI dương, nghĩa là các doanh nghiệp DAI cao trải qua một đường cong I–P phẳng hơn, đã dịch chuyển: lợi tức năng suất trên mỗi đơn vị FSTS thấp hơn ở mức cường độ xuất khẩu thấp (chi phí áp dụng chìm, hoặc sự chọn lọc các doanh nghiệp bị ràng buộc năng suất vào áp dụng số), nhưng sự suy giảm hiệu quả nhỏ hơn đáng kể ở mức FSTS cao (hạ tầng số hỗ trợ phối hợp xuyên biên giới ở quy mô lớn). Kết quả này còn mạnh hơn ở M9 với các biến kiểm soát quản lý: FSTS×DAI = −0,780 (p &lt; .001, ***) và FSTS²×DAI = +0,994 (p &lt; .001, ***). Hình chữ U ngược được duy trì ở cả hai đặc tả (M8: TP = 33,8%; M9: TP = 36,1%).</w:t>
      </w:r>
    </w:p>
    <w:p>
      <w:pPr>
        <w:pStyle w:val="BodyText"/>
      </w:pPr>
      <w:r>
        <w:rPr>
          <w:bCs/>
          <w:b/>
        </w:rPr>
        <w:t xml:space="preserve">H3 được ủng hộ.</w:t>
      </w:r>
      <w:r>
        <w:t xml:space="preserve"> </w:t>
      </w:r>
      <w:r>
        <w:t xml:space="preserve">DAI nâng hiệu quả doanh nghiệp lên xấp xỉ 16% và tái định hình đáng kể đường cong I–P, nén sườn đi lên và giảm nhẹ sự suy giảm hiệu quả ở mức FSTS cao, ngay cả trước khi kiểm soát đặc điểm quản lý. Đây là phát hiện điều tiết năng lực chủ đạo của nghiên cứu.</w:t>
      </w:r>
    </w:p>
    <w:bookmarkEnd w:id="42"/>
    <w:bookmarkStart w:id="43" w:name="X90ada23a1e72a466be2676c9cfbd3f3b5fdbd04"/>
    <w:p>
      <w:pPr>
        <w:pStyle w:val="Heading3"/>
      </w:pPr>
      <w:r>
        <w:t xml:space="preserve">4.5 Đặc điểm quản lý (H4)</w:t>
      </w:r>
    </w:p>
    <w:p>
      <w:pPr>
        <w:pStyle w:val="FirstParagraph"/>
      </w:pPr>
      <w:r>
        <w:rPr>
          <w:iCs/>
          <w:i/>
        </w:rPr>
        <w:t xml:space="preserve">Bảng 2, Mô hình M9.</w:t>
      </w:r>
    </w:p>
    <w:p>
      <w:pPr>
        <w:pStyle w:val="BodyText"/>
      </w:pPr>
      <w:r>
        <w:t xml:space="preserve">Kinh nghiệm quản lý (β = +0,007, p = .026) và quản lý cấp cao là nữ (β = +0,185, p &lt; .001) đều nâng hiệu quả doanh nghiệp độc lập với FSTS ở M9. Hiệu ứng kinh nghiệm hàm ý năng suất lao động cao hơn xấp xỉ 0,7% cho mỗi năm kinh nghiệm ngành bổ sung; hiệu ứng quản lý cấp cao là nữ hàm ý mức bù hiệu quả xấp xỉ 20% (exp(0,185) − 1 ≈ 20%). Tương tác FSTS×kinh_nghiệm_quản_lý không có ý nghĩa ở M9 (β = −0,012, p = .133), nhưng đạt p = .053 ở M11 (β = −0,019, †), gợi ý rằng, trong đặc tả đầy đủ, các nhà quản lý có kinh nghiệm hơn điều hướng các thách thức phối hợp ở mức FSTS cao hiệu quả hơn (tương tác âm = sự suy giảm hiệu quả nhỏ hơn trên điểm ngưỡng).</w:t>
      </w:r>
    </w:p>
    <w:p>
      <w:pPr>
        <w:pStyle w:val="BodyText"/>
      </w:pPr>
      <w:r>
        <w:rPr>
          <w:bCs/>
          <w:b/>
        </w:rPr>
        <w:t xml:space="preserve">H4 được ủng hộ một phần.</w:t>
      </w:r>
      <w:r>
        <w:t xml:space="preserve"> </w:t>
      </w:r>
      <w:r>
        <w:t xml:space="preserve">Kinh nghiệm của quản lý cấp cao và quản lý là nữ cải thiện hiệu quả doanh nghiệp (các hiệu ứng mức được xác nhận). Hiệu ứng điều tiết đường cong của kinh nghiệm quản lý hiện diện ở biên ở M11 nhưng vắng mặt ở M9; nghiên cứu diễn giải đây là một phát hiện thứ cấp cần tái lập.</w:t>
      </w:r>
    </w:p>
    <w:bookmarkEnd w:id="43"/>
    <w:bookmarkStart w:id="44" w:name="Xc9fa35adf96da1fb0ca9259f39ed494a02f2b30"/>
    <w:p>
      <w:pPr>
        <w:pStyle w:val="Heading3"/>
      </w:pPr>
      <w:r>
        <w:t xml:space="preserve">4.6 Điều tiết theo chế độ thể chế (H5)</w:t>
      </w:r>
    </w:p>
    <w:p>
      <w:pPr>
        <w:pStyle w:val="FirstParagraph"/>
      </w:pPr>
      <w:r>
        <w:rPr>
          <w:iCs/>
          <w:i/>
        </w:rPr>
        <w:t xml:space="preserve">Bảng 2, Mô hình M10.</w:t>
      </w:r>
    </w:p>
    <w:p>
      <w:pPr>
        <w:pStyle w:val="BodyText"/>
      </w:pPr>
      <w:r>
        <w:t xml:space="preserve">Hiệu ứng chính của nhóm ICRV (β = +0,763, p &lt; .001) cho thấy rằng, khi kiểm soát TCI, DAI và đặc điểm doanh nghiệp, mỗi bước tăng trên thang ICRV (từ Nhóm I lên VI, tức từ thể chế mạnh đến yếu) gắn với mức năng suất lao động cao hơn xấp xỉ 115% (exp(0,763) − 1 ≈ 115%). Hệ số ICRV</w:t>
      </w:r>
      <w:r>
        <w:t xml:space="preserve"> </w:t>
      </w:r>
      <w:r>
        <w:rPr>
          <w:iCs/>
          <w:i/>
        </w:rPr>
        <w:t xml:space="preserve">dương</w:t>
      </w:r>
      <w:r>
        <w:t xml:space="preserve"> </w:t>
      </w:r>
      <w:r>
        <w:t xml:space="preserve">trái trực giác này phản ánh rằng doanh thu danh nghĩa trên mỗi lao động cao hơn ở các nền kinh tế có mặt bằng giá thấp hơn (đặc trưng của các nền kinh tế tiên phong/mới nổi), và hiệu ứng cố định quốc gia-năm không được đưa vào M10 nhằm bảo toàn chế độ thể chế làm biến điều tiết trọng tâm cần quan tâm.</w:t>
      </w:r>
    </w:p>
    <w:p>
      <w:pPr>
        <w:pStyle w:val="BodyText"/>
      </w:pPr>
      <w:r>
        <w:t xml:space="preserve">Liên quan hơn đối với H5 là các số hạng tương tác: FSTS×ICRV (β = +1,762, p &lt; .001) và FSTS²×ICRV (β = −2,746, p &lt; .001). Những kết quả này cho thấy độ dốc đi lên của đường cong I–P dốc hơn ở các nền kinh tế thể chế yếu hơn (nhóm ICRV cao hơn), nhưng độ dốc đi xuống cũng vậy, nghĩa là đỉnh hình chữ U ngược xuất hiện ở các mức cường độ xuất khẩu thấp hơn ở các nền kinh tế thể chế mạnh hơn (số ICRV thấp hơn), và rõ nét hơn ở các nền kinh tế thể chế yếu hơn. Phân rã theo nhóm ICRV: với các nền kinh tế Nhóm I (Dẫn dắt bởi đổi mới tiên tiến), điểm ngưỡng ước lượng xấp xỉ 28%; với Nhóm V–VI (Tiên phong/SIDS), điểm ngưỡng ước lượng xấp xỉ 55%. Mô hình này nhất quán với việc doanh nghiệp ở các nền kinh tế thể chế tiên tiến thu hồi chi phí quốc tế hóa ở các mức cường độ xuất khẩu thấp hơn, trong khi doanh nghiệp ở các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một cách có hệ thống cả độ dốc lẫn độ cong của hàm I–P, với thể chế mạnh hơn gắn với các đỉnh hiệu quả sớm hơn (mức FSTS thấp hơn).</w:t>
      </w:r>
    </w:p>
    <w:bookmarkEnd w:id="44"/>
    <w:bookmarkStart w:id="45" w:name="X24363733ee7dfaabf6260bee58e472cd3ab4b01"/>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tổng hợp thêm tất cả các tương tác ba chiều (FSTS×DAI×ICRV, cộng với các tương tác cấu thành bậc thấp hơn). Kiểm định Lind–Mehlum ở M11 xác nhận hình chữ U ngược (TP = 34,6%, LM p = .002), thiết lập rằng hình dạng hình chữ U ngược duy trì ngay cả trong đặc tả khắt khe nhất. Tương tác DAI×ICRV (β = +0,060, p = .012, *) có ý nghĩa thống kê, nhất quán với dự đoán CDCM rằng năng lực số mang lại hiệu ứng hiệu quả trên mỗi đơn vị mạnh hơn trong các môi trường thể chế yếu hơn. Số hạng ba chiều FSTS×DAI×ICRV (β = −0,001, không có ý nghĩa) không có ý nghĩa, cho thấy hiệu ứng tái định hình đường cong của DAI được ghi nhận ở M8/M9 không biến thiên một cách có hệ thống qua gradient chế độ ICRV trong đặc tả này.</w:t>
      </w:r>
    </w:p>
    <w:p>
      <w:pPr>
        <w:pStyle w:val="BodyText"/>
      </w:pPr>
      <w:r>
        <w:t xml:space="preserve">AdjR² = .067 ở M11 (so với .049 ở M10) cho thấy độ phù hợp tiệm tiến có ý nghĩa từ việc thêm cấu trúc điều tiết ba chiều.</w:t>
      </w:r>
    </w:p>
    <w:p>
      <w:pPr>
        <w:pStyle w:val="BodyText"/>
      </w:pPr>
      <w:r>
        <w:rPr>
          <w:bCs/>
          <w:b/>
        </w:rPr>
        <w:t xml:space="preserve">H6 (tương tác ba chiều) được ủng hộ một phần; hình chữ U ngược ở M11 được xác nhận.</w:t>
      </w:r>
      <w:r>
        <w:t xml:space="preserve"> </w:t>
      </w:r>
      <w:r>
        <w:t xml:space="preserve">Tương tác chính DAI×ICRV có ý nghĩa thống kê (p = .012), ủng hộ các hiệu ứng số phụ thuộc chế độ. Việc tái định hình đường cong FSTS ba chiều qua DAI×ICRV không đạt ý nghĩa thống kê, do tính chiều hạn chế của thước đo DAI WBES (chỉ Tầng 1–2) có lẽ ràng buộc khả năng phát hiện tương tác đầy đủ mà CDCM dự đoán.</w:t>
      </w:r>
    </w:p>
    <w:p>
      <w:r>
        <w:pict>
          <v:rect style="width:0;height:1.5pt" o:hralign="center" o:hrstd="t" o:hr="t"/>
        </w:pict>
      </w:r>
    </w:p>
    <w:bookmarkEnd w:id="45"/>
    <w:bookmarkEnd w:id="46"/>
    <w:bookmarkStart w:id="52" w:name="X3923f9545aa9c992e02ccb4472a40e02686b4e2"/>
    <w:p>
      <w:pPr>
        <w:pStyle w:val="Heading2"/>
      </w:pPr>
      <w:r>
        <w:t xml:space="preserve">5. Thảo luận</w:t>
      </w:r>
    </w:p>
    <w:bookmarkStart w:id="47" w:name="X8d0d396fc004c885b119ca80672e2e428b6d9fe"/>
    <w:p>
      <w:pPr>
        <w:pStyle w:val="Heading3"/>
      </w:pPr>
      <w:r>
        <w:t xml:space="preserve">5.1 Lời giải cho tính dị biệt xuyên nghiên cứu</w:t>
      </w:r>
    </w:p>
    <w:p>
      <w:pPr>
        <w:pStyle w:val="FirstParagraph"/>
      </w:pPr>
      <w:r>
        <w:t xml:space="preserve">Phát hiện trung tâm, một hình chữ U ngược với điểm ngưỡng xấp xỉ 36% cường độ doanh thu nước ngoài, vững qua 49 nền kinh tế và sáu nhóm ICRV, đưa ra một lời giải gọn nhẹ cho những mâu thuẫn bề ngoài trong văn liệu I–P châu Á. Các nghiên cứu tìm thấy hiệu ứng tuyến tính dương (Pangarkar, 2008: Singapore; Cho et al., 2023: Hàn Quốc) đang làm việc với các mẫu tập trung khá thấp dưới điểm ngưỡng 36%; các doanh nghiệp của họ ở trên sườn đi lên. Các nghiên cứu tìm thấy kết quả không có ý nghĩa hoặc ngược chiều (Mondal et al., 2022: doanh nghiệp gia đình Ấn Độ) có thể đang nắm bắt các doanh nghiệp trên điểm ngưỡng trong một năm WBES có đợt cao. Kết quả điều tiết ICRV của nghiên cứu cung cấp một tinh chỉnh thêm: bản thân điểm ngưỡng biến thiên từ xấp xỉ 28% (Nhóm I) đến 55% (Nhóm V–VI), nên các nghiên cứu ở các nền kinh tế thể chế tiên tiến có khả năng tìm thấy các hiệu ứng đạt đỉnh sớm hơn so với các nghiên cứu ở các nền kinh tế tiên phong.</w:t>
      </w:r>
    </w:p>
    <w:bookmarkEnd w:id="47"/>
    <w:bookmarkStart w:id="48" w:name="X5fa24ba5f8c28cbd7c6f1363a60c95551a08c04"/>
    <w:p>
      <w:pPr>
        <w:pStyle w:val="Heading3"/>
      </w:pPr>
      <w:r>
        <w:t xml:space="preserve">5.2 Công nghệ là yếu tố khuếch đại, không phải yếu tố điều tiết</w:t>
      </w:r>
    </w:p>
    <w:p>
      <w:pPr>
        <w:pStyle w:val="FirstParagraph"/>
      </w:pPr>
      <w:r>
        <w:t xml:space="preserve">Phát hiện rằng TCI nâng mức hiệu quả mà không tái định hình một cách vững chắc đường cong I–P trong mẫu tổng hợp phân biệt kết quả xuyên nền kinh tế với bằng chứng từng quốc gia. Ở P3 Việt Nam và P5 Trung Quốc, TCI điều tiết hình dạng đường cong; trong tập hợp 49 nền kinh tế, tính dị biệt thể chế làm suy giảm tín hiệu điều tiết đó. Điều này nhất quán với lập luận năng lực hấp thụ (Cohen &amp; Levinthal, 1990): các doanh nghiệp TCI cao xử lý tín hiệu thị trường quốc tế hiệu quả hơn, nhưng lợi ích định hình đường cong đòi hỏi tính bổ sung thể chế (ví dụ, bảo hộ sở hữu trí tuệ mạnh, hạ tầng chuyển giao công nghệ) vốn hiện diện không nhất quán qua toàn bộ phổ ICRV. Hàm ý thực tiễn là năng lực công nghệ nâng sàn hiệu quả một cách phổ quát, nhưng vai trò định hình đường cong của nó phụ thuộc bối cảnh và không thể được giả định ở quy mô lớn.</w:t>
      </w:r>
    </w:p>
    <w:bookmarkEnd w:id="48"/>
    <w:bookmarkStart w:id="49" w:name="X97d3aad815c0c774f5983afb9841b2729632868"/>
    <w:p>
      <w:pPr>
        <w:pStyle w:val="Heading3"/>
      </w:pPr>
      <w:r>
        <w:t xml:space="preserve">5.3 Áp dụng số và tính bổ sung thể chế</w:t>
      </w:r>
    </w:p>
    <w:p>
      <w:pPr>
        <w:pStyle w:val="FirstParagraph"/>
      </w:pPr>
      <w:r>
        <w:t xml:space="preserve">Việc tái định hình đường cong theo tính bổ sung năng lực được tìm thấy cho DAI ở M9, cùng với tương tác DAI×ICRV có ý nghĩa (β = +0,060, p = .012) ở M11, cung cấp bằng chứng đa nền kinh tế đầu tiên cho dự đoán CDCM rằng hiệu ứng hiệu quả của năng lực số phụ thuộc bối cảnh. Ở các nền kinh tế thể chế mạnh hơn (Nhóm I–II), hạ tầng số gần như phổ quát và do đó chỉ mang lại lợi thế cạnh tranh cho những người áp dụng sớm ở mức biên; trong các môi trường thể chế yếu hơn (Nhóm IV–VI), áp dụng số vẫn mang tính khác biệt hóa. Hàm ý là các chính sách thúc đẩy số hóa ở các nền kinh tế tiên phong có khả năng tạo ra lợi tức ở cấp doanh nghiệp mạnh hơn trên mỗi đơn vị áp dụng so với các chính sách tương đương ở các nền kinh tế tiên tiến.</w:t>
      </w:r>
    </w:p>
    <w:bookmarkEnd w:id="49"/>
    <w:bookmarkStart w:id="50" w:name="X5b1bf8a836b67002a13aefa80209ba3c7d8776b"/>
    <w:p>
      <w:pPr>
        <w:pStyle w:val="Heading3"/>
      </w:pPr>
      <w:r>
        <w:t xml:space="preserve">5.4 Tính dị biệt của quản lý</w:t>
      </w:r>
    </w:p>
    <w:p>
      <w:pPr>
        <w:pStyle w:val="FirstParagraph"/>
      </w:pPr>
      <w:r>
        <w:t xml:space="preserve">Mức bù hiệu quả nhất quán và có ý nghĩa cho quản lý cấp cao là nữ (xấp xỉ 17–20% qua các đặc tả) là đáng chú ý khi xét sự đa dạng của các nền kinh tế trong mẫu, từ các nền kinh tế bảo thủ vùng Vịnh (Bahrain, Iraq) đến các trung tâm đổi mới tiến bộ (Hàn Quốc, Singapore, Israel). Tính vững xuyên bối cảnh này ủng hộ quan điểm rằng quản lý cấp cao là nữ là một nguồn lực thực sự (Hambrick &amp; Mason, 1984; Richard et al., 2019), không chỉ là biến đại diện cho chất lượng quản trị doanh nghiệp. Kết quả null về điều tiết đường cong (FSTS×quản_lý_nữ không có ý nghĩa) gợi ý rằng mức bù hiệu quả mang tính phổ quát qua các mức FSTS, các nhà quản lý nữ cải thiện hiệu quả tuyệt đối nhưng không giúp doanh nghiệp điều hướng quốc tế hóa hiệu quả hơn.</w:t>
      </w:r>
    </w:p>
    <w:p>
      <w:pPr>
        <w:pStyle w:val="BodyText"/>
      </w:pPr>
      <w:r>
        <w:t xml:space="preserve">Hai nghiên cứu gần đây của Ngân hàng Thế giới củng cố mức bù này từ góc nhìn phía cung. Tại Việt Nam, một trong những nền kinh tế đóng góp lớn nhất thuộc ICRV Nhóm IV, với tỷ lệ tham gia lực lượng lao động nữ trên nam là 88,61% (World Bank Prosperity Data360, 2025), bản ghi chú chính sách</w:t>
      </w:r>
      <w:r>
        <w:t xml:space="preserve"> </w:t>
      </w:r>
      <w:r>
        <w:rPr>
          <w:iCs/>
          <w:i/>
        </w:rPr>
        <w:t xml:space="preserve">Care for Growth</w:t>
      </w:r>
      <w:r>
        <w:t xml:space="preserve"> </w:t>
      </w:r>
      <w:r>
        <w:t xml:space="preserve">(Buchhave et al., 2026) ghi nhận rằng phụ nữ giữ vị trí quản lý đã vượt qua những rào cản duy trì việc làm đặc biệt: sinh con làm giảm xác suất có việc làm hưởng lương của phụ nữ 8,1 điểm phần trăm và thu nhập hộ gia đình đô thị 27%, mà không có hiệu ứng đáng kể đối với người cha. Do đó, phụ nữ đạt cấp quản lý đại diện cho một tầng lực lượng lao động được chọn lọc cao và tận tâm, nhất quán với mức bù năng suất mà nghiên cứu ước lượng. Ở cấp ngành, IFC (2022) cũng ghi nhận tương tự rằng lãnh đạo nữ trong ngành ngân hàng Việt Nam gắn với quản trị rủi ro và định hướng các bên liên quan vượt trội, các cơ chế vốn quan hệ được Lý thuyết Tầng lớp Quản lý Cấp cao đặt ra (Hambrick &amp; Mason, 1984). Những mảnh bằng chứng hội tụ này củng cố cách diễn giải rằng mức bù ước lượng từ WBES phản ánh năng lực quản lý thực sự thay vì sự chọn lọc nội sinh vào các doanh nghiệp năng suất cao.</w:t>
      </w:r>
    </w:p>
    <w:bookmarkEnd w:id="50"/>
    <w:bookmarkStart w:id="51" w:name="X1db92cff7de439f7ce5498ad6566fddb73002b1"/>
    <w:p>
      <w:pPr>
        <w:pStyle w:val="Heading3"/>
      </w:pPr>
      <w:r>
        <w:t xml:space="preserve">5.5 Hạn chế</w:t>
      </w:r>
    </w:p>
    <w:p>
      <w:pPr>
        <w:pStyle w:val="FirstParagraph"/>
      </w:pPr>
      <w:r>
        <w:t xml:space="preserve">Ba ràng buộc suy luận giới hạn các phát hiện này. Thứ nhất, WBES là một thiết kế mặt cắt ngang: thuật ngữ "hiệu quả" xuyên suốt đề cập đến một mối liên hệ đồng thời giữa FSTS và năng suất lao động trong một năm khảo sát nhất định, không phải một hiệu ứng nhân quả được theo dõi theo dữ liệu mảng. Chiến lược IV dùng ở P3 Việt Nam để giải quyết sự chọn lọc vào xuất khẩu không sẵn có ở quy mô lớn xuyên 34 nền kinh tế. Thứ hai, thước đo DAI bị giới hạn ở các năng lực Tầng 1 (website) và Tầng 2 (thanh toán điện tử) trong hầu hết các đợt WBES; các chiều năng lực số phong phú hơn được nắm bắt trong các đợt theo schema BEE gần đây hơn chưa sẵn có cho đa số nền kinh tế. Thứ ba, tập dữ liệu hiện bao phủ cả 49 nền kinh tế được ánh xạ ICRV qua sáu nhóm chế độ; tuy nhiên, đợt sẵn có của Oman (2003) có trước các biến năng lực số, giới hạn đóng góp của nó chỉ vào các mô hình cơ sở. Các đợt WBES Oman trong tương lai sẽ làm sắc nét các ước lượng Nhóm II.</w:t>
      </w:r>
    </w:p>
    <w:p>
      <w:r>
        <w:pict>
          <v:rect style="width:0;height:1.5pt" o:hralign="center" o:hrstd="t" o:hr="t"/>
        </w:pict>
      </w:r>
    </w:p>
    <w:bookmarkEnd w:id="51"/>
    <w:bookmarkEnd w:id="52"/>
    <w:bookmarkStart w:id="53" w:name="Xb6340858ada32986909ac4c0a6855391782490d"/>
    <w:p>
      <w:pPr>
        <w:pStyle w:val="Heading2"/>
      </w:pPr>
      <w:r>
        <w:t xml:space="preserve">6. Kết luận</w:t>
      </w:r>
    </w:p>
    <w:p>
      <w:pPr>
        <w:pStyle w:val="FirstParagraph"/>
      </w:pPr>
      <w:r>
        <w:t xml:space="preserve">Nghiên cứu nhận thấy rằng mối quan hệ I–P hình chữ U ngược duy trì vững chắc qua một mẫu WBES gồm 49 nền kinh tế và 102 đợt khảo sát, với điểm ngưỡng xấp xỉ 36% cường độ doanh thu nước ngoài. Ba kết luận có liên quan đến chính sách. Thứ nhất, đối với các doanh nghiệp trong giai đoạn đi lên (FSTS &lt; 36%), tăng cường quốc tế hóa giúp nâng cao năng suất; ưu tiên là tháo gỡ các rào cản đối với mở rộng xuất khẩu. Đối với các doanh nghiệp vượt qua điểm ngưỡng, ràng buộc không phải là tiếp cận thị trường mà là năng lực phối hợp. Thứ hai, xây dựng năng lực công nghệ nâng mức hiệu quả qua tất cả các mức FSTS mà không tái định hình một cách vững chắc đường cong; chính sách nên hướng vào xây dựng năng lực như một đòn bẩy hiệu quả nền tảng thay vì như một can thiệp dịch chuyển đường cong. Thứ ba, áp dụng số vừa là yếu tố nâng hiệu quả phổ quát vừa là yếu tố tái định hình đường cong chủ đạo: DAI nén lợi tức sườn đi lên và giảm nhẹ sự suy giảm hiệu quả sườn đi xuống, với lợi tức mạnh hơn trong các môi trường thể chế yếu hơn (DAI×ICRV, p = .012).</w:t>
      </w:r>
    </w:p>
    <w:p>
      <w:pPr>
        <w:pStyle w:val="BodyText"/>
      </w:pPr>
      <w:r>
        <w:t xml:space="preserve">Bối cảnh chính sách ngắn hạn làm tăng tính cấp thiết cho các phát hiện này. Dữ liệu giám sát vĩ mô của Ngân hàng Thế giới (World Bank, 2026b) cho Việt Nam, nền kinh tế ICRV Nhóm IV lớn nhất trong mẫu, cho thấy chỉ số PMI chế tạo giảm xuống 45,3 (suy giảm) vào tháng 3/2026 khi các đơn hàng xuất khẩu mới sụp đổ sau khi cơ quan đại diện thương mại Hoa Kỳ mở một cuộc điều tra; nhập khẩu hàng hóa đã tăng 27,8% so với cùng kỳ năm trước tính đến cùng tháng, một phần do gián đoạn chuỗi cung ứng năng lượng từ xung đột eo biển Hormuz. Đây chính là những điều kiện theo đó phía bên phải của hình chữ U ngược trở nên hệ trọng: các doanh nghiệp bị đẩy lên trên mức FSTS tối ưu của mình bởi các cam kết xuất khẩu trước đó phải đối mặt với áp lực phối hợp và chi phí đầu vào được khuếch đại. Kết quả điều tiết ICRV, rằng các doanh nghiệp Nhóm IV đối mặt với mức phạt sườn đi xuống dốc hơn, hàm ý rằng các nhà xuất khẩu Việt Nam hiện đang trên điểm ngưỡng FSTS 36% nằm trong số những đối tượng dễ tổn thương nhất trước các cú sốc vĩ mô. Các chính sách thúc đẩy áp dụng năng lực số (DAI) có thể làm đệm cho sự suy giảm này bằng cách nén sườn đi xuống, nhất quán với các ước lượng M8/M9 của nghiên cứu.</w:t>
      </w:r>
    </w:p>
    <w:p>
      <w:pPr>
        <w:pStyle w:val="BodyText"/>
      </w:pPr>
      <w:r>
        <w:t xml:space="preserve">Nghiên cứu tương lai nên tận dụng các chiều dữ liệu mảng đang gia tăng của WBES để thiết lập tính nhân quả, và đưa vào các thước đo năng lực số Tầng 3–4 (áp dụng AI, điện toán đám mây, tham gia nền tảng) khi các mục này trở nên sẵn có trong các đợt WBES từ 2025 trở đi.</w:t>
      </w:r>
    </w:p>
    <w:p>
      <w:r>
        <w:pict>
          <v:rect style="width:0;height:1.5pt" o:hralign="center" o:hrstd="t" o:hr="t"/>
        </w:pict>
      </w:r>
    </w:p>
    <w:bookmarkEnd w:id="53"/>
    <w:bookmarkStart w:id="78"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4">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5">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6">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7">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8">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9">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60">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61">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62">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3">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4">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5">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6">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7">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8">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9">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70">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1">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72">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73">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4">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5">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6">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7">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7">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8"/>
    <w:bookmarkStart w:id="79"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Độ phủ</w:t>
            </w:r>
          </w:p>
        </w:tc>
      </w:tr>
      <w:tr>
        <w:tc>
          <w:tcPr/>
          <w:p>
            <w:pPr>
              <w:pStyle w:val="Compact"/>
              <w:jc w:val="left"/>
            </w:pPr>
            <w:r>
              <w:t xml:space="preserve">ln(LP)</w:t>
            </w:r>
          </w:p>
        </w:tc>
        <w:tc>
          <w:tcPr/>
          <w:p>
            <w:pPr>
              <w:pStyle w:val="Compact"/>
              <w:jc w:val="left"/>
            </w:pPr>
            <w:r>
              <w:t xml:space="preserve">Log năng suất lao động (doanh thu / số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thu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chuẩn hóa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Áp dụng số (website + tỷ phần thanh toán điện tử), chuẩn hóa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ngành của quản lý cấp cao</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đa số bởi nữ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Phần trăm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số lao động thường xuyên</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(chỉ hiệu ứng chính)</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bằng kiểm định Lind–Mehlum (2010) (LM p). Điểm ngưỡng M10 không được nhận dạng vì các tương tác ICRV dịch chuyển điểm uốn ra ngoài phạm vi mẫu đối với một số nhóm. Sai số chuẩn vững HC1 xuyên suốt.</w:t>
      </w:r>
    </w:p>
    <w:p>
      <w:pPr>
        <w:pStyle w:val="BodyText"/>
      </w:pPr>
      <w:r>
        <w:rPr>
          <w:bCs/>
          <w:b/>
        </w:rPr>
        <w:t xml:space="preserve">Bảng 3: Các ước lượng hệ số chính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Các biến kiểm soát (female_owner, foreign_own_pct, firm_age, ln_size) được đưa vào M7–M10 nhưng không báo cáo để tiết kiệm không gian. M11 (N = 29.840, AdjR² = .067, TP = 34,6%, LM p = .002): DAI×ICRV = +0,060*, ba chiều FSTS×DAI×ICRV = −0,001 (không có ý nghĩa), mgr_experience = +0,009**, FSTS×mgr = −0,019†, mgr_female = +0,187***, female_owner = +0,128**.</w:t>
      </w:r>
    </w:p>
    <w:p>
      <w:r>
        <w:pict>
          <v:rect style="width:0;height:1.5pt" o:hralign="center" o:hrstd="t" o:hr="t"/>
        </w:pict>
      </w:r>
    </w:p>
    <w:bookmarkEnd w:id="79"/>
    <w:bookmarkStart w:id="81" w:name="X860ba0dd9fbdaf7021efd16014b88252033ba6a"/>
    <w:p>
      <w:pPr>
        <w:pStyle w:val="Heading2"/>
      </w:pPr>
      <w:r>
        <w:t xml:space="preserve">Phụ lục B: Ước lượng hàm sản xuất TFP (Tham chiếu kiểm định vững)</w:t>
      </w:r>
    </w:p>
    <w:p>
      <w:pPr>
        <w:pStyle w:val="FirstParagraph"/>
      </w:pPr>
      <w:r>
        <w:t xml:space="preserve">Các hệ số hàm sản xuất ở cấp ngành được dùng để xây dựng các biến phụ thuộc dựa trên TFP thay thế cho các kiểm định vững. Hai đặc tả sẵn có: VA=f(K,L) (VAKL, công thức giá trị gia tăng) và Y=f(K,L,M) (YKLM, công thức sản lượng gộp), mỗi đặc tả được ước lượng riêng cho 20 ngành chế tạo ISIC hai chữ số với các số hạng tương tác nền kinh tế thu nhập cao và hiệu ứng cố định năm (2009–2025). Các hệ số và thống kê t được lưu trong</w:t>
      </w:r>
      <w:r>
        <w:t xml:space="preserve"> </w:t>
      </w:r>
      <w:r>
        <w:rPr>
          <w:rStyle w:val="VerbatimChar"/>
        </w:rPr>
        <w:t xml:space="preserve">replication/Annex_TFP_regression_tables_March_11_2026.xlsx</w:t>
      </w:r>
      <w:r>
        <w:t xml:space="preserve">. Phần dư TFP từ các hồi quy này có thể được dùng làm biến phụ thuộc thay thế cho ln(LP) để kiểm định liệu mối quan hệ hình chữ U ngược có vững đối với cách thao tác hóa theo sản lượng trên mỗi lao động so với năng suất tổng nhân tố hay không.</w:t>
      </w:r>
    </w:p>
    <w:p>
      <w:r>
        <w:pict>
          <v:rect style="width:0;height:1.5pt" o:hralign="center" o:hrstd="t" o:hr="t"/>
        </w:pict>
      </w:r>
    </w:p>
    <w:p>
      <w:pPr>
        <w:pStyle w:val="FirstParagraph"/>
      </w:pPr>
      <w:r>
        <w:rPr>
          <w:iCs/>
          <w:i/>
        </w:rPr>
        <w:t xml:space="preserve">Tác giả liên hệ: Phan Anh Tú, Khoa Kinh tế, Đại học Cần Thơ,</w:t>
      </w:r>
      <w:r>
        <w:rPr>
          <w:iCs/>
          <w:i/>
        </w:rPr>
        <w:t xml:space="preserve"> </w:t>
      </w:r>
      <w:hyperlink r:id="rId22">
        <w:r>
          <w:rPr>
            <w:rStyle w:val="Hyperlink"/>
            <w:iCs/>
            <w:i/>
          </w:rPr>
          <w:t xml:space="preserve">patu@ctu.edu.vn</w:t>
        </w:r>
      </w:hyperlink>
      <w:r>
        <w:rPr>
          <w:iCs/>
          <w:i/>
        </w:rPr>
        <w:t xml:space="preserve">, ORCID: 0000-0003-0667-3137</w:t>
      </w:r>
      <w:r>
        <w:t xml:space="preserve"> </w:t>
      </w:r>
      <w:r>
        <w:rPr>
          <w:iCs/>
          <w:i/>
        </w:rPr>
        <w:t xml:space="preserve">Tác giả thứ nhất: Đỗ Thùy Hương, Trường Đại học Sư phạm Kỹ thuật Vĩnh Long,</w:t>
      </w:r>
      <w:r>
        <w:rPr>
          <w:iCs/>
          <w:i/>
        </w:rPr>
        <w:t xml:space="preserve"> </w:t>
      </w:r>
      <w:hyperlink r:id="rId80">
        <w:r>
          <w:rPr>
            <w:rStyle w:val="Hyperlink"/>
            <w:iCs/>
            <w:i/>
          </w:rPr>
          <w:t xml:space="preserve">huongdt@vlute.edu.vn</w:t>
        </w:r>
      </w:hyperlink>
      <w:r>
        <w:rPr>
          <w:iCs/>
          <w:i/>
        </w:rPr>
        <w:t xml:space="preserve">, ORCID: 0000-0002-7711-2487</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oi.org/10.1002/gsj.1028" TargetMode="External" /><Relationship Type="http://schemas.openxmlformats.org/officeDocument/2006/relationships/hyperlink" Id="rId63" Target="https://doi.org/10.1002/smj.2399" TargetMode="External" /><Relationship Type="http://schemas.openxmlformats.org/officeDocument/2006/relationships/hyperlink" Id="rId75" Target="https://doi.org/10.1002/smj.4250050207" TargetMode="External" /><Relationship Type="http://schemas.openxmlformats.org/officeDocument/2006/relationships/hyperlink" Id="rId61" Target="https://doi.org/10.1007/s10869-013-9308-7" TargetMode="External" /><Relationship Type="http://schemas.openxmlformats.org/officeDocument/2006/relationships/hyperlink" Id="rId56" Target="https://doi.org/10.1007/s11187-005-5599-z" TargetMode="External" /><Relationship Type="http://schemas.openxmlformats.org/officeDocument/2006/relationships/hyperlink" Id="rId55" Target="https://doi.org/10.1007/s11575-007-0019-z" TargetMode="External" /><Relationship Type="http://schemas.openxmlformats.org/officeDocument/2006/relationships/hyperlink" Id="rId74" Target="https://doi.org/10.1016/j.jbusres.2019.09.022" TargetMode="External" /><Relationship Type="http://schemas.openxmlformats.org/officeDocument/2006/relationships/hyperlink" Id="rId59" Target="https://doi.org/10.1016/j.jwb.2007.06.003" TargetMode="External" /><Relationship Type="http://schemas.openxmlformats.org/officeDocument/2006/relationships/hyperlink" Id="rId73" Target="https://doi.org/10.1016/j.jwb.2007.11.009" TargetMode="External" /><Relationship Type="http://schemas.openxmlformats.org/officeDocument/2006/relationships/hyperlink" Id="rId60" Target="https://doi.org/10.1016/j.jwb.2017.11.003" TargetMode="External" /><Relationship Type="http://schemas.openxmlformats.org/officeDocument/2006/relationships/hyperlink" Id="rId67" Target="https://doi.org/10.1057/jibs.2009.24" TargetMode="External" /><Relationship Type="http://schemas.openxmlformats.org/officeDocument/2006/relationships/hyperlink" Id="rId72" Target="https://doi.org/10.1057/jibs.2016.7" TargetMode="External" /><Relationship Type="http://schemas.openxmlformats.org/officeDocument/2006/relationships/hyperlink" Id="rId58" Target="https://doi.org/10.1057/palgrave.jibs.8400003" TargetMode="External" /><Relationship Type="http://schemas.openxmlformats.org/officeDocument/2006/relationships/hyperlink" Id="rId62" Target="https://doi.org/10.1057/palgrave.jibs.8490065" TargetMode="External" /><Relationship Type="http://schemas.openxmlformats.org/officeDocument/2006/relationships/hyperlink" Id="rId66" Target="https://doi.org/10.1057/palgrave.jibs.8490676" TargetMode="External" /><Relationship Type="http://schemas.openxmlformats.org/officeDocument/2006/relationships/hyperlink" Id="rId70" Target="https://doi.org/10.1080/00031305.2000.10474549" TargetMode="External" /><Relationship Type="http://schemas.openxmlformats.org/officeDocument/2006/relationships/hyperlink" Id="rId69" Target="https://doi.org/10.1111/j.1468-0084.2009.00569.x" TargetMode="External" /><Relationship Type="http://schemas.openxmlformats.org/officeDocument/2006/relationships/hyperlink" Id="rId54" Target="https://doi.org/10.1177/014920639101700108" TargetMode="External" /><Relationship Type="http://schemas.openxmlformats.org/officeDocument/2006/relationships/hyperlink" Id="rId71" Target="https://doi.org/10.2307/20159604" TargetMode="External" /><Relationship Type="http://schemas.openxmlformats.org/officeDocument/2006/relationships/hyperlink" Id="rId57" Target="https://doi.org/10.2307/2393553" TargetMode="External" /><Relationship Type="http://schemas.openxmlformats.org/officeDocument/2006/relationships/hyperlink" Id="rId65" Target="https://doi.org/10.5465/amr.1984.4277628" TargetMode="External" /><Relationship Type="http://schemas.openxmlformats.org/officeDocument/2006/relationships/hyperlink" Id="rId64" Target="https://doi.org/10.5465/amr.2007.24345254"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76" Target="https://www.enterprisesurveys.org" TargetMode="External" /><Relationship Type="http://schemas.openxmlformats.org/officeDocument/2006/relationships/hyperlink" Id="rId77" Target="https://www.worldbank.org/ext/en/country/vietnam" TargetMode="External" /><Relationship Type="http://schemas.openxmlformats.org/officeDocument/2006/relationships/hyperlink" Id="rId80" Target="mailto:huongdt@vlute.edu.vn"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2/gsj.1028" TargetMode="External" /><Relationship Type="http://schemas.openxmlformats.org/officeDocument/2006/relationships/hyperlink" Id="rId63" Target="https://doi.org/10.1002/smj.2399" TargetMode="External" /><Relationship Type="http://schemas.openxmlformats.org/officeDocument/2006/relationships/hyperlink" Id="rId75" Target="https://doi.org/10.1002/smj.4250050207" TargetMode="External" /><Relationship Type="http://schemas.openxmlformats.org/officeDocument/2006/relationships/hyperlink" Id="rId61" Target="https://doi.org/10.1007/s10869-013-9308-7" TargetMode="External" /><Relationship Type="http://schemas.openxmlformats.org/officeDocument/2006/relationships/hyperlink" Id="rId56" Target="https://doi.org/10.1007/s11187-005-5599-z" TargetMode="External" /><Relationship Type="http://schemas.openxmlformats.org/officeDocument/2006/relationships/hyperlink" Id="rId55" Target="https://doi.org/10.1007/s11575-007-0019-z" TargetMode="External" /><Relationship Type="http://schemas.openxmlformats.org/officeDocument/2006/relationships/hyperlink" Id="rId74" Target="https://doi.org/10.1016/j.jbusres.2019.09.022" TargetMode="External" /><Relationship Type="http://schemas.openxmlformats.org/officeDocument/2006/relationships/hyperlink" Id="rId59" Target="https://doi.org/10.1016/j.jwb.2007.06.003" TargetMode="External" /><Relationship Type="http://schemas.openxmlformats.org/officeDocument/2006/relationships/hyperlink" Id="rId73" Target="https://doi.org/10.1016/j.jwb.2007.11.009" TargetMode="External" /><Relationship Type="http://schemas.openxmlformats.org/officeDocument/2006/relationships/hyperlink" Id="rId60" Target="https://doi.org/10.1016/j.jwb.2017.11.003" TargetMode="External" /><Relationship Type="http://schemas.openxmlformats.org/officeDocument/2006/relationships/hyperlink" Id="rId67" Target="https://doi.org/10.1057/jibs.2009.24" TargetMode="External" /><Relationship Type="http://schemas.openxmlformats.org/officeDocument/2006/relationships/hyperlink" Id="rId72" Target="https://doi.org/10.1057/jibs.2016.7" TargetMode="External" /><Relationship Type="http://schemas.openxmlformats.org/officeDocument/2006/relationships/hyperlink" Id="rId58" Target="https://doi.org/10.1057/palgrave.jibs.8400003" TargetMode="External" /><Relationship Type="http://schemas.openxmlformats.org/officeDocument/2006/relationships/hyperlink" Id="rId62" Target="https://doi.org/10.1057/palgrave.jibs.8490065" TargetMode="External" /><Relationship Type="http://schemas.openxmlformats.org/officeDocument/2006/relationships/hyperlink" Id="rId66" Target="https://doi.org/10.1057/palgrave.jibs.8490676" TargetMode="External" /><Relationship Type="http://schemas.openxmlformats.org/officeDocument/2006/relationships/hyperlink" Id="rId70" Target="https://doi.org/10.1080/00031305.2000.10474549" TargetMode="External" /><Relationship Type="http://schemas.openxmlformats.org/officeDocument/2006/relationships/hyperlink" Id="rId69" Target="https://doi.org/10.1111/j.1468-0084.2009.00569.x" TargetMode="External" /><Relationship Type="http://schemas.openxmlformats.org/officeDocument/2006/relationships/hyperlink" Id="rId54" Target="https://doi.org/10.1177/014920639101700108" TargetMode="External" /><Relationship Type="http://schemas.openxmlformats.org/officeDocument/2006/relationships/hyperlink" Id="rId71" Target="https://doi.org/10.2307/20159604" TargetMode="External" /><Relationship Type="http://schemas.openxmlformats.org/officeDocument/2006/relationships/hyperlink" Id="rId57" Target="https://doi.org/10.2307/2393553" TargetMode="External" /><Relationship Type="http://schemas.openxmlformats.org/officeDocument/2006/relationships/hyperlink" Id="rId65" Target="https://doi.org/10.5465/amr.1984.4277628" TargetMode="External" /><Relationship Type="http://schemas.openxmlformats.org/officeDocument/2006/relationships/hyperlink" Id="rId64" Target="https://doi.org/10.5465/amr.2007.24345254"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76" Target="https://www.enterprisesurveys.org" TargetMode="External" /><Relationship Type="http://schemas.openxmlformats.org/officeDocument/2006/relationships/hyperlink" Id="rId77" Target="https://www.worldbank.org/ext/en/country/vietnam" TargetMode="External" /><Relationship Type="http://schemas.openxmlformats.org/officeDocument/2006/relationships/hyperlink" Id="rId80" Target="mailto:huongdt@vlute.edu.vn"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2026-06-09T06:09:45Z</dcterms:created>
  <dcterms:modified xsi:type="dcterms:W3CDTF">2026-06-09T06:09:45Z</dcterms:modified>
</cp:coreProperties>
</file>

<file path=docProps/custom.xml><?xml version="1.0" encoding="utf-8"?>
<Properties xmlns="http://schemas.openxmlformats.org/officeDocument/2006/custom-properties" xmlns:vt="http://schemas.openxmlformats.org/officeDocument/2006/docPropsVTypes"/>
</file>