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Khung phân loại và phân tích được neo theo bản khóa canonical của luận án:</w:t>
      </w:r>
      <w:r>
        <w:t xml:space="preserve"> </w:t>
      </w:r>
      <w:r>
        <w:rPr>
          <w:bCs/>
          <w:b/>
        </w:rPr>
        <w:t xml:space="preserve">49 nền kinh tế</w:t>
      </w:r>
      <w:r>
        <w:t xml:space="preserve"> </w:t>
      </w:r>
      <w:r>
        <w:t xml:space="preserve">(khung phân tích 91.982 doanh nghiệp; pool phân loại 96.415 doanh nghiệp / 52 nền) với 6 phân nhóm con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của chuyên đề (Bảng 2.3.3–2.3.8) được trình bày trên</w:t>
      </w:r>
      <w:r>
        <w:t xml:space="preserve"> </w:t>
      </w:r>
      <w:r>
        <w:rPr>
          <w:bCs/>
          <w:b/>
        </w:rPr>
        <w:t xml:space="preserve">pool mô tả rộng hơn gồm 101.185 doanh nghiệp · 47 nền · 108 cặp quốc gia × năm · 14 mốc khảo sát</w:t>
      </w:r>
      <w:r>
        <w:t xml:space="preserve"> </w:t>
      </w:r>
      <w:r>
        <w:t xml:space="preserve">từ World Bank Enterprise Surveys (WBES) theo bản khóa mô tả CĐ1, kế thừa và mở rộng từ 17 nước châu Á mới nổi (~40.633 doanh nghiệp) đã được tác giả công bố trước đó (Đỗ &amp; Phan, 2026 — VEFR).</w:t>
      </w:r>
    </w:p>
    <w:p>
      <w:pPr>
        <w:pStyle w:val="BlockText"/>
      </w:pPr>
      <w:r>
        <w:rPr>
          <w:iCs/>
          <w:i/>
        </w:rPr>
        <w:t xml:space="preserve">Ghi chú dữ liệu: Headline của chuyên đề neo theo bản khóa canonical của luận án — 49 nền kinh tế (khung phân tích 91.982 doanh nghiệp; pool phân loại 96.415 doanh nghiệp / 52 nền) sau khi chuẩn hóa lại và xử lý trùng lặp dữ liệu panel; trường hợp biên SIDS gồm 7 nền kinh tế Thái Bình Dương. Riêng các bảng thống kê mô tả §2.3.3–2.3.8 (phân tán năng suất, FSTS, đổi mới, R&amp;D, tham nhũng, ngành) vẫn báo cáo trên</w:t>
      </w:r>
      <w:r>
        <w:rPr>
          <w:iCs/>
          <w:i/>
        </w:rPr>
        <w:t xml:space="preserve"> </w:t>
      </w:r>
      <w:r>
        <w:rPr>
          <w:bCs/>
          <w:b/>
          <w:iCs/>
          <w:i/>
        </w:rPr>
        <w:t xml:space="preserve">pool mô tả CĐ1 gồm 101.185 doanh nghiệp · 47 nền · 108 cặp</w:t>
      </w:r>
      <w:r>
        <w:rPr>
          <w:iCs/>
          <w:i/>
        </w:rPr>
        <w:t xml:space="preserve"> </w:t>
      </w:r>
      <w:r>
        <w:rPr>
          <w:iCs/>
          <w:i/>
        </w:rPr>
        <w:t xml:space="preserve">(102 cặp theo khung phân tích luận án) — đây là bản khóa mô tả riêng của chuyên đề, sẽ được đồng bộ về khung 49 nền / 91.982 khi dựng lại pipeline raw đa biến (R&amp;D, đổi mới, tham nhũng, ngành chưa có trong master phân tích).</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classification and analytic frame is anchored to the dissertation’s canonical lock:</w:t>
      </w:r>
      <w:r>
        <w:t xml:space="preserve"> </w:t>
      </w:r>
      <w:r>
        <w:rPr>
          <w:bCs/>
          <w:b/>
        </w:rPr>
        <w:t xml:space="preserve">49 economies</w:t>
      </w:r>
      <w:r>
        <w:t xml:space="preserve"> </w:t>
      </w:r>
      <w:r>
        <w:t xml:space="preserve">(analytic frame 91,982 firms; classification pool 96,415 firms / 52 economies) with six sub-regimes of ICRV (Institutional Context Regime Variation): Advanced innovation-driven, Advanced resource-driven, Upper-middle, Lower-middle transition, Emerging, and Pacific SIDS (boundary case extension). The essay’s descriptive analysis (Tables 2.3.3–2.3.8) is reported over a broader CĐ1 descriptive pool of</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49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nằm</w:t>
      </w:r>
      <w:r>
        <w:t xml:space="preserve"> </w:t>
      </w:r>
      <w:r>
        <w:rPr>
          <w:iCs/>
          <w:i/>
        </w:rPr>
        <w:t xml:space="preserve">ngoài</w:t>
      </w:r>
      <w:r>
        <w:t xml:space="preserve"> </w:t>
      </w:r>
      <w:r>
        <w:t xml:space="preserve">cửa sổ dữ liệu phân tích của chuyên đề (2009–2025); chúng được nêu để định khung diễn giải vĩ mô và định hướng chính sách, chứ không phản ánh trong các thống kê mô tả — vốn được tính trên dữ liệu WBES đến hết 2025.</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w:t>
      </w:r>
      <w:r>
        <w:t xml:space="preserve"> </w:t>
      </w:r>
      <w:r>
        <w:rPr>
          <w:bCs/>
          <w:b/>
        </w:rPr>
        <w:t xml:space="preserve">49 nền kinh tế</w:t>
      </w:r>
      <w:r>
        <w:t xml:space="preserve"> </w:t>
      </w:r>
      <w:r>
        <w:t xml:space="preserve">(khung phân tích 91.982 doanh nghiệp; pool phân loại 96.415 DN / 52 nền) trên giai đoạn dài 2009–2025. Chuyên đề này lấp khoảng trống thực tiễn đó: headline neo theo bản khóa canonical 49 nền / 91.982 doanh nghiệp, trong khi phần thống kê mô tả §2.3.3–2.3.8 được tính trên</w:t>
      </w:r>
      <w:r>
        <w:t xml:space="preserve"> </w:t>
      </w:r>
      <w:r>
        <w:rPr>
          <w:bCs/>
          <w:b/>
        </w:rPr>
        <w:t xml:space="preserve">pool mô tả CĐ1 gồm 101.185 doanh nghiệp xuyên 47 nền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49 nền kinh tế châu Á và Thái Bình Dương</w:t>
      </w:r>
      <w:r>
        <w:t xml:space="preserve"> </w:t>
      </w:r>
      <w:r>
        <w:t xml:space="preserve">theo bản khóa canonical (khung phân tích 91.982 doanh nghiệp; pool phân loại 96.415 DN / 52 nền; phạm vi chính châu Á + SIDS Thái Bình Dương mở rộng trường hợp biên) trong giai đoạn</w:t>
      </w:r>
      <w:r>
        <w:t xml:space="preserve"> </w:t>
      </w:r>
      <w:r>
        <w:rPr>
          <w:bCs/>
          <w:b/>
        </w:rPr>
        <w:t xml:space="preserve">2009–2025</w:t>
      </w:r>
      <w:r>
        <w:t xml:space="preserve">. Các bảng thống kê mô tả §2.3.3–2.3.8 hiển thị theo pool mô tả CĐ1 (101.185 doanh nghiệp / 47 nền) —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49 nền kinh tế (khung phân tích; pool phân loại 52 nền);</w:t>
      </w:r>
    </w:p>
    <w:p>
      <w:pPr>
        <w:numPr>
          <w:ilvl w:val="0"/>
          <w:numId w:val="1005"/>
        </w:numPr>
        <w:pStyle w:val="Compact"/>
      </w:pPr>
      <w:r>
        <w:t xml:space="preserve">Phân tích thực trạng đa chiều hiệu quả doanh nghiệp ở 40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40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Chuyển đổi TB–thấp —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crosswalk &amp; bản khóa:</w:t>
      </w:r>
      <w:r>
        <w:t xml:space="preserve"> </w:t>
      </w:r>
      <w:r>
        <w:t xml:space="preserve">Nhãn nhóm và thành viên trong §2.1.3 và Bảng 2.3.2.1 đã</w:t>
      </w:r>
      <w:r>
        <w:t xml:space="preserve"> </w:t>
      </w:r>
      <w:r>
        <w:rPr>
          <w:bCs/>
          <w:b/>
        </w:rPr>
        <w:t xml:space="preserve">căn theo nhãn dữ liệu</w:t>
      </w:r>
      <w:r>
        <w:rPr>
          <w:bCs/>
          <w:b/>
        </w:rPr>
        <w:t xml:space="preserve"> </w:t>
      </w:r>
      <w:r>
        <w:rPr>
          <w:rStyle w:val="VerbatimChar"/>
          <w:bCs/>
          <w:b/>
        </w:rPr>
        <w:t xml:space="preserve">icrv_label</w:t>
      </w:r>
      <w:r>
        <w:rPr>
          <w:bCs/>
          <w:b/>
        </w:rPr>
        <w:t xml:space="preserve"> </w:t>
      </w:r>
      <w:r>
        <w:rPr>
          <w:bCs/>
          <w:b/>
        </w:rPr>
        <w:t xml:space="preserve">P7</w:t>
      </w:r>
      <w:r>
        <w:t xml:space="preserve"> </w:t>
      </w:r>
      <w:r>
        <w:t xml:space="preserve">(đồng bộ Chuyên đề 2): Nhóm IV =</w:t>
      </w:r>
      <w:r>
        <w:t xml:space="preserve"> </w:t>
      </w:r>
      <w:r>
        <w:rPr>
          <w:rStyle w:val="VerbatimChar"/>
        </w:rPr>
        <w:t xml:space="preserve">Lower_mid_transition</w:t>
      </w:r>
      <w:r>
        <w:t xml:space="preserve">, Nhóm V =</w:t>
      </w:r>
      <w:r>
        <w:t xml:space="preserve"> </w:t>
      </w:r>
      <w:r>
        <w:rPr>
          <w:rStyle w:val="VerbatimChar"/>
        </w:rPr>
        <w:t xml:space="preserve">Emerging</w:t>
      </w:r>
      <w:r>
        <w:t xml:space="preserve">; hoán nhóm so với bản CĐ trước — Sri Lanka, Jordan → Nhóm V; Bangladesh, Pakistan → Nhóm IV; Timor-Leste → Nhóm VI.</w:t>
      </w:r>
      <w:r>
        <w:t xml:space="preserve"> </w:t>
      </w:r>
      <w:r>
        <w:rPr>
          <w:bCs/>
          <w:b/>
        </w:rPr>
        <w:t xml:space="preserve">Các bảng Bảng 2.3.3.2, 2.3.4.1, 2.3.5.1 đã được đồng bộ</w:t>
      </w:r>
      <w:r>
        <w:t xml:space="preserve"> </w:t>
      </w:r>
      <w:r>
        <w:t xml:space="preserve">sang khung 49 nền/6 nhóm nhãn dữ liệu bằng pipeline raw (</w:t>
      </w:r>
      <w:r>
        <w:rPr>
          <w:rStyle w:val="VerbatimChar"/>
        </w:rPr>
        <w:t xml:space="preserve">scripts/cd1_descriptives_pipeline.py</w:t>
      </w:r>
      <w:r>
        <w:t xml:space="preserve">; kết quả:</w:t>
      </w:r>
      <w:r>
        <w:t xml:space="preserve"> </w:t>
      </w:r>
      <w:r>
        <w:rPr>
          <w:rStyle w:val="VerbatimChar"/>
        </w:rPr>
        <w:t xml:space="preserve">data_wbes/analysis/CD1_PIPELINE_RESULTS.md</w:t>
      </w:r>
      <w:r>
        <w:t xml:space="preserve">) — nhóm II/VI gắn cờ coverage (2/6, 2/8) với giá trị bản khóa 7-Pacific lưu trong ghi chú.</w:t>
      </w:r>
      <w:r>
        <w:t xml:space="preserve"> </w:t>
      </w:r>
      <w:r>
        <w:rPr>
          <w:bCs/>
          <w:b/>
        </w:rPr>
        <w:t xml:space="preserve">Các bảng còn lại</w:t>
      </w:r>
      <w:r>
        <w:t xml:space="preserve"> </w:t>
      </w:r>
      <w:r>
        <w:t xml:space="preserve">(2.3.3.1 phân tán năng suất, 2.3.6.x temporal/tham nhũng chi tiết, 2.3.7.1 tiểu cảnh, 2.3.8.x tương quan) vẫn theo bản khóa mô tả (101.185) chờ mở rộng pipeline. Phạm vi chính (40 nước) và Oman ở Nhóm II được đồng bộ ở đợt re-lock headline.</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n=14.171), Standardized (2013–2017, n=24.564), BREADY/BEE/EAP Core (2018–2025, n=62.450).</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49 nền kinh tế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 (Phạm vi mô tả ở §2.3.4 dựa trên pool mô tả CĐ1 101.185 DN / 47 nền.)</w:t>
      </w:r>
    </w:p>
    <w:p>
      <w:pPr>
        <w:numPr>
          <w:ilvl w:val="0"/>
          <w:numId w:val="1006"/>
        </w:numPr>
      </w:pP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Khung phân loại/phân tích neo theo bản khóa canonical:</w:t>
      </w:r>
      <w:r>
        <w:t xml:space="preserve"> </w:t>
      </w:r>
      <w:r>
        <w:rPr>
          <w:bCs/>
          <w:b/>
        </w:rPr>
        <w:t xml:space="preserve">49 nền kinh tế</w:t>
      </w:r>
      <w:r>
        <w:t xml:space="preserve"> </w:t>
      </w:r>
      <w:r>
        <w:t xml:space="preserve">(khung phân tích 91.982 doanh nghiệp; pool phân loại 96.415 DN / 52 nền). Các bảng thống kê mô tả §2.3.3–2.3.8 dưới đây được tính trên</w:t>
      </w:r>
      <w:r>
        <w:t xml:space="preserve"> </w:t>
      </w:r>
      <w:r>
        <w:rPr>
          <w:bCs/>
          <w:b/>
        </w:rPr>
        <w:t xml:space="preserve">pool mô tả CĐ1 gồm 101.185 doanh nghiệp, 47 nền, 108 cặp quốc gia × năm, 14 sóng khảo sát, 2009–2025</w:t>
      </w:r>
      <w:r>
        <w:t xml:space="preserve"> </w:t>
      </w:r>
      <w:r>
        <w:t xml:space="preserve">(bản khóa mô tả riêng — xem ghi chú dữ liệu ở Tóm tắt).</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(khung canonical 49 nền kinh tế châu Á và Thái Bình Dương; pool mô tả CĐ1 cho thống kê §2.3.3–2.3.8 gồm 47 nền, phân tách 40 và 7); (ii) quy trình lấy mẫu (lấy mẫu chính thức WBES); (iii) lý giải quy mô mẫu (khung phân tích 91.982 DN; pool phân loại 96.415 DN; pool mô tả CĐ1 101.185);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 vốn không cung cấp giá cổ phiếu nên loại trừ nhóm (ii), và có dữ liệu lợi nhuận thưa thớt làm hạn chế nhóm (i) —</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49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mô tả CĐ1 (101.185 doanh nghiệp WBES; khung phân tích canonical 91.982 DN / 49 nền)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 nhất quán với diễn giải tại luận án Chương 4 §4.3.1).</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49 nền kinh tế châu Á (khung phân tích). Khung phân loại ICRV (Institutional Context Regime Variation —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tc>
      </w:tr>
      <w:tr>
        <w:tc>
          <w:tcPr/>
          <w:p>
            <w:pPr>
              <w:pStyle w:val="Compact"/>
              <w:jc w:val="lef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tc>
      </w:tr>
      <w:tr>
        <w:tc>
          <w:tcPr/>
          <w:p>
            <w:pPr>
              <w:pStyle w:val="Compact"/>
              <w:jc w:val="left"/>
            </w:pPr>
            <w:r>
              <w:t xml:space="preserve">#### 2.3.2.3 Danh sách 49 nền kinh tế theo nhóm ICRV (căn theo nhãn dữ liệu)</w:t>
            </w:r>
          </w:p>
        </w:tc>
      </w:tr>
      <w:tr>
        <w:tc>
          <w:tcPr/>
          <w:p>
            <w:pPr>
              <w:pStyle w:val="Compact"/>
              <w:jc w:val="left"/>
            </w:pPr>
            <w:r>
              <w:rPr>
                <w:bCs/>
                <w:b/>
              </w:rPr>
              <w:t xml:space="preserve">Bảng 2.3.2.1</w:t>
            </w:r>
            <w:r>
              <w:t xml:space="preserve">.</w:t>
            </w:r>
            <w:r>
              <w:t xml:space="preserve"> </w:t>
            </w:r>
            <w:r>
              <w:rPr>
                <w:iCs/>
                <w:i/>
              </w:rPr>
              <w:t xml:space="preserve">Phân loại 49 nền kinh tế vào 6 nhóm ICRV theo nhãn dữ liệu</w:t>
            </w:r>
            <w:r>
              <w:rPr>
                <w:iCs/>
                <w:i/>
              </w:rPr>
              <w:t xml:space="preserve"> </w:t>
            </w:r>
            <w:r>
              <w:rPr>
                <w:rStyle w:val="VerbatimChar"/>
                <w:iCs/>
                <w:i/>
              </w:rPr>
              <w:t xml:space="preserve">icrv_label</w:t>
            </w:r>
            <w:r>
              <w:rPr>
                <w:iCs/>
                <w:i/>
              </w:rPr>
              <w:t xml:space="preserve"> </w:t>
            </w:r>
            <w:r>
              <w:rPr>
                <w:iCs/>
                <w:i/>
              </w:rPr>
              <w:t xml:space="preserve">(P7) — đồng bộ với Chuyên đề 2 (Bảng 2.8).</w:t>
            </w:r>
          </w:p>
        </w:tc>
      </w:tr>
      <w:tr>
        <w:tc>
          <w:tcPr/>
          <w:p>
            <w:pPr>
              <w:pStyle w:val="Compact"/>
              <w:jc w:val="left"/>
            </w:pPr>
            <w:r>
              <w:t xml:space="preserve">| Nhóm ICRV (icrv_label) | Tên nhóm | Quốc gia | N doanh nghiệp |</w:t>
            </w:r>
            <w:r>
              <w:t xml:space="preserve"> </w:t>
            </w:r>
            <w:r>
              <w:t xml:space="preserve">|—|—|—|:–:|</w:t>
            </w:r>
            <w:r>
              <w:t xml:space="preserve"> </w:t>
            </w:r>
            <w:r>
              <w:t xml:space="preserve">|</w:t>
            </w:r>
            <w:r>
              <w:t xml:space="preserve"> </w:t>
            </w:r>
            <w:r>
              <w:rPr>
                <w:bCs/>
                <w:b/>
              </w:rPr>
              <w:t xml:space="preserve">I</w:t>
            </w:r>
            <w:r>
              <w:t xml:space="preserve"> </w:t>
            </w:r>
            <w:r>
              <w:t xml:space="preserve">—</w:t>
            </w:r>
            <w:r>
              <w:t xml:space="preserve"> </w:t>
            </w:r>
            <w:r>
              <w:rPr>
                <w:rStyle w:val="VerbatimChar"/>
              </w:rPr>
              <w:t xml:space="preserve">Advanced_innovation</w:t>
            </w:r>
            <w:r>
              <w:t xml:space="preserve"> </w:t>
            </w:r>
            <w:r>
              <w:t xml:space="preserve">| Advanced — đổi mới sáng tạo | Singapore, Hong Kong SAR, Hàn Quốc, Đài Loan, Israel | 4.222 |</w:t>
            </w:r>
            <w:r>
              <w:t xml:space="preserve"> </w:t>
            </w:r>
            <w:r>
              <w:t xml:space="preserve">|</w:t>
            </w:r>
            <w:r>
              <w:t xml:space="preserve"> </w:t>
            </w:r>
            <w:r>
              <w:rPr>
                <w:bCs/>
                <w:b/>
              </w:rPr>
              <w:t xml:space="preserve">II</w:t>
            </w:r>
            <w:r>
              <w:t xml:space="preserve"> </w:t>
            </w:r>
            <w:r>
              <w:t xml:space="preserve">—</w:t>
            </w:r>
            <w:r>
              <w:t xml:space="preserve"> </w:t>
            </w:r>
            <w:r>
              <w:rPr>
                <w:rStyle w:val="VerbatimChar"/>
              </w:rPr>
              <w:t xml:space="preserve">Advanced_resource</w:t>
            </w:r>
            <w:r>
              <w:t xml:space="preserve"> </w:t>
            </w:r>
            <w:r>
              <w:t xml:space="preserve">| Advanced — tài nguyên | Saudi Arabia, Qatar, Kuwait, Bahrain, Brunei, Oman | 2.269 |</w:t>
            </w:r>
            <w:r>
              <w:t xml:space="preserve"> </w:t>
            </w:r>
            <w:r>
              <w:t xml:space="preserve">|</w:t>
            </w:r>
            <w:r>
              <w:t xml:space="preserve"> </w:t>
            </w:r>
            <w:r>
              <w:rPr>
                <w:bCs/>
                <w:b/>
              </w:rPr>
              <w:t xml:space="preserve">III</w:t>
            </w:r>
            <w:r>
              <w:t xml:space="preserve"> </w:t>
            </w:r>
            <w:r>
              <w:t xml:space="preserve">—</w:t>
            </w:r>
            <w:r>
              <w:t xml:space="preserve"> </w:t>
            </w:r>
            <w:r>
              <w:rPr>
                <w:rStyle w:val="VerbatimChar"/>
              </w:rPr>
              <w:t xml:space="preserve">Upper_mid</w:t>
            </w:r>
            <w:r>
              <w:t xml:space="preserve"> </w:t>
            </w:r>
            <w:r>
              <w:t xml:space="preserve">| Trung bình cao | Trung Quốc, Malaysia, Thái Lan, Kazakhstan, Armenia, Georgia | 13.993 |</w:t>
            </w:r>
            <w:r>
              <w:t xml:space="preserve"> </w:t>
            </w:r>
            <w:r>
              <w:t xml:space="preserve">|</w:t>
            </w:r>
            <w:r>
              <w:t xml:space="preserve"> </w:t>
            </w:r>
            <w:r>
              <w:rPr>
                <w:bCs/>
                <w:b/>
              </w:rPr>
              <w:t xml:space="preserve">IV</w:t>
            </w:r>
            <w:r>
              <w:t xml:space="preserve"> </w:t>
            </w:r>
            <w:r>
              <w:t xml:space="preserve">—</w:t>
            </w:r>
            <w:r>
              <w:t xml:space="preserve"> </w:t>
            </w:r>
            <w:r>
              <w:rPr>
                <w:rStyle w:val="VerbatimChar"/>
              </w:rPr>
              <w:t xml:space="preserve">Lower_mid_transition</w:t>
            </w:r>
            <w:r>
              <w:t xml:space="preserve"> </w:t>
            </w:r>
            <w:r>
              <w:t xml:space="preserve">| Chuyển đổi thu nhập trung bình–thấp | Việt Nam, Ấn Độ, Indonesia, Philippines, Mông Cổ, Bangladesh, Pakistan | 50.926 |</w:t>
            </w:r>
            <w:r>
              <w:t xml:space="preserve"> </w:t>
            </w:r>
            <w:r>
              <w:t xml:space="preserve">|</w:t>
            </w:r>
            <w:r>
              <w:t xml:space="preserve"> </w:t>
            </w:r>
            <w:r>
              <w:rPr>
                <w:bCs/>
                <w:b/>
              </w:rPr>
              <w:t xml:space="preserve">V</w:t>
            </w:r>
            <w:r>
              <w:t xml:space="preserve"> </w:t>
            </w:r>
            <w:r>
              <w:t xml:space="preserve">—</w:t>
            </w:r>
            <w:r>
              <w:t xml:space="preserve"> </w:t>
            </w:r>
            <w:r>
              <w:rPr>
                <w:rStyle w:val="VerbatimChar"/>
              </w:rPr>
              <w:t xml:space="preserve">Emerging</w:t>
            </w:r>
            <w:r>
              <w:t xml:space="preserve"> </w:t>
            </w:r>
            <w:r>
              <w:t xml:space="preserve">| Đang nổi | Sri Lanka, Jordan, Lào, Campuchia, Myanmar, Nepal, Bhutan, Maldives, Uzbekistan, Tajikistan, Kyrgyzstan, Turkmenistan, Afghanistan, Azerbaijan, Iraq, Lebanon, Yemen (17 nước) | 18.569 |</w:t>
            </w:r>
            <w:r>
              <w:t xml:space="preserve"> </w:t>
            </w:r>
            <w:r>
              <w:t xml:space="preserve">|</w:t>
            </w:r>
            <w:r>
              <w:t xml:space="preserve"> </w:t>
            </w:r>
            <w:r>
              <w:rPr>
                <w:bCs/>
                <w:b/>
              </w:rPr>
              <w:t xml:space="preserve">VI</w:t>
            </w:r>
            <w:r>
              <w:t xml:space="preserve"> </w:t>
            </w:r>
            <w:r>
              <w:t xml:space="preserve">—</w:t>
            </w:r>
            <w:r>
              <w:t xml:space="preserve"> </w:t>
            </w:r>
            <w:r>
              <w:rPr>
                <w:rStyle w:val="VerbatimChar"/>
              </w:rPr>
              <w:t xml:space="preserve">SIDS_small</w:t>
            </w:r>
            <w:r>
              <w:t xml:space="preserve"> </w:t>
            </w:r>
            <w:r>
              <w:t xml:space="preserve">| SIDS (trường hợp biên) | Fiji, Kiribati, Papua New Guinea, Samoa, Solomon Islands, Tonga, Vanuatu, Timor-Leste | 1.885 |</w:t>
            </w:r>
            <w:r>
              <w:t xml:space="preserve"> </w:t>
            </w:r>
            <w:r>
              <w:t xml:space="preserve">|</w:t>
            </w:r>
            <w:r>
              <w:t xml:space="preserve"> </w:t>
            </w:r>
            <w:r>
              <w:rPr>
                <w:bCs/>
                <w:b/>
              </w:rPr>
              <w:t xml:space="preserve">Tổng</w:t>
            </w:r>
            <w:r>
              <w:t xml:space="preserve"> </w:t>
            </w:r>
            <w:r>
              <w:t xml:space="preserve">| |</w:t>
            </w:r>
            <w:r>
              <w:t xml:space="preserve"> </w:t>
            </w:r>
            <w:r>
              <w:rPr>
                <w:bCs/>
                <w:b/>
              </w:rPr>
              <w:t xml:space="preserve">49 nền kinh tế</w:t>
            </w:r>
            <w:r>
              <w:t xml:space="preserve"> </w:t>
            </w:r>
            <w:r>
              <w:t xml:space="preserve">|</w:t>
            </w:r>
            <w:r>
              <w:t xml:space="preserve"> </w:t>
            </w:r>
            <w:r>
              <w:rPr>
                <w:bCs/>
                <w:b/>
              </w:rPr>
              <w:t xml:space="preserve">91.864</w:t>
            </w:r>
            <w:r>
              <w:t xml:space="preserve"> </w:t>
            </w:r>
            <w:r>
              <w:t xml:space="preserve">(≈91.982 mẫu phân tích) |</w:t>
            </w:r>
          </w:p>
        </w:tc>
      </w:tr>
      <w:tr>
        <w:tc>
          <w:tcPr/>
          <w:p>
            <w:pPr>
              <w:pStyle w:val="Compact"/>
              <w:jc w:val="left"/>
            </w:pPr>
            <w:r>
              <w:rPr>
                <w:iCs/>
                <w:i/>
              </w:rPr>
              <w:t xml:space="preserve">Ghi chú: Bảng phân loại theo nhãn dữ liệu</w:t>
            </w:r>
            <w:r>
              <w:rPr>
                <w:iCs/>
                <w:i/>
              </w:rPr>
              <w:t xml:space="preserve"> </w:t>
            </w:r>
            <w:r>
              <w:rPr>
                <w:rStyle w:val="VerbatimChar"/>
                <w:iCs/>
                <w:i/>
              </w:rPr>
              <w:t xml:space="preserve">icrv_label</w:t>
            </w:r>
            <w:r>
              <w:rPr>
                <w:iCs/>
                <w:i/>
              </w:rPr>
              <w:t xml:space="preserve"> </w:t>
            </w:r>
            <w:r>
              <w:rPr>
                <w:iCs/>
                <w:i/>
              </w:rPr>
              <w:t xml:space="preserve">P7,</w:t>
            </w:r>
            <w:r>
              <w:rPr>
                <w:iCs/>
                <w:i/>
              </w:rPr>
              <w:t xml:space="preserve"> </w:t>
            </w:r>
            <w:r>
              <w:rPr>
                <w:bCs/>
                <w:b/>
                <w:iCs/>
                <w:i/>
              </w:rPr>
              <w:t xml:space="preserve">đồng bộ Chuyên đề 2 (Bảng 2.8)</w:t>
            </w:r>
            <w:r>
              <w:rPr>
                <w:iCs/>
                <w:i/>
              </w:rPr>
              <w:t xml:space="preserve">. Tên đã căn theo nhãn dữ liệu: Nhóm IV</w:t>
            </w:r>
            <w:r>
              <w:rPr>
                <w:iCs/>
                <w:i/>
              </w:rPr>
              <w:t xml:space="preserve"> </w:t>
            </w:r>
            <w:r>
              <w:rPr>
                <w:rStyle w:val="VerbatimChar"/>
                <w:iCs/>
                <w:i/>
              </w:rPr>
              <w:t xml:space="preserve">Lower_mid_transition</w:t>
            </w:r>
            <w:r>
              <w:rPr>
                <w:iCs/>
                <w:i/>
              </w:rPr>
              <w:t xml:space="preserve"> </w:t>
            </w:r>
            <w:r>
              <w:rPr>
                <w:iCs/>
                <w:i/>
              </w:rPr>
              <w:t xml:space="preserve">(7 nền đông dân) — bản CĐ trước gọi</w:t>
            </w:r>
            <w:r>
              <w:rPr>
                <w:iCs/>
                <w:i/>
              </w:rPr>
              <w:t xml:space="preserve"> </w:t>
            </w:r>
            <w:r>
              <w:rPr>
                <w:iCs/>
                <w:i/>
              </w:rPr>
              <w:t xml:space="preserve">“</w:t>
            </w:r>
            <w:r>
              <w:rPr>
                <w:iCs/>
                <w:i/>
              </w:rPr>
              <w:t xml:space="preserve">Đang nổi</w:t>
            </w:r>
            <w:r>
              <w:rPr>
                <w:iCs/>
                <w:i/>
              </w:rPr>
              <w:t xml:space="preserve">”</w:t>
            </w:r>
            <w:r>
              <w:rPr>
                <w:iCs/>
                <w:i/>
              </w:rPr>
              <w:t xml:space="preserve">; Nhóm V</w:t>
            </w:r>
            <w:r>
              <w:rPr>
                <w:iCs/>
                <w:i/>
              </w:rPr>
              <w:t xml:space="preserve"> </w:t>
            </w:r>
            <w:r>
              <w:rPr>
                <w:rStyle w:val="VerbatimChar"/>
                <w:iCs/>
                <w:i/>
              </w:rPr>
              <w:t xml:space="preserve">Emerging</w:t>
            </w:r>
            <w:r>
              <w:rPr>
                <w:iCs/>
                <w:i/>
              </w:rPr>
              <w:t xml:space="preserve"> </w:t>
            </w:r>
            <w:r>
              <w:rPr>
                <w:iCs/>
                <w:i/>
              </w:rPr>
              <w:t xml:space="preserve">(17 nền) — bản CĐ trước gọi</w:t>
            </w:r>
            <w:r>
              <w:rPr>
                <w:iCs/>
                <w:i/>
              </w:rPr>
              <w:t xml:space="preserve"> </w:t>
            </w:r>
            <w:r>
              <w:rPr>
                <w:iCs/>
                <w:i/>
              </w:rPr>
              <w:t xml:space="preserve">“</w:t>
            </w:r>
            <w:r>
              <w:rPr>
                <w:iCs/>
                <w:i/>
              </w:rPr>
              <w:t xml:space="preserve">Cận biên/Frontier</w:t>
            </w:r>
            <w:r>
              <w:rPr>
                <w:iCs/>
                <w:i/>
              </w:rPr>
              <w:t xml:space="preserve">”</w:t>
            </w:r>
            <w:r>
              <w:rPr>
                <w:iCs/>
                <w:i/>
              </w:rPr>
              <w:t xml:space="preserve"> </w:t>
            </w:r>
            <w:r>
              <w:rPr>
                <w:iCs/>
                <w:i/>
              </w:rPr>
              <w:t xml:space="preserve">(đã hoán đổi: Sri Lanka, Jordan → Nhóm V; Bangladesh, Pakistan → Nhóm IV). Pool phân loại đầy đủ = 96.415 DN/52 nền (gồm Comoros, Turkey, Cyprus ngoài châu Á — loại khỏi khung 49). SIDS: P8 mẫu chính 7 nền Pacific (pool 1.371); robustness 9 nền.</w:t>
            </w:r>
            <w:r>
              <w:rPr>
                <w:iCs/>
                <w:i/>
              </w:rPr>
              <w:t xml:space="preserve"> </w:t>
            </w:r>
            <w:r>
              <w:rPr>
                <w:bCs/>
                <w:b/>
                <w:iCs/>
                <w:i/>
              </w:rPr>
              <w:t xml:space="preserve">Lưu ý:</w:t>
            </w:r>
            <w:r>
              <w:rPr>
                <w:iCs/>
                <w:i/>
              </w:rPr>
              <w:t xml:space="preserve"> </w:t>
            </w:r>
            <w:r>
              <w:rPr>
                <w:iCs/>
                <w:i/>
              </w:rPr>
              <w:t xml:space="preserve">các bảng R&amp;D/ISO/đổi mới (2.3.4.1), cấu trúc (2.3.5.1) và FSTS/xuất khẩu (2.3.3.2)</w:t>
            </w:r>
            <w:r>
              <w:rPr>
                <w:iCs/>
                <w:i/>
              </w:rPr>
              <w:t xml:space="preserve"> </w:t>
            </w:r>
            <w:r>
              <w:rPr>
                <w:bCs/>
                <w:b/>
                <w:iCs/>
                <w:i/>
              </w:rPr>
              <w:t xml:space="preserve">đã đồng bộ</w:t>
            </w:r>
            <w:r>
              <w:rPr>
                <w:iCs/>
                <w:i/>
              </w:rPr>
              <w:t xml:space="preserve"> </w:t>
            </w:r>
            <w:r>
              <w:rPr>
                <w:iCs/>
                <w:i/>
              </w:rPr>
              <w:t xml:space="preserve">sang khung 49 nền bằng pipeline raw (</w:t>
            </w:r>
            <w:r>
              <w:rPr>
                <w:rStyle w:val="VerbatimChar"/>
                <w:iCs/>
                <w:i/>
              </w:rPr>
              <w:t xml:space="preserve">scripts/cd1_descriptives_pipeline.py</w:t>
            </w:r>
            <w:r>
              <w:rPr>
                <w:iCs/>
                <w:i/>
              </w:rPr>
              <w:t xml:space="preserve">; kết quả:</w:t>
            </w:r>
            <w:r>
              <w:rPr>
                <w:iCs/>
                <w:i/>
              </w:rPr>
              <w:t xml:space="preserve"> </w:t>
            </w:r>
            <w:r>
              <w:rPr>
                <w:rStyle w:val="VerbatimChar"/>
                <w:iCs/>
                <w:i/>
              </w:rPr>
              <w:t xml:space="preserve">data_wbes/analysis/CD1_PIPELINE_RESULTS.md</w:t>
            </w:r>
            <w:r>
              <w:rPr>
                <w:iCs/>
                <w:i/>
              </w:rPr>
              <w:t xml:space="preserve">); nhóm II/VI gắn cờ coverage (2/6, 2/8 — chờ raw GCC + Pacific). Các bảng sd năng suất và tương quan vẫn theo bản khóa mô tả (101.185).</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 Innovation | &gt;+0,80 | &gt;$30k | R&amp;D + dịch vụ tri thức | Trung bình (6–15%) | ~1,03 | U ngược nhẹ / tuyến tính dương; điểm uốn ~88,6% (SG) |</w:t>
            </w:r>
            <w:r>
              <w:t xml:space="preserve"> </w:t>
            </w:r>
            <w:r>
              <w:t xml:space="preserve">| II — Resource | +0,00→+0,50 | &gt;$20k | Xuất khẩu dầu/khí | Thấp (1–3%) | ~0,49 | Phi tuyến suy yếu; nhà nước tô phân phối lại |</w:t>
            </w:r>
            <w:r>
              <w:t xml:space="preserve"> </w:t>
            </w:r>
            <w:r>
              <w:t xml:space="preserve">| III — Upper-mid | 0,00→+0,80 | $5k–$20k | Sản xuất + chuyển đổi | Trung bình (8–12%) | ~1,29 | U ngược; điểm uốn ~47% |</w:t>
            </w:r>
            <w:r>
              <w:t xml:space="preserve"> </w:t>
            </w:r>
            <w:r>
              <w:t xml:space="preserve">| IV — Emerging | -0,50→0,00 | $1k–$5k | FDI-driven sản xuất | Biến động (7–23%) | ~1,24 | U ngược; điểm uốn 39–46% (VNM) — bẫy chuyển hướng nguồn lực |</w:t>
            </w:r>
            <w:r>
              <w:t xml:space="preserve"> </w:t>
            </w:r>
            <w:r>
              <w:t xml:space="preserve">| V — Frontier | &lt;-0,50 | &lt;$1k–$3k | Tự cấp + phi chính thức | Thấp–trung bình | ~1,36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BlockText"/>
      </w:pPr>
      <w:r>
        <w:rPr>
          <w:iCs/>
          <w:i/>
        </w:rPr>
        <w:t xml:space="preserve">Ghi chú khung số liệu (§2.3.3–2.3.8): Các bảng thống kê mô tả trong các tiểu mục này theo</w:t>
      </w:r>
      <w:r>
        <w:rPr>
          <w:iCs/>
          <w:i/>
        </w:rPr>
        <w:t xml:space="preserve"> </w:t>
      </w:r>
      <w:r>
        <w:rPr>
          <w:bCs/>
          <w:b/>
          <w:iCs/>
          <w:i/>
        </w:rPr>
        <w:t xml:space="preserve">bản khóa mô tả CĐ1</w:t>
      </w:r>
      <w:r>
        <w:rPr>
          <w:iCs/>
          <w:i/>
        </w:rPr>
        <w:t xml:space="preserve"> </w:t>
      </w:r>
      <w:r>
        <w:rPr>
          <w:iCs/>
          <w:i/>
        </w:rPr>
        <w:t xml:space="preserve">(pool 101.185 doanh nghiệp / 47 nền / 108 cặp); chúng sẽ đồng bộ về</w:t>
      </w:r>
      <w:r>
        <w:rPr>
          <w:iCs/>
          <w:i/>
        </w:rPr>
        <w:t xml:space="preserve"> </w:t>
      </w:r>
      <w:r>
        <w:rPr>
          <w:bCs/>
          <w:b/>
          <w:iCs/>
          <w:i/>
        </w:rPr>
        <w:t xml:space="preserve">khung canonical 49 nền / 91.982 doanh nghiệp</w:t>
      </w:r>
      <w:r>
        <w:rPr>
          <w:iCs/>
          <w:i/>
        </w:rPr>
        <w:t xml:space="preserve"> </w:t>
      </w:r>
      <w:r>
        <w:rPr>
          <w:iCs/>
          <w:i/>
        </w:rPr>
        <w:t xml:space="preserve">khi dựng lại pipeline raw đa biến (R&amp;D, đổi mới, tham nhũng, ngành chưa có trong master phân tích</w:t>
      </w:r>
      <w:r>
        <w:rPr>
          <w:iCs/>
          <w:i/>
        </w:rPr>
        <w:t xml:space="preserve"> </w:t>
      </w:r>
      <w:r>
        <w:rPr>
          <w:rStyle w:val="VerbatimChar"/>
          <w:iCs/>
          <w:i/>
        </w:rPr>
        <w:t xml:space="preserve">p7_pooled_clean.csv</w:t>
      </w:r>
      <w:r>
        <w:rPr>
          <w:iCs/>
          <w:i/>
        </w:rPr>
        <w:t xml:space="preserve">). Headline và khung phân loại của chuyên đề (Tóm tắt, §2.1, §2.2, Bảng 2.3.2.1) đã neo theo canonical.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 Adv. đổi mới</w:t>
            </w:r>
          </w:p>
        </w:tc>
        <w:tc>
          <w:tcPr/>
          <w:p>
            <w:pPr>
              <w:pStyle w:val="Compact"/>
              <w:jc w:val="left"/>
            </w:pPr>
            <w:r>
              <w:t xml:space="preserve">13,4</w:t>
            </w:r>
          </w:p>
        </w:tc>
        <w:tc>
          <w:tcPr/>
          <w:p>
            <w:pPr>
              <w:pStyle w:val="Compact"/>
              <w:jc w:val="left"/>
            </w:pPr>
            <w:r>
              <w:t xml:space="preserve">28,4</w:t>
            </w:r>
          </w:p>
        </w:tc>
        <w:tc>
          <w:tcPr/>
          <w:p>
            <w:pPr>
              <w:pStyle w:val="Compact"/>
              <w:jc w:val="left"/>
            </w:pPr>
            <w:r>
              <w:t xml:space="preserve">3,0</w:t>
            </w:r>
          </w:p>
        </w:tc>
      </w:tr>
      <w:tr>
        <w:tc>
          <w:tcPr/>
          <w:p>
            <w:pPr>
              <w:pStyle w:val="Compact"/>
              <w:jc w:val="left"/>
            </w:pPr>
            <w:r>
              <w:t xml:space="preserve">II — Adv. tài nguyên¹</w:t>
            </w:r>
          </w:p>
        </w:tc>
        <w:tc>
          <w:tcPr/>
          <w:p>
            <w:pPr>
              <w:pStyle w:val="Compact"/>
              <w:jc w:val="left"/>
            </w:pPr>
            <w:r>
              <w:t xml:space="preserve">9,4</w:t>
            </w:r>
          </w:p>
        </w:tc>
        <w:tc>
          <w:tcPr/>
          <w:p>
            <w:pPr>
              <w:pStyle w:val="Compact"/>
              <w:jc w:val="left"/>
            </w:pPr>
            <w:r>
              <w:t xml:space="preserve">23,1</w:t>
            </w:r>
          </w:p>
        </w:tc>
        <w:tc>
          <w:tcPr/>
          <w:p>
            <w:pPr>
              <w:pStyle w:val="Compact"/>
              <w:jc w:val="left"/>
            </w:pPr>
            <w:r>
              <w:t xml:space="preserve">4,8</w:t>
            </w:r>
          </w:p>
        </w:tc>
      </w:tr>
      <w:tr>
        <w:tc>
          <w:tcPr/>
          <w:p>
            <w:pPr>
              <w:pStyle w:val="Compact"/>
              <w:jc w:val="left"/>
            </w:pPr>
            <w:r>
              <w:t xml:space="preserve">III — Trung bình cao</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4,3</w:t>
            </w:r>
          </w:p>
        </w:tc>
      </w:tr>
      <w:tr>
        <w:tc>
          <w:tcPr/>
          <w:p>
            <w:pPr>
              <w:pStyle w:val="Compact"/>
              <w:jc w:val="left"/>
            </w:pPr>
            <w:r>
              <w:t xml:space="preserve">IV —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 Đang nổi</w:t>
            </w:r>
          </w:p>
        </w:tc>
        <w:tc>
          <w:tcPr/>
          <w:p>
            <w:pPr>
              <w:pStyle w:val="Compact"/>
              <w:jc w:val="left"/>
            </w:pPr>
            <w:r>
              <w:t xml:space="preserve">10,4</w:t>
            </w:r>
          </w:p>
        </w:tc>
        <w:tc>
          <w:tcPr/>
          <w:p>
            <w:pPr>
              <w:pStyle w:val="Compact"/>
              <w:jc w:val="left"/>
            </w:pPr>
            <w:r>
              <w:t xml:space="preserve">17,4</w:t>
            </w:r>
          </w:p>
        </w:tc>
        <w:tc>
          <w:tcPr/>
          <w:p>
            <w:pPr>
              <w:pStyle w:val="Compact"/>
              <w:jc w:val="left"/>
            </w:pPr>
            <w:r>
              <w:t xml:space="preserve">4,8</w:t>
            </w:r>
          </w:p>
        </w:tc>
      </w:tr>
      <w:tr>
        <w:tc>
          <w:tcPr/>
          <w:p>
            <w:pPr>
              <w:pStyle w:val="Compact"/>
              <w:jc w:val="left"/>
            </w:pPr>
            <w:r>
              <w:t xml:space="preserve">VI — SIDS²</w:t>
            </w:r>
          </w:p>
        </w:tc>
        <w:tc>
          <w:tcPr/>
          <w:p>
            <w:pPr>
              <w:pStyle w:val="Compact"/>
              <w:jc w:val="left"/>
            </w:pPr>
            <w:r>
              <w:t xml:space="preserve">6,9</w:t>
            </w:r>
          </w:p>
        </w:tc>
        <w:tc>
          <w:tcPr/>
          <w:p>
            <w:pPr>
              <w:pStyle w:val="Compact"/>
              <w:jc w:val="left"/>
            </w:pPr>
            <w:r>
              <w:t xml:space="preserve">10,4</w:t>
            </w:r>
          </w:p>
        </w:tc>
        <w:tc>
          <w:tcPr/>
          <w:p>
            <w:pPr>
              <w:pStyle w:val="Compact"/>
              <w:jc w:val="left"/>
            </w:pPr>
            <w:r>
              <w:t xml:space="preserve">4,2</w:t>
            </w:r>
          </w:p>
        </w:tc>
      </w:tr>
    </w:tbl>
    <w:p>
      <w:pPr>
        <w:pStyle w:val="BodyText"/>
      </w:pPr>
      <w:r>
        <w:rPr>
          <w:iCs/>
          <w:i/>
        </w:rPr>
        <w:t xml:space="preserve">Nguồn: tái tính từ raw WBES trên khung 49 nền (</w:t>
      </w:r>
      <w:r>
        <w:rPr>
          <w:rStyle w:val="VerbatimChar"/>
          <w:iCs/>
          <w:i/>
        </w:rPr>
        <w:t xml:space="preserve">scripts/cd1_descriptives_pipeline.py</w:t>
      </w:r>
      <w:r>
        <w:rPr>
          <w:iCs/>
          <w:i/>
        </w:rPr>
        <w:t xml:space="preserve">). ¹Nhóm II coverage raw 2/6 nền (Bahrain, Brunei) — kiểm chứng bằng master 49-nền: FSTS 3,5%, xuất khẩu 11,1%. ²Nhóm VI coverage raw 2/8 (Timor-Leste, Vanuatu) — master 49-nền (đủ 8 nền, 1.885 DN): FSTS 6,2%, xuất khẩu 13,4%; bản khóa mô tả 7-Pacific trước đây: 6,3% / 16,3% / CAGR 5,77.</w:t>
      </w:r>
    </w:p>
    <w:p>
      <w:pPr>
        <w:pStyle w:val="BodyText"/>
      </w:pPr>
      <w:r>
        <w:t xml:space="preserve">Trung vị FSTS bằng 0% — phân phối phân cực mạnh với chỉ khoảng 10–28% doanh nghiệp tham gia xuất khẩu tùy theo nhóm (cao nhất ở Nhóm I, thấp nhất ở Nhóm VI). Theo bản khóa mô tả 7-Pacific, SIDS có tốc độ tăng trưởng việc làm hàng năm kép cao nhất (5,77%), phản ánh quy mô nhỏ và tăng trưởng từ nền thấp. Nhóm I và III có FSTS cao nhất (13,4% và 10,3%) nhưng cơ chế xuất khẩu khác nhau: Nhóm I chủ yếu dịch vụ và hàng hóa hàm lượng tri thức cao; Nhóm III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nguyên¹</w:t>
            </w:r>
          </w:p>
        </w:tc>
        <w:tc>
          <w:tcPr/>
          <w:p>
            <w:pPr>
              <w:pStyle w:val="Compact"/>
              <w:jc w:val="left"/>
            </w:pPr>
            <w:r>
              <w:t xml:space="preserve">53,9</w:t>
            </w:r>
          </w:p>
        </w:tc>
        <w:tc>
          <w:tcPr/>
          <w:p>
            <w:pPr>
              <w:pStyle w:val="Compact"/>
              <w:jc w:val="left"/>
            </w:pPr>
            <w:r>
              <w:t xml:space="preserve">33,6</w:t>
            </w:r>
          </w:p>
        </w:tc>
        <w:tc>
          <w:tcPr/>
          <w:p>
            <w:pPr>
              <w:pStyle w:val="Compact"/>
              <w:jc w:val="left"/>
            </w:pPr>
            <w:r>
              <w:t xml:space="preserve">22,6</w:t>
            </w:r>
          </w:p>
        </w:tc>
        <w:tc>
          <w:tcPr/>
          <w:p>
            <w:pPr>
              <w:pStyle w:val="Compact"/>
              <w:jc w:val="left"/>
            </w:pPr>
            <w:r>
              <w:t xml:space="preserve">42,5</w:t>
            </w:r>
          </w:p>
        </w:tc>
        <w:tc>
          <w:tcPr/>
          <w:p>
            <w:pPr>
              <w:pStyle w:val="Compact"/>
              <w:jc w:val="left"/>
            </w:pPr>
            <w:r>
              <w:t xml:space="preserve">83,3</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35,9</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23,7</w:t>
            </w:r>
          </w:p>
        </w:tc>
        <w:tc>
          <w:tcPr/>
          <w:p>
            <w:pPr>
              <w:pStyle w:val="Compact"/>
              <w:jc w:val="left"/>
            </w:pPr>
            <w:r>
              <w:t xml:space="preserve">16,2</w:t>
            </w:r>
          </w:p>
        </w:tc>
        <w:tc>
          <w:tcPr/>
          <w:p>
            <w:pPr>
              <w:pStyle w:val="Compact"/>
              <w:jc w:val="left"/>
            </w:pPr>
            <w:r>
              <w:t xml:space="preserve">15,8</w:t>
            </w:r>
          </w:p>
        </w:tc>
        <w:tc>
          <w:tcPr/>
          <w:p>
            <w:pPr>
              <w:pStyle w:val="Compact"/>
              <w:jc w:val="left"/>
            </w:pPr>
            <w:r>
              <w:t xml:space="preserve">11,9</w:t>
            </w:r>
          </w:p>
        </w:tc>
        <w:tc>
          <w:tcPr/>
          <w:p>
            <w:pPr>
              <w:pStyle w:val="Compact"/>
              <w:jc w:val="left"/>
            </w:pPr>
            <w:r>
              <w:t xml:space="preserve">39,1</w:t>
            </w:r>
          </w:p>
        </w:tc>
      </w:tr>
      <w:tr>
        <w:tc>
          <w:tcPr/>
          <w:p>
            <w:pPr>
              <w:pStyle w:val="Compact"/>
              <w:jc w:val="left"/>
            </w:pPr>
            <w:r>
              <w:t xml:space="preserve">VI — SIDS²</w:t>
            </w:r>
          </w:p>
        </w:tc>
        <w:tc>
          <w:tcPr/>
          <w:p>
            <w:pPr>
              <w:pStyle w:val="Compact"/>
              <w:jc w:val="left"/>
            </w:pPr>
            <w:r>
              <w:t xml:space="preserve">20,6</w:t>
            </w:r>
          </w:p>
        </w:tc>
        <w:tc>
          <w:tcPr/>
          <w:p>
            <w:pPr>
              <w:pStyle w:val="Compact"/>
              <w:jc w:val="left"/>
            </w:pPr>
            <w:r>
              <w:t xml:space="preserve">15,0</w:t>
            </w:r>
          </w:p>
        </w:tc>
        <w:tc>
          <w:tcPr/>
          <w:p>
            <w:pPr>
              <w:pStyle w:val="Compact"/>
              <w:jc w:val="left"/>
            </w:pPr>
            <w:r>
              <w:rPr>
                <w:bCs/>
                <w:b/>
              </w:rPr>
              <w:t xml:space="preserve">5,7</w:t>
            </w:r>
          </w:p>
        </w:tc>
        <w:tc>
          <w:tcPr/>
          <w:p>
            <w:pPr>
              <w:pStyle w:val="Compact"/>
              <w:jc w:val="left"/>
            </w:pPr>
            <w:r>
              <w:rPr>
                <w:bCs/>
                <w:b/>
              </w:rPr>
              <w:t xml:space="preserve">6,6</w:t>
            </w:r>
          </w:p>
        </w:tc>
        <w:tc>
          <w:tcPr/>
          <w:p>
            <w:pPr>
              <w:pStyle w:val="Compact"/>
              <w:jc w:val="left"/>
            </w:pPr>
            <w:r>
              <w:rPr>
                <w:bCs/>
                <w:b/>
              </w:rPr>
              <w:t xml:space="preserve">28,9</w:t>
            </w:r>
          </w:p>
        </w:tc>
      </w:tr>
    </w:tbl>
    <w:p>
      <w:pPr>
        <w:pStyle w:val="BodyText"/>
      </w:pPr>
      <w:r>
        <w:rPr>
          <w:iCs/>
          <w:i/>
        </w:rPr>
        <w:t xml:space="preserve">Nguồn: tái tính từ raw WBES, khung 49 nền (h1/h5/h8/b8/c22b;</w:t>
      </w:r>
      <w:r>
        <w:rPr>
          <w:iCs/>
          <w:i/>
        </w:rPr>
        <w:t xml:space="preserve"> </w:t>
      </w:r>
      <w:r>
        <w:rPr>
          <w:iCs/>
          <w:i/>
        </w:rPr>
        <w:t xml:space="preserve">“</w:t>
      </w:r>
      <w:r>
        <w:rPr>
          <w:iCs/>
          <w:i/>
        </w:rPr>
        <w:t xml:space="preserve">Quy trình mới</w:t>
      </w:r>
      <w:r>
        <w:rPr>
          <w:iCs/>
          <w:i/>
        </w:rPr>
        <w:t xml:space="preserve">”</w:t>
      </w:r>
      <w:r>
        <w:rPr>
          <w:iCs/>
          <w:i/>
        </w:rPr>
        <w:t xml:space="preserve"> </w:t>
      </w:r>
      <w:r>
        <w:rPr>
          <w:iCs/>
          <w:i/>
        </w:rPr>
        <w:t xml:space="preserve">theo định nghĩa h5 chuẩn — hẹp hơn bản khóa cũ). ¹Nhóm II raw 2/6 nền — innovation cao bất thường là artifact coverage (Bahrain+Brunei), không đại diện GCC. ²Nhóm VI raw 2/8 nền; bản khóa mô tả 7-Pacific trước đây ghi nhận sản phẩm mới 41,5% và website 58,9% (pattern</w:t>
      </w:r>
      <w:r>
        <w:rPr>
          <w:iCs/>
          <w:i/>
        </w:rPr>
        <w:t xml:space="preserve"> </w:t>
      </w:r>
      <w:r>
        <w:rPr>
          <w:iCs/>
          <w:i/>
        </w:rPr>
        <w:t xml:space="preserve">“</w:t>
      </w:r>
      <w:r>
        <w:rPr>
          <w:iCs/>
          <w:i/>
        </w:rPr>
        <w:t xml:space="preserve">thích nghi và nhảy vọt số</w:t>
      </w:r>
      <w:r>
        <w:rPr>
          <w:iCs/>
          <w:i/>
        </w:rPr>
        <w:t xml:space="preserve">”</w:t>
      </w:r>
      <w:r>
        <w:rPr>
          <w:iCs/>
          <w:i/>
        </w:rPr>
        <w:t xml:space="preserve">) — cần đủ raw 8 nền để phân xử.</w:t>
      </w:r>
    </w:p>
    <w:p>
      <w:pPr>
        <w:pStyle w:val="BodyText"/>
      </w:pPr>
      <w:r>
        <w:t xml:space="preserve">Theo bản khóa mô tả 7-Pacific, SIDS thể hiện pattern</w:t>
      </w:r>
      <w:r>
        <w:t xml:space="preserve"> </w:t>
      </w:r>
      <w:r>
        <w:rPr>
          <w:bCs/>
          <w:b/>
        </w:rPr>
        <w:t xml:space="preserve">thích nghi và nhảy vọt số</w:t>
      </w:r>
      <w:r>
        <w:t xml:space="preserve"> </w:t>
      </w:r>
      <w:r>
        <w:t xml:space="preserve">đáng chú ý: tỷ lệ đổi mới sản phẩm cao (41,5%) phản ánh đổi mới bằng nguồn lực hạn chế — sáng tạo không chính thức để bù đắp cho thiếu hụt nguồn lực; website 58,9% vượt nhóm Đang nổi dù GNI thấp hơn đáng kể (pipeline raw hiện mới phủ 2/8 nền Nhóm VI nên chưa phân xử được pattern này — xem ghi chú Bảng 2.3.4.1). Gradient năng lực theo pipeline 49-nền rất rõ: R&amp;D giảm từ 20,5% (Nhóm I) xuống 5,7% (Nhóm VI); ISO 35,0%→6,6%; website 61,7%→28,9%. Phân tách rõ TCI so với DAI — kế thừa Đỗ &amp; Phan (2026 — VEFR).</w:t>
      </w:r>
    </w:p>
    <w:bookmarkEnd w:id="46"/>
    <w:bookmarkStart w:id="47" w:name="Xf9def7853091997378673ae7720d7322a439a73"/>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 Adv. đổi mới</w:t>
            </w:r>
          </w:p>
        </w:tc>
        <w:tc>
          <w:tcPr/>
          <w:p>
            <w:pPr>
              <w:pStyle w:val="Compact"/>
              <w:jc w:val="left"/>
            </w:pPr>
            <w:r>
              <w:t xml:space="preserve">79,5</w:t>
            </w:r>
          </w:p>
        </w:tc>
        <w:tc>
          <w:tcPr/>
          <w:p>
            <w:pPr>
              <w:pStyle w:val="Compact"/>
              <w:jc w:val="left"/>
            </w:pPr>
            <w:r>
              <w:t xml:space="preserve">28,4</w:t>
            </w:r>
          </w:p>
        </w:tc>
        <w:tc>
          <w:tcPr/>
          <w:p>
            <w:pPr>
              <w:pStyle w:val="Compact"/>
              <w:jc w:val="left"/>
            </w:pPr>
            <w:r>
              <w:t xml:space="preserve">10,6</w:t>
            </w:r>
          </w:p>
        </w:tc>
      </w:tr>
      <w:tr>
        <w:tc>
          <w:tcPr/>
          <w:p>
            <w:pPr>
              <w:pStyle w:val="Compact"/>
              <w:jc w:val="left"/>
            </w:pPr>
            <w:r>
              <w:t xml:space="preserve">II — Adv. tài nguyên¹</w:t>
            </w:r>
          </w:p>
        </w:tc>
        <w:tc>
          <w:tcPr/>
          <w:p>
            <w:pPr>
              <w:pStyle w:val="Compact"/>
              <w:jc w:val="left"/>
            </w:pPr>
            <w:r>
              <w:t xml:space="preserve">78,0</w:t>
            </w:r>
          </w:p>
        </w:tc>
        <w:tc>
          <w:tcPr/>
          <w:p>
            <w:pPr>
              <w:pStyle w:val="Compact"/>
              <w:jc w:val="left"/>
            </w:pPr>
            <w:r>
              <w:t xml:space="preserve">23,1</w:t>
            </w:r>
          </w:p>
        </w:tc>
        <w:tc>
          <w:tcPr/>
          <w:p>
            <w:pPr>
              <w:pStyle w:val="Compact"/>
              <w:jc w:val="left"/>
            </w:pPr>
            <w:r>
              <w:t xml:space="preserve">23,2</w:t>
            </w:r>
          </w:p>
        </w:tc>
      </w:tr>
      <w:tr>
        <w:tc>
          <w:tcPr/>
          <w:p>
            <w:pPr>
              <w:pStyle w:val="Compact"/>
              <w:jc w:val="left"/>
            </w:pPr>
            <w:r>
              <w:t xml:space="preserve">III — Trung bình cao</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IV —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 Đang nổi</w:t>
            </w:r>
          </w:p>
        </w:tc>
        <w:tc>
          <w:tcPr/>
          <w:p>
            <w:pPr>
              <w:pStyle w:val="Compact"/>
              <w:jc w:val="left"/>
            </w:pPr>
            <w:r>
              <w:t xml:space="preserve">86,2</w:t>
            </w:r>
          </w:p>
        </w:tc>
        <w:tc>
          <w:tcPr/>
          <w:p>
            <w:pPr>
              <w:pStyle w:val="Compact"/>
              <w:jc w:val="left"/>
            </w:pPr>
            <w:r>
              <w:t xml:space="preserve">17,4</w:t>
            </w:r>
          </w:p>
        </w:tc>
        <w:tc>
          <w:tcPr/>
          <w:p>
            <w:pPr>
              <w:pStyle w:val="Compact"/>
              <w:jc w:val="left"/>
            </w:pPr>
            <w:r>
              <w:t xml:space="preserve">7,4</w:t>
            </w:r>
          </w:p>
        </w:tc>
      </w:tr>
      <w:tr>
        <w:tc>
          <w:tcPr/>
          <w:p>
            <w:pPr>
              <w:pStyle w:val="Compact"/>
              <w:jc w:val="left"/>
            </w:pPr>
            <w:r>
              <w:t xml:space="preserve">VI — SIDS²</w:t>
            </w:r>
          </w:p>
        </w:tc>
        <w:tc>
          <w:tcPr/>
          <w:p>
            <w:pPr>
              <w:pStyle w:val="Compact"/>
              <w:jc w:val="left"/>
            </w:pPr>
            <w:r>
              <w:rPr>
                <w:bCs/>
                <w:b/>
              </w:rPr>
              <w:t xml:space="preserve">96,7</w:t>
            </w:r>
          </w:p>
        </w:tc>
        <w:tc>
          <w:tcPr/>
          <w:p>
            <w:pPr>
              <w:pStyle w:val="Compact"/>
              <w:jc w:val="left"/>
            </w:pPr>
            <w:r>
              <w:t xml:space="preserve">10,4</w:t>
            </w:r>
          </w:p>
        </w:tc>
        <w:tc>
          <w:tcPr/>
          <w:p>
            <w:pPr>
              <w:pStyle w:val="Compact"/>
              <w:jc w:val="left"/>
            </w:pPr>
            <w:r>
              <w:rPr>
                <w:bCs/>
                <w:b/>
              </w:rPr>
              <w:t xml:space="preserve">16,4</w:t>
            </w:r>
          </w:p>
        </w:tc>
      </w:tr>
    </w:tbl>
    <w:p>
      <w:pPr>
        <w:pStyle w:val="BodyText"/>
      </w:pPr>
      <w:r>
        <w:rPr>
          <w:iCs/>
          <w:i/>
        </w:rPr>
        <w:t xml:space="preserve">Nguồn: tái tính từ raw WBES, khung 49 nền (SME = &lt;100 lao động thường xuyên l1; FDI = sở hữu nước ngoài b2b ≥10%). ¹Nhóm II raw 2/6 nền. ²Nhóm VI raw 2/8 nền; bản khóa mô tả 7-Pacific: SME 88,5%, FDI 23,5%.</w:t>
      </w:r>
    </w:p>
    <w:p>
      <w:pPr>
        <w:pStyle w:val="BodyText"/>
      </w:pPr>
      <w:r>
        <w:rPr>
          <w:iCs/>
          <w:i/>
        </w:rPr>
        <w:t xml:space="preserve">Hình 2.3.5.1. Stacked bar chart: Nhóm VI (SIDS) có tỷ lệ SME cao nhất (96,7% theo pipeline; 88,5% theo bản khóa 7-Pacific), Nhóm V kế tiếp (86,2%), Nhóm IV thấp nhất (74,0%).</w:t>
      </w:r>
    </w:p>
    <w:p>
      <w:pPr>
        <w:pStyle w:val="BodyText"/>
      </w:pPr>
      <w:r>
        <w:t xml:space="preserve">Tỷ lệ FDI có dạng chữ U với cực tiểu ở Nhóm IV — Chuyển đổi TB-thấp (3,1%). SIDS có FDI cao (16,4% pipeline; 23,5% bản khóa 7-Pacific)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18d070c66c9c1e710d1010d38c650c342e9258f"/>
    <w:p>
      <w:pPr>
        <w:pStyle w:val="Heading4"/>
      </w:pPr>
      <w:r>
        <w:t xml:space="preserve">2.3.7.3 Việt Nam (n=2.958, 3 đợt khảo sát — mẫu phân tích P3)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559-mẫu-phân-tích-p5"/>
    <w:p>
      <w:pPr>
        <w:pStyle w:val="Heading4"/>
      </w:pPr>
      <w:r>
        <w:t xml:space="preserve">2.3.7.4 Trung Quốc (n=4.559 — mẫu phân tích P5)</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1"/>
    <w:bookmarkStart w:id="62" w:name="X899cb513c960898c1a25d20448f39c61b9b2c62"/>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7b66a270a9cf1e965c06d68bbffe282f59d2e9a"/>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2.958</w:t>
            </w:r>
          </w:p>
        </w:tc>
        <w:tc>
          <w:tcPr/>
          <w:p>
            <w:pPr>
              <w:pStyle w:val="Compact"/>
              <w:jc w:val="left"/>
            </w:pPr>
            <w:r>
              <w:t xml:space="preserve">4.559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(Hệ số tương quan Pearson — không áp dụng HC1; HC1 dành cho SE hồi quy ở CĐ2.)</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Pattern này</w:t>
      </w:r>
      <w:r>
        <w:t xml:space="preserve"> </w:t>
      </w:r>
      <w:r>
        <w:rPr>
          <w:bCs/>
          <w:b/>
        </w:rPr>
        <w:t xml:space="preserve">nhất quán với giả thuyết phân bổ sai nguồn lực</w:t>
      </w:r>
      <w:r>
        <w:t xml:space="preserve"> </w:t>
      </w:r>
      <w:r>
        <w:t xml:space="preserve">(Hsieh &amp; Klenow, 2009, 2014) —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10–28% doanh nghiệp xuất khẩu tùy nhóm.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108 cặp quốc gia–năm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Hệ số DAI âm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2009–2025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canonical 49 nền / 91.982 doanh nghiệp (pool phân loại 96.415 DN / 52 nền; pool mô tả CĐ1 101.185 DN / 47 nền)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khung canonical 49 nền kinh tế / 91.982 doanh nghiệp (pool phân loại 96.415 DN / 52 nền; phần thống kê mô tả §2.3.3–2.3.8 trên pool mô tả CĐ1 101.185 DN / 47 nền / 108 cặp),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~4.220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~1.932</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~16.693</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~47.803</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~28.678</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~1.371</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(đồng bộ với Bảng 2.3.2.1 thân bài) do hài hòa hóa loại quan sát thiếu biến phụ thuộc; phân bổ analytic chính xác tại Bảng 2.3.3.1. Bản khóa CĐ1 = 101.185/47 nền; luận án dùng bản cập nhật 96.415/52 nền phân loại (mẫu phân tích 49 nền/91.982) — sẽ re-lock đầy đủ khi có raw WBES 43 nền còn thiếu.</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2026-06-11T16:09:19Z</dcterms:created>
  <dcterms:modified xsi:type="dcterms:W3CDTF">2026-06-11T16:09:19Z</dcterms:modified>
</cp:coreProperties>
</file>

<file path=docProps/custom.xml><?xml version="1.0" encoding="utf-8"?>
<Properties xmlns="http://schemas.openxmlformats.org/officeDocument/2006/custom-properties" xmlns:vt="http://schemas.openxmlformats.org/officeDocument/2006/docPropsVTypes"/>
</file>