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Khung phân loại và phân tích được neo theo bản khóa canonical của luận án:</w:t>
      </w:r>
      <w:r>
        <w:t xml:space="preserve"> </w:t>
      </w:r>
      <w:r>
        <w:rPr>
          <w:bCs/>
          <w:b/>
        </w:rPr>
        <w:t xml:space="preserve">49 nền kinh tế</w:t>
      </w:r>
      <w:r>
        <w:t xml:space="preserve"> </w:t>
      </w:r>
      <w:r>
        <w:t xml:space="preserve">(khung phân tích 91.982 doanh nghiệp; pool phân loại 96.415 doanh nghiệp / 52 nền) với 6 phân nhóm con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của chuyên đề (Bảng 2.3.3–2.3.8) được trình bày trên</w:t>
      </w:r>
      <w:r>
        <w:t xml:space="preserve"> </w:t>
      </w:r>
      <w:r>
        <w:rPr>
          <w:bCs/>
          <w:b/>
        </w:rPr>
        <w:t xml:space="preserve">pool mô tả rộng hơn gồm 101.185 doanh nghiệp · 47 nền · 108 cặp quốc gia × năm · 14 mốc khảo sát</w:t>
      </w:r>
      <w:r>
        <w:t xml:space="preserve"> </w:t>
      </w:r>
      <w:r>
        <w:t xml:space="preserve">từ World Bank Enterprise Surveys (WBES) theo bản khóa mô tả CĐ1, kế thừa và mở rộng từ 17 nước châu Á mới nổi (~40.633 doanh nghiệp) đã được tác giả công bố trước đó (Đỗ &amp; Phan, 2026 — VEFR).</w:t>
      </w:r>
    </w:p>
    <w:p>
      <w:pPr>
        <w:pStyle w:val="BlockText"/>
      </w:pPr>
      <w:r>
        <w:rPr>
          <w:iCs/>
          <w:i/>
        </w:rPr>
        <w:t xml:space="preserve">Ghi chú dữ liệu: Headline của chuyên đề neo theo bản khóa canonical của luận án — 49 nền kinh tế (khung phân tích 91.982 doanh nghiệp; pool phân loại 96.415 doanh nghiệp / 52 nền) sau khi chuẩn hóa lại và xử lý trùng lặp dữ liệu panel; trường hợp biên SIDS gồm 7 nền kinh tế Thái Bình Dương. Riêng các bảng thống kê mô tả §2.3.3–2.3.8 (phân tán năng suất, FSTS, đổi mới, R&amp;D, tham nhũng, ngành) vẫn báo cáo trên</w:t>
      </w:r>
      <w:r>
        <w:rPr>
          <w:iCs/>
          <w:i/>
        </w:rPr>
        <w:t xml:space="preserve"> </w:t>
      </w:r>
      <w:r>
        <w:rPr>
          <w:bCs/>
          <w:b/>
          <w:iCs/>
          <w:i/>
        </w:rPr>
        <w:t xml:space="preserve">pool mô tả CĐ1 gồm 101.185 doanh nghiệp · 47 nền · 108 cặp</w:t>
      </w:r>
      <w:r>
        <w:rPr>
          <w:iCs/>
          <w:i/>
        </w:rPr>
        <w:t xml:space="preserve"> </w:t>
      </w:r>
      <w:r>
        <w:rPr>
          <w:iCs/>
          <w:i/>
        </w:rPr>
        <w:t xml:space="preserve">(102 cặp theo khung phân tích luận án) — đây là bản khóa mô tả riêng của chuyên đề, sẽ được đồng bộ về khung 49 nền / 91.982 khi dựng lại pipeline raw đa biến (R&amp;D, đổi mới, tham nhũng, ngành chưa có trong master phân tích).</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classification and analytic frame is anchored to the dissertation’s canonical lock:</w:t>
      </w:r>
      <w:r>
        <w:t xml:space="preserve"> </w:t>
      </w:r>
      <w:r>
        <w:rPr>
          <w:bCs/>
          <w:b/>
        </w:rPr>
        <w:t xml:space="preserve">49 economies</w:t>
      </w:r>
      <w:r>
        <w:t xml:space="preserve"> </w:t>
      </w:r>
      <w:r>
        <w:t xml:space="preserve">(analytic frame 91,982 firms; classification pool 96,415 firms / 52 economies) with six sub-regimes of ICRV (Institutional Context Regime Variation): Advanced innovation-driven, Advanced resource-driven, Upper-middle, Lower-middle transition, Emerging, and Pacific SIDS (boundary case extension). The essay’s descriptive analysis (Tables 2.3.3–2.3.8) is reported over a broader CĐ1 descriptive pool of</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(khung phân tích 91.982 doanh nghiệp; pool phân loại 96.415 DN / 52 nền) trên giai đoạn dài 2009–2025. Chuyên đề này lấp khoảng trống thực tiễn đó: headline neo theo bản khóa canonical 49 nền / 91.982 doanh nghiệp, trong khi phần thống kê mô tả §2.3.3–2.3.8 được tính trên</w:t>
      </w:r>
      <w:r>
        <w:t xml:space="preserve"> </w:t>
      </w:r>
      <w:r>
        <w:rPr>
          <w:bCs/>
          <w:b/>
        </w:rPr>
        <w:t xml:space="preserve">pool mô tả CĐ1 gồm 101.185 doanh nghiệp xuyên 47 nền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theo bản khóa canonical (khung phân tích 91.982 doanh nghiệp; pool phân loại 96.415 DN / 52 nền; phạm vi chính châu Á + SIDS Thái Bình Dương mở rộng trường hợp biên) trong giai đoạn</w:t>
      </w:r>
      <w:r>
        <w:t xml:space="preserve"> </w:t>
      </w:r>
      <w:r>
        <w:rPr>
          <w:bCs/>
          <w:b/>
        </w:rPr>
        <w:t xml:space="preserve">2009–2025</w:t>
      </w:r>
      <w:r>
        <w:t xml:space="preserve">. Các bảng thống kê mô tả §2.3.3–2.3.8 hiển thị theo pool mô tả CĐ1 (101.185 doanh nghiệp / 47 nền) —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49 nền kinh tế (khung phân tích; pool phân loại 52 nền);</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crosswalk &amp; bản khóa:</w:t>
      </w:r>
      <w:r>
        <w:t xml:space="preserve"> </w:t>
      </w:r>
      <w:r>
        <w:t xml:space="preserve">Nhãn nhóm và thành viên trong §2.1.3 và Bảng 2.3.2.1 đã</w:t>
      </w:r>
      <w:r>
        <w:t xml:space="preserve"> </w:t>
      </w:r>
      <w:r>
        <w:rPr>
          <w:bCs/>
          <w:b/>
        </w:rPr>
        <w:t xml:space="preserve">căn theo nhãn dữ liệu</w:t>
      </w:r>
      <w:r>
        <w:rPr>
          <w:bCs/>
          <w:b/>
        </w:rPr>
        <w:t xml:space="preserve"> </w:t>
      </w:r>
      <w:r>
        <w:rPr>
          <w:rStyle w:val="VerbatimChar"/>
          <w:bCs/>
          <w:b/>
        </w:rPr>
        <w:t xml:space="preserve">icrv_label</w:t>
      </w:r>
      <w:r>
        <w:rPr>
          <w:bCs/>
          <w:b/>
        </w:rPr>
        <w:t xml:space="preserve"> </w:t>
      </w:r>
      <w:r>
        <w:rPr>
          <w:bCs/>
          <w:b/>
        </w:rPr>
        <w:t xml:space="preserve">P7</w:t>
      </w:r>
      <w:r>
        <w:t xml:space="preserve"> </w:t>
      </w:r>
      <w:r>
        <w:t xml:space="preserve">(đồng bộ Chuyên đề 2): Nhóm IV =</w:t>
      </w:r>
      <w:r>
        <w:t xml:space="preserve"> </w:t>
      </w:r>
      <w:r>
        <w:rPr>
          <w:rStyle w:val="VerbatimChar"/>
        </w:rPr>
        <w:t xml:space="preserve">Lower_mid_transition</w:t>
      </w:r>
      <w:r>
        <w:t xml:space="preserve">, Nhóm V =</w:t>
      </w:r>
      <w:r>
        <w:t xml:space="preserve"> </w:t>
      </w:r>
      <w:r>
        <w:rPr>
          <w:rStyle w:val="VerbatimChar"/>
        </w:rPr>
        <w:t xml:space="preserve">Emerging</w:t>
      </w:r>
      <w:r>
        <w:t xml:space="preserve">; hoán nhóm so với bản CĐ trước — Sri Lanka, Jordan → Nhóm V; Bangladesh, Pakistan → Nhóm IV; Timor-Leste → Nhóm VI.</w:t>
      </w:r>
      <w:r>
        <w:t xml:space="preserve"> </w:t>
      </w:r>
      <w:r>
        <w:rPr>
          <w:bCs/>
          <w:b/>
        </w:rPr>
        <w:t xml:space="preserve">Các bảng Bảng 2.3.3.2, 2.3.4.1, 2.3.5.1 đã được đồng bộ</w:t>
      </w:r>
      <w:r>
        <w:t xml:space="preserve"> </w:t>
      </w:r>
      <w:r>
        <w:t xml:space="preserve">sang khung 49 nền/6 nhóm nhãn dữ liệu bằng pipeline raw (</w:t>
      </w:r>
      <w:r>
        <w:rPr>
          <w:rStyle w:val="VerbatimChar"/>
        </w:rPr>
        <w:t xml:space="preserve">scripts/cd1_descriptives_pipeline.py</w:t>
      </w:r>
      <w:r>
        <w:t xml:space="preserve">; kết quả:</w:t>
      </w:r>
      <w:r>
        <w:t xml:space="preserve"> </w:t>
      </w:r>
      <w:r>
        <w:rPr>
          <w:rStyle w:val="VerbatimChar"/>
        </w:rPr>
        <w:t xml:space="preserve">data_wbes/analysis/CD1_PIPELINE_RESULTS.md</w:t>
      </w:r>
      <w:r>
        <w:t xml:space="preserve">) với coverage gần đủ sau khi nạp raw bổ sung: Nhóm I 5/5, III 6/6, IV 7/7, V 15/17,</w:t>
      </w:r>
      <w:r>
        <w:t xml:space="preserve"> </w:t>
      </w:r>
      <w:r>
        <w:rPr>
          <w:bCs/>
          <w:b/>
        </w:rPr>
        <w:t xml:space="preserve">II 5/6</w:t>
      </w:r>
      <w:r>
        <w:t xml:space="preserve"> </w:t>
      </w:r>
      <w:r>
        <w:t xml:space="preserve">(đủ GCC trừ Oman vintage 2003),</w:t>
      </w:r>
      <w:r>
        <w:t xml:space="preserve"> </w:t>
      </w:r>
      <w:r>
        <w:rPr>
          <w:bCs/>
          <w:b/>
        </w:rPr>
        <w:t xml:space="preserve">VI 8/8 hoàn chỉnh</w:t>
      </w:r>
      <w:r>
        <w:t xml:space="preserve"> </w:t>
      </w:r>
      <w:r>
        <w:t xml:space="preserve">(7 Pacific + Timor-Leste).</w:t>
      </w:r>
      <w:r>
        <w:t xml:space="preserve"> </w:t>
      </w:r>
      <w:r>
        <w:rPr>
          <w:bCs/>
          <w:b/>
        </w:rPr>
        <w:t xml:space="preserve">Các bảng còn lại</w:t>
      </w:r>
      <w:r>
        <w:t xml:space="preserve"> </w:t>
      </w:r>
      <w:r>
        <w:t xml:space="preserve">(2.3.3.1 phân tán năng suất, 2.3.6.x temporal/tham nhũng chi tiết, 2.3.7.1 tiểu cảnh, 2.3.8.x tương quan) vẫn theo bản khóa mô tả (101.185) chờ mở rộng pipeline.</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 (Phạm vi mô tả ở §2.3.4 dựa trên pool mô tả CĐ1 101.185 DN / 47 nền.)</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Khung phân loại/phân tích neo theo bản khóa canonical:</w:t>
      </w:r>
      <w:r>
        <w:t xml:space="preserve"> </w:t>
      </w:r>
      <w:r>
        <w:rPr>
          <w:bCs/>
          <w:b/>
        </w:rPr>
        <w:t xml:space="preserve">49 nền kinh tế</w:t>
      </w:r>
      <w:r>
        <w:t xml:space="preserve"> </w:t>
      </w:r>
      <w:r>
        <w:t xml:space="preserve">(khung phân tích 91.982 doanh nghiệp; pool phân loại 96.415 DN / 52 nền). Các bảng thống kê mô tả §2.3.3–2.3.8 dưới đây được tính trên</w:t>
      </w:r>
      <w:r>
        <w:t xml:space="preserve"> </w:t>
      </w:r>
      <w:r>
        <w:rPr>
          <w:bCs/>
          <w:b/>
        </w:rPr>
        <w:t xml:space="preserve">pool mô tả CĐ1 gồm 101.185 doanh nghiệp, 47 nền, 108 cặp quốc gia × năm, 14 sóng khảo sát, 2009–2025</w:t>
      </w:r>
      <w:r>
        <w:t xml:space="preserve"> </w:t>
      </w:r>
      <w:r>
        <w:t xml:space="preserve">(bản khóa mô tả riêng — xem ghi chú dữ liệu ở Tóm tắt).</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(khung canonical 49 nền kinh tế châu Á và Thái Bình Dương; pool mô tả CĐ1 cho thống kê §2.3.3–2.3.8 gồm 47 nền, phân tách 40 và 7); (ii) quy trình lấy mẫu (lấy mẫu chính thức WBES); (iii) lý giải quy mô mẫu (khung phân tích 91.982 DN; pool phân loại 96.415 DN; pool mô tả CĐ1 101.185);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mô tả CĐ1 (101.185 doanh nghiệp WBES; khung phân tích canonical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49 nền kinh tế châu Á (khung phân tích).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w:t>
            </w:r>
            <w:r>
              <w:rPr>
                <w:iCs/>
                <w:i/>
              </w:rPr>
              <w:t xml:space="preserve">(P7) — đồng bộ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Bảng phân loại theo nhãn dữ liệu</w:t>
            </w:r>
            <w:r>
              <w:rPr>
                <w:iCs/>
                <w:i/>
              </w:rPr>
              <w:t xml:space="preserve"> </w:t>
            </w:r>
            <w:r>
              <w:rPr>
                <w:rStyle w:val="VerbatimChar"/>
                <w:iCs/>
                <w:i/>
              </w:rPr>
              <w:t xml:space="preserve">icrv_label</w:t>
            </w:r>
            <w:r>
              <w:rPr>
                <w:iCs/>
                <w:i/>
              </w:rPr>
              <w:t xml:space="preserve"> </w:t>
            </w:r>
            <w:r>
              <w:rPr>
                <w:iCs/>
                <w:i/>
              </w:rPr>
              <w:t xml:space="preserve">P7,</w:t>
            </w:r>
            <w:r>
              <w:rPr>
                <w:iCs/>
                <w:i/>
              </w:rPr>
              <w:t xml:space="preserve"> </w:t>
            </w:r>
            <w:r>
              <w:rPr>
                <w:bCs/>
                <w:b/>
                <w:iCs/>
                <w:i/>
              </w:rPr>
              <w:t xml:space="preserve">đồng bộ Chuyên đề 2 (Bảng 2.8)</w:t>
            </w:r>
            <w:r>
              <w:rPr>
                <w:iCs/>
                <w:i/>
              </w:rPr>
              <w:t xml:space="preserve">. Tên đã căn theo nhãn dữ liệu: Nhóm IV</w:t>
            </w:r>
            <w:r>
              <w:rPr>
                <w:iCs/>
                <w:i/>
              </w:rPr>
              <w:t xml:space="preserve"> </w:t>
            </w:r>
            <w:r>
              <w:rPr>
                <w:rStyle w:val="VerbatimChar"/>
                <w:iCs/>
                <w:i/>
              </w:rPr>
              <w:t xml:space="preserve">Lower_mid_transition</w:t>
            </w:r>
            <w:r>
              <w:rPr>
                <w:iCs/>
                <w:i/>
              </w:rPr>
              <w:t xml:space="preserve"> </w:t>
            </w:r>
            <w:r>
              <w:rPr>
                <w:iCs/>
                <w:i/>
              </w:rPr>
              <w:t xml:space="preserve">(7 nền đông dân) — bản CĐ trước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bản CĐ trước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(đã hoán đổi: Sri Lanka, Jordan → Nhóm V; Bangladesh, Pakistan → Nhóm IV). Pool phân loại đầy đủ = 96.415 DN/52 nền (gồm Comoros, Turkey, Cyprus ngoài châu Á — loại khỏi khung 49). SIDS: P8 mẫu chính 7 nền Pacific (pool 1.371); robustness 9 nền.</w:t>
            </w:r>
            <w:r>
              <w:rPr>
                <w:iCs/>
                <w:i/>
              </w:rPr>
              <w:t xml:space="preserve"> </w:t>
            </w:r>
            <w:r>
              <w:rPr>
                <w:bCs/>
                <w:b/>
                <w:iCs/>
                <w:i/>
              </w:rPr>
              <w:t xml:space="preserve">Lưu ý:</w:t>
            </w:r>
            <w:r>
              <w:rPr>
                <w:iCs/>
                <w:i/>
              </w:rPr>
              <w:t xml:space="preserve"> </w:t>
            </w:r>
            <w:r>
              <w:rPr>
                <w:iCs/>
                <w:i/>
              </w:rPr>
              <w:t xml:space="preserve">các bảng R&amp;D/ISO/đổi mới (2.3.4.1), cấu trúc (2.3.5.1) và FSTS/xuất khẩu (2.3.3.2)</w:t>
            </w:r>
            <w:r>
              <w:rPr>
                <w:iCs/>
                <w:i/>
              </w:rPr>
              <w:t xml:space="preserve"> </w:t>
            </w:r>
            <w:r>
              <w:rPr>
                <w:bCs/>
                <w:b/>
                <w:iCs/>
                <w:i/>
              </w:rPr>
              <w:t xml:space="preserve">đã đồng bộ</w:t>
            </w:r>
            <w:r>
              <w:rPr>
                <w:iCs/>
                <w:i/>
              </w:rPr>
              <w:t xml:space="preserve"> </w:t>
            </w:r>
            <w:r>
              <w:rPr>
                <w:iCs/>
                <w:i/>
              </w:rPr>
              <w:t xml:space="preserve">sang khung 49 nền bằng pipeline raw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coverage đã gần đủ (II 5/6, VI 8/8; thiếu Oman vintage + Lebanon/Yemen). Các bảng sd năng suất và tương quan vẫn theo bản khóa mô tả (101.185).</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BlockText"/>
      </w:pPr>
      <w:r>
        <w:rPr>
          <w:iCs/>
          <w:i/>
        </w:rPr>
        <w:t xml:space="preserve">Ghi chú khung số liệu (§2.3.3–2.3.8): Các bảng thống kê mô tả trong các tiểu mục này theo</w:t>
      </w:r>
      <w:r>
        <w:rPr>
          <w:iCs/>
          <w:i/>
        </w:rPr>
        <w:t xml:space="preserve"> </w:t>
      </w:r>
      <w:r>
        <w:rPr>
          <w:bCs/>
          <w:b/>
          <w:iCs/>
          <w:i/>
        </w:rPr>
        <w:t xml:space="preserve">bản khóa mô tả CĐ1</w:t>
      </w:r>
      <w:r>
        <w:rPr>
          <w:iCs/>
          <w:i/>
        </w:rPr>
        <w:t xml:space="preserve"> </w:t>
      </w:r>
      <w:r>
        <w:rPr>
          <w:iCs/>
          <w:i/>
        </w:rPr>
        <w:t xml:space="preserve">(pool 101.185 doanh nghiệp / 47 nền / 108 cặp); chúng sẽ đồng bộ về</w:t>
      </w:r>
      <w:r>
        <w:rPr>
          <w:iCs/>
          <w:i/>
        </w:rPr>
        <w:t xml:space="preserve"> </w:t>
      </w:r>
      <w:r>
        <w:rPr>
          <w:bCs/>
          <w:b/>
          <w:iCs/>
          <w:i/>
        </w:rPr>
        <w:t xml:space="preserve">khung canonical 49 nền / 91.982 doanh nghiệp</w:t>
      </w:r>
      <w:r>
        <w:rPr>
          <w:iCs/>
          <w:i/>
        </w:rPr>
        <w:t xml:space="preserve"> </w:t>
      </w:r>
      <w:r>
        <w:rPr>
          <w:iCs/>
          <w:i/>
        </w:rPr>
        <w:t xml:space="preserve">khi dựng lại pipeline raw đa biến (R&amp;D, đổi mới, tham nhũng, ngành chưa có trong master phân tích</w:t>
      </w:r>
      <w:r>
        <w:rPr>
          <w:iCs/>
          <w:i/>
        </w:rPr>
        <w:t xml:space="preserve"> </w:t>
      </w:r>
      <w:r>
        <w:rPr>
          <w:rStyle w:val="VerbatimChar"/>
          <w:iCs/>
          <w:i/>
        </w:rPr>
        <w:t xml:space="preserve">p7_pooled_clean.csv</w:t>
      </w:r>
      <w:r>
        <w:rPr>
          <w:iCs/>
          <w:i/>
        </w:rPr>
        <w:t xml:space="preserve">). Headline và khung phân loại của chuyên đề (Tóm tắt, §2.1, §2.2, Bảng 2.3.2.1) đã neo theo canonical.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13,4</w:t>
            </w:r>
          </w:p>
        </w:tc>
        <w:tc>
          <w:tcPr/>
          <w:p>
            <w:pPr>
              <w:pStyle w:val="Compact"/>
              <w:jc w:val="left"/>
            </w:pPr>
            <w:r>
              <w:t xml:space="preserve">28,4</w:t>
            </w:r>
          </w:p>
        </w:tc>
        <w:tc>
          <w:tcPr/>
          <w:p>
            <w:pPr>
              <w:pStyle w:val="Compact"/>
              <w:jc w:val="left"/>
            </w:pPr>
            <w:r>
              <w:t xml:space="preserve">3,0</w:t>
            </w:r>
          </w:p>
        </w:tc>
      </w:tr>
      <w:tr>
        <w:tc>
          <w:tcPr/>
          <w:p>
            <w:pPr>
              <w:pStyle w:val="Compact"/>
              <w:jc w:val="left"/>
            </w:pPr>
            <w:r>
              <w:t xml:space="preserve">II — Adv. tài nguyên¹</w:t>
            </w:r>
          </w:p>
        </w:tc>
        <w:tc>
          <w:tcPr/>
          <w:p>
            <w:pPr>
              <w:pStyle w:val="Compact"/>
              <w:jc w:val="left"/>
            </w:pPr>
            <w:r>
              <w:t xml:space="preserve">3,5</w:t>
            </w:r>
          </w:p>
        </w:tc>
        <w:tc>
          <w:tcPr/>
          <w:p>
            <w:pPr>
              <w:pStyle w:val="Compact"/>
              <w:jc w:val="left"/>
            </w:pPr>
            <w:r>
              <w:t xml:space="preserve">11,2</w:t>
            </w:r>
          </w:p>
        </w:tc>
        <w:tc>
          <w:tcPr/>
          <w:p>
            <w:pPr>
              <w:pStyle w:val="Compact"/>
              <w:jc w:val="left"/>
            </w:pPr>
            <w:r>
              <w:t xml:space="preserve">3,4</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17,9</w:t>
            </w:r>
          </w:p>
        </w:tc>
        <w:tc>
          <w:tcPr/>
          <w:p>
            <w:pPr>
              <w:pStyle w:val="Compact"/>
              <w:jc w:val="left"/>
            </w:pPr>
            <w:r>
              <w:t xml:space="preserve">4,7</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tái tính từ raw WBES trên khung 49 nền, dedupe theo nước-năm (</w:t>
      </w:r>
      <w:r>
        <w:rPr>
          <w:rStyle w:val="VerbatimChar"/>
          <w:iCs/>
          <w:i/>
        </w:rPr>
        <w:t xml:space="preserve">scripts/cd1_descriptives_pipeline.py</w:t>
      </w:r>
      <w:r>
        <w:rPr>
          <w:iCs/>
          <w:i/>
        </w:rPr>
        <w:t xml:space="preserve">; kết quả</w:t>
      </w:r>
      <w:r>
        <w:rPr>
          <w:iCs/>
          <w:i/>
        </w:rPr>
        <w:t xml:space="preserve"> </w:t>
      </w:r>
      <w:r>
        <w:rPr>
          <w:rStyle w:val="VerbatimChar"/>
          <w:iCs/>
          <w:i/>
        </w:rPr>
        <w:t xml:space="preserve">data_wbes/analysis/CD1_PIPELINE_RESULTS.md</w:t>
      </w:r>
      <w:r>
        <w:rPr>
          <w:iCs/>
          <w:i/>
        </w:rPr>
        <w:t xml:space="preserve">). ¹Nhóm II: 5/6 nền GCC (Bahrain, Brunei, Kuwait, Qatar, Saudi Arabia) — chỉ thiếu Oman (chỉ có bản 2003 dùng bộ biến cũ). ²Nhóm VI:</w:t>
      </w:r>
      <w:r>
        <w:rPr>
          <w:iCs/>
          <w:i/>
        </w:rPr>
        <w:t xml:space="preserve"> </w:t>
      </w:r>
      <w:r>
        <w:rPr>
          <w:bCs/>
          <w:b/>
          <w:iCs/>
          <w:i/>
        </w:rPr>
        <w:t xml:space="preserve">đủ 8/8 nền</w:t>
      </w:r>
      <w:r>
        <w:rPr>
          <w:iCs/>
          <w:i/>
        </w:rPr>
        <w:t xml:space="preserve"> </w:t>
      </w:r>
      <w:r>
        <w:rPr>
          <w:iCs/>
          <w:i/>
        </w:rPr>
        <w:t xml:space="preserve">(7 Pacific + Timor-Leste; 2.295 DN). Bản khóa mô tả 7-Pacific trước đây: 6,3% / 16,3% / CAGR 5,77.</w:t>
      </w:r>
    </w:p>
    <w:p>
      <w:pPr>
        <w:pStyle w:val="BodyText"/>
      </w:pPr>
      <w:r>
        <w:t xml:space="preserve">Trung vị FSTS bằng 0% — phân phối phân cực mạnh với chỉ khoảng 10–28% doanh nghiệp tham gia xuất khẩu tùy theo nhóm (cao nhất ở Nhóm I, thấp nhất ở Nhóm VI). Theo bản khóa mô tả 7-Pacific, SIDS có tốc độ tăng trưởng việc làm hàng năm kép cao nhất (5,77%), phản ánh quy mô nhỏ và tăng trưởng từ nền thấp. Nhóm I và III có FSTS cao nhất (13,4% và 10,3%) nhưng cơ chế xuất khẩu khác nhau: Nhóm I chủ yếu dịch vụ và hàng hóa hàm lượng tri thức cao; Nhóm III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7,7</w:t>
            </w:r>
          </w:p>
        </w:tc>
        <w:tc>
          <w:tcPr/>
          <w:p>
            <w:pPr>
              <w:pStyle w:val="Compact"/>
              <w:jc w:val="left"/>
            </w:pPr>
            <w:r>
              <w:t xml:space="preserve">6,1</w:t>
            </w:r>
          </w:p>
        </w:tc>
        <w:tc>
          <w:tcPr/>
          <w:p>
            <w:pPr>
              <w:pStyle w:val="Compact"/>
              <w:jc w:val="left"/>
            </w:pPr>
            <w:r>
              <w:t xml:space="preserve">14,4</w:t>
            </w:r>
          </w:p>
        </w:tc>
        <w:tc>
          <w:tcPr/>
          <w:p>
            <w:pPr>
              <w:pStyle w:val="Compact"/>
              <w:jc w:val="left"/>
            </w:pPr>
            <w:r>
              <w:t xml:space="preserve">49,7</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23,8</w:t>
            </w:r>
          </w:p>
        </w:tc>
        <w:tc>
          <w:tcPr/>
          <w:p>
            <w:pPr>
              <w:pStyle w:val="Compact"/>
              <w:jc w:val="left"/>
            </w:pPr>
            <w:r>
              <w:t xml:space="preserve">15,9</w:t>
            </w:r>
          </w:p>
        </w:tc>
        <w:tc>
          <w:tcPr/>
          <w:p>
            <w:pPr>
              <w:pStyle w:val="Compact"/>
              <w:jc w:val="left"/>
            </w:pPr>
            <w:r>
              <w:t xml:space="preserve">15,9</w:t>
            </w:r>
          </w:p>
        </w:tc>
        <w:tc>
          <w:tcPr/>
          <w:p>
            <w:pPr>
              <w:pStyle w:val="Compact"/>
              <w:jc w:val="left"/>
            </w:pPr>
            <w:r>
              <w:t xml:space="preserve">12,3</w:t>
            </w:r>
          </w:p>
        </w:tc>
        <w:tc>
          <w:tcPr/>
          <w:p>
            <w:pPr>
              <w:pStyle w:val="Compact"/>
              <w:jc w:val="left"/>
            </w:pPr>
            <w:r>
              <w:t xml:space="preserve">39,8</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tính từ raw WBES, khung 49 nền, dedupe nước-năm (h1/h5/h8/b8/c22b). ¹Nhóm II:</w:t>
      </w:r>
      <w:r>
        <w:rPr>
          <w:iCs/>
          <w:i/>
        </w:rPr>
        <w:t xml:space="preserve"> </w:t>
      </w:r>
      <w:r>
        <w:rPr>
          <w:bCs/>
          <w:b/>
          <w:iCs/>
          <w:i/>
        </w:rPr>
        <w:t xml:space="preserve">5/6 nền GCC</w:t>
      </w:r>
      <w:r>
        <w:rPr>
          <w:iCs/>
          <w:i/>
        </w:rPr>
        <w:t xml:space="preserve"> </w:t>
      </w:r>
      <w:r>
        <w:rPr>
          <w:iCs/>
          <w:i/>
        </w:rPr>
        <w:t xml:space="preserve">(số THẬT, thay artifact 2-nền trước đây) — đặc trưng dầu mỏ: R&amp;D thấp (6,1%), nữ quản lý cấp cao rất thấp (4,0%), website 49,7%. ²Nhóm VI:</w:t>
      </w:r>
      <w:r>
        <w:rPr>
          <w:iCs/>
          <w:i/>
        </w:rPr>
        <w:t xml:space="preserve"> </w:t>
      </w:r>
      <w:r>
        <w:rPr>
          <w:bCs/>
          <w:b/>
          <w:iCs/>
          <w:i/>
        </w:rPr>
        <w:t xml:space="preserve">đủ 8/8 nền</w:t>
      </w:r>
      <w:r>
        <w:rPr>
          <w:iCs/>
          <w:i/>
        </w:rPr>
        <w:t xml:space="preserve"> </w:t>
      </w:r>
      <w:r>
        <w:rPr>
          <w:iCs/>
          <w:i/>
        </w:rPr>
        <w:t xml:space="preserve">— đổi mới sản phẩm CAO NHẤT mọi nhóm (34,2%) và website 41,5%,</w:t>
      </w:r>
      <w:r>
        <w:rPr>
          <w:iCs/>
          <w:i/>
        </w:rPr>
        <w:t xml:space="preserve"> </w:t>
      </w:r>
      <w:r>
        <w:rPr>
          <w:bCs/>
          <w:b/>
          <w:iCs/>
          <w:i/>
        </w:rPr>
        <w:t xml:space="preserve">XÁC NHẬN</w:t>
      </w:r>
      <w:r>
        <w:rPr>
          <w:iCs/>
          <w:i/>
        </w:rPr>
        <w:t xml:space="preserve"> </w:t>
      </w:r>
      <w:r>
        <w:rPr>
          <w:iCs/>
          <w:i/>
        </w:rPr>
        <w:t xml:space="preserve">pattern</w:t>
      </w:r>
      <w:r>
        <w:rPr>
          <w:iCs/>
          <w:i/>
        </w:rPr>
        <w:t xml:space="preserve"> </w:t>
      </w:r>
      <w:r>
        <w:rPr>
          <w:iCs/>
          <w:i/>
        </w:rPr>
        <w:t xml:space="preserve">“</w:t>
      </w:r>
      <w:r>
        <w:rPr>
          <w:iCs/>
          <w:i/>
        </w:rPr>
        <w:t xml:space="preserve">thích nghi &amp; nhảy vọt số</w:t>
      </w:r>
      <w:r>
        <w:rPr>
          <w:iCs/>
          <w:i/>
        </w:rPr>
        <w:t xml:space="preserve">”</w:t>
      </w:r>
      <w:r>
        <w:rPr>
          <w:iCs/>
          <w:i/>
        </w:rPr>
        <w:t xml:space="preserve"> </w:t>
      </w:r>
      <w:r>
        <w:rPr>
          <w:iCs/>
          <w:i/>
        </w:rPr>
        <w:t xml:space="preserve">của SIDS bằng dữ liệu đầy đủ (bản khóa 7-Pacific trước đây ước 41,5%/58,9%).</w:t>
      </w:r>
    </w:p>
    <w:p>
      <w:pPr>
        <w:pStyle w:val="BodyText"/>
      </w:pPr>
      <w:r>
        <w:t xml:space="preserve">Với dữ liệu raw đầy đủ 8/8 nền Nhóm VI, SIDS thể hiện pattern</w:t>
      </w:r>
      <w:r>
        <w:t xml:space="preserve"> </w:t>
      </w:r>
      <w:r>
        <w:rPr>
          <w:bCs/>
          <w:b/>
        </w:rPr>
        <w:t xml:space="preserve">thích nghi và nhảy vọt số</w:t>
      </w:r>
      <w:r>
        <w:t xml:space="preserve"> </w:t>
      </w:r>
      <w:r>
        <w:t xml:space="preserve">đã được XÁC NHẬN: tỷ lệ đổi mới sản phẩm</w:t>
      </w:r>
      <w:r>
        <w:t xml:space="preserve"> </w:t>
      </w:r>
      <w:r>
        <w:rPr>
          <w:bCs/>
          <w:b/>
        </w:rPr>
        <w:t xml:space="preserve">cao nhất mọi nhóm (34,2%)</w:t>
      </w:r>
      <w:r>
        <w:t xml:space="preserve"> </w:t>
      </w:r>
      <w:r>
        <w:t xml:space="preserve">phản ánh đổi mới bằng nguồn lực hạn chế — sáng tạo không chính thức bù đắp thiếu hụt nguồn lực; website 41,5% ngang nhóm Đang nổi dù GNI thấp hơn đáng kể. Gradient năng lực thể chế vẫn rõ ở các biến nền tảng: R&amp;D giảm từ 20,5% (Nhóm I) xuống 10,2% (Nhóm VI); ISO 35,0%→12,2%; website 61,7%→41,5%.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79,5</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II — Adv. tài nguyên¹</w:t>
            </w:r>
          </w:p>
        </w:tc>
        <w:tc>
          <w:tcPr/>
          <w:p>
            <w:pPr>
              <w:pStyle w:val="Compact"/>
              <w:jc w:val="left"/>
            </w:pPr>
            <w:r>
              <w:t xml:space="preserve">77,1</w:t>
            </w:r>
          </w:p>
        </w:tc>
        <w:tc>
          <w:tcPr/>
          <w:p>
            <w:pPr>
              <w:pStyle w:val="Compact"/>
              <w:jc w:val="left"/>
            </w:pPr>
            <w:r>
              <w:t xml:space="preserve">11,2</w:t>
            </w:r>
          </w:p>
        </w:tc>
        <w:tc>
          <w:tcPr/>
          <w:p>
            <w:pPr>
              <w:pStyle w:val="Compact"/>
              <w:jc w:val="left"/>
            </w:pPr>
            <w:r>
              <w:t xml:space="preserve">13,3</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85,7</w:t>
            </w:r>
          </w:p>
        </w:tc>
        <w:tc>
          <w:tcPr/>
          <w:p>
            <w:pPr>
              <w:pStyle w:val="Compact"/>
              <w:jc w:val="left"/>
            </w:pPr>
            <w:r>
              <w:t xml:space="preserve">17,9</w:t>
            </w:r>
          </w:p>
        </w:tc>
        <w:tc>
          <w:tcPr/>
          <w:p>
            <w:pPr>
              <w:pStyle w:val="Compact"/>
              <w:jc w:val="left"/>
            </w:pPr>
            <w:r>
              <w:t xml:space="preserve">7,5</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tái tính từ raw WBES, khung 49 nền, dedupe nước-năm (SME = &lt;100 lao động thường xuyên l1; FDI = sở hữu nước ngoài b2b ≥10%). ¹Nhóm II: 5/6 nền GCC (thiếu Oman vintage). ²Nhóm VI: đủ 8/8 nền — SME cao nhất (91,8%) và FDI cao (20,0%, do du lịch/viễn thông MNE); bản khóa 7-Pacific trước đây: SME 88,5%, FDI 23,5%.</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 Chuyển đổi TB-thấp (3,1%). SIDS có FDI cao (20,0% theo raw đủ 8 nền)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18d070c66c9c1e710d1010d38c650c342e9258f"/>
    <w:p>
      <w:pPr>
        <w:pStyle w:val="Heading4"/>
      </w:pPr>
      <w:r>
        <w:t xml:space="preserve">2.3.7.3 Việt Nam (n=2.958, 3 đợt khảo sát — mẫu phân tích P3)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559-mẫu-phân-tích-p5"/>
    <w:p>
      <w:pPr>
        <w:pStyle w:val="Heading4"/>
      </w:pPr>
      <w:r>
        <w:t xml:space="preserve">2.3.7.4 Trung Quốc (n=4.559 — mẫu phân tích P5)</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2.958</w:t>
            </w:r>
          </w:p>
        </w:tc>
        <w:tc>
          <w:tcPr/>
          <w:p>
            <w:pPr>
              <w:pStyle w:val="Compact"/>
              <w:jc w:val="left"/>
            </w:pPr>
            <w:r>
              <w:t xml:space="preserve">4.559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10–28% doanh nghiệp xuất khẩu tùy nhóm.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canonical 49 nền / 91.982 doanh nghiệp (pool phân loại 96.415 DN / 52 nền; pool mô tả CĐ1 101.185 DN / 47 nền)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khung canonical 49 nền kinh tế / 91.982 doanh nghiệp (pool phân loại 96.415 DN / 52 nền; phần thống kê mô tả §2.3.3–2.3.8 trên pool mô tả CĐ1 101.185 DN / 47 nền / 108 cặp),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2026-06-11T17:19:49Z</dcterms:created>
  <dcterms:modified xsi:type="dcterms:W3CDTF">2026-06-11T17:19:49Z</dcterms:modified>
</cp:coreProperties>
</file>

<file path=docProps/custom.xml><?xml version="1.0" encoding="utf-8"?>
<Properties xmlns="http://schemas.openxmlformats.org/officeDocument/2006/custom-properties" xmlns:vt="http://schemas.openxmlformats.org/officeDocument/2006/docPropsVTypes"/>
</file>