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2009–2025</w:t>
      </w:r>
      <w:r>
        <w:t xml:space="preserve">, mở rộng so sánh với các quốc đảo nhỏ đang phát triển (SIDS) Thái Bình Dương như trường hợp biên. Khung phân loại và phân tích được neo theo bản khóa canonical của luận án:</w:t>
      </w:r>
      <w:r>
        <w:t xml:space="preserve"> </w:t>
      </w:r>
      <w:r>
        <w:rPr>
          <w:bCs/>
          <w:b/>
        </w:rPr>
        <w:t xml:space="preserve">49 nền kinh tế</w:t>
      </w:r>
      <w:r>
        <w:t xml:space="preserve"> </w:t>
      </w:r>
      <w:r>
        <w:t xml:space="preserve">(khung phân tích 91.982 doanh nghiệp; pool phân loại 96.415 doanh nghiệp / 52 nền) với 6 phân nhóm con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của chuyên đề (Bảng 2.3.3–2.3.8) được trình bày trên</w:t>
      </w:r>
      <w:r>
        <w:t xml:space="preserve"> </w:t>
      </w:r>
      <w:r>
        <w:rPr>
          <w:bCs/>
          <w:b/>
        </w:rPr>
        <w:t xml:space="preserve">pool mô tả rộng hơn gồm 101.185 doanh nghiệp · 47 nền · 108 cặp quốc gia × năm · 14 mốc khảo sát</w:t>
      </w:r>
      <w:r>
        <w:t xml:space="preserve"> </w:t>
      </w:r>
      <w:r>
        <w:t xml:space="preserve">từ World Bank Enterprise Surveys (WBES) theo bản khóa mô tả CĐ1, kế thừa và mở rộng từ 17 nước châu Á mới nổi (~40.633 doanh nghiệp) đã được tác giả công bố trước đó (Đỗ &amp; Phan, 2026 — VEFR).</w:t>
      </w:r>
    </w:p>
    <w:p>
      <w:pPr>
        <w:pStyle w:val="BlockText"/>
      </w:pPr>
      <w:r>
        <w:rPr>
          <w:iCs/>
          <w:i/>
        </w:rPr>
        <w:t xml:space="preserve">Ghi chú dữ liệu: Headline của chuyên đề neo theo bản khóa canonical của luận án — 49 nền kinh tế (khung phân tích 91.982 doanh nghiệp; pool phân loại 96.415 doanh nghiệp / 52 nền) sau khi chuẩn hóa lại và xử lý trùng lặp dữ liệu panel; trường hợp biên SIDS gồm 7 nền kinh tế Thái Bình Dương. Riêng các bảng thống kê mô tả §2.3.3–2.3.8 (phân tán năng suất, FSTS, đổi mới, R&amp;D, tham nhũng, ngành) vẫn báo cáo trên</w:t>
      </w:r>
      <w:r>
        <w:rPr>
          <w:iCs/>
          <w:i/>
        </w:rPr>
        <w:t xml:space="preserve"> </w:t>
      </w:r>
      <w:r>
        <w:rPr>
          <w:bCs/>
          <w:b/>
          <w:iCs/>
          <w:i/>
        </w:rPr>
        <w:t xml:space="preserve">pool mô tả CĐ1 gồm 101.185 doanh nghiệp · 47 nền · 108 cặp</w:t>
      </w:r>
      <w:r>
        <w:rPr>
          <w:iCs/>
          <w:i/>
        </w:rPr>
        <w:t xml:space="preserve"> </w:t>
      </w:r>
      <w:r>
        <w:rPr>
          <w:iCs/>
          <w:i/>
        </w:rPr>
        <w:t xml:space="preserve">(102 cặp theo khung phân tích luận án) — đây là bản khóa mô tả riêng của chuyên đề, sẽ được đồng bộ về khung 49 nền / 91.982 khi dựng lại pipeline raw đa biến (R&amp;D, đổi mới, tham nhũng, ngành chưa có trong master phân tích).</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chi phí buộc phải quốc tế hóa</w:t>
      </w:r>
      <w:r>
        <w:t xml:space="preserve"> </w:t>
      </w:r>
      <w:r>
        <w:t xml:space="preserve">ở 7 SIDS Thái Bình Dương —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classification and analytic frame is anchored to the dissertation’s canonical lock:</w:t>
      </w:r>
      <w:r>
        <w:t xml:space="preserve"> </w:t>
      </w:r>
      <w:r>
        <w:rPr>
          <w:bCs/>
          <w:b/>
        </w:rPr>
        <w:t xml:space="preserve">49 economies</w:t>
      </w:r>
      <w:r>
        <w:t xml:space="preserve"> </w:t>
      </w:r>
      <w:r>
        <w:t xml:space="preserve">(analytic frame 91,982 firms; classification pool 96,415 firms / 52 economies) with six sub-regimes of ICRV (Institutional Context Regime Variation): Advanced innovation-driven, Advanced resource-driven, Upper-middle, Lower-middle transition, Emerging, and Pacific SIDS (boundary case extension). The essay’s descriptive analysis (Tables 2.3.3–2.3.8) is reported over a broader CĐ1 descriptive pool of</w:t>
      </w:r>
      <w:r>
        <w:t xml:space="preserve"> </w:t>
      </w:r>
      <w:r>
        <w:rPr>
          <w:bCs/>
          <w:b/>
        </w:rPr>
        <w:t xml:space="preserve">101,185 firms · 108 country-year pairs · 14 survey waves</w:t>
      </w:r>
      <w:r>
        <w:t xml:space="preserve"> </w:t>
      </w:r>
      <w:r>
        <w:t xml:space="preserve">from the World Bank Enterprise Surveys (WBES), building on and extending the 17-economy pool of emerging Asia (~40,633 firms) previously published by the author (Do &amp; Phan, 2026 — VEFR).</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(2009–2025)</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49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theo phân nhóm con thể chế</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 Δ điểm phần trăm 2018–2025 so với 2009–2012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Phân nhóm con Emerging — số liệu tổng hợp 2009–2025</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14 quốc gia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(n=101.185)</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mẫu 101.185 doanh nghiệp xuyên 17 năm (2009–2025)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5 phân nhóm con thể chế (Advanced tổng hợp I+II; n=101.185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theo 6 phân nhóm con (kernel density, n=101.185)</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2009–2012 vs 2018–2025 (Δ điểm phần trăm 5 chỉ số)</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phân nhóm con (n=101.185)</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Mongolia: Evolution 2009–2025 (4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giới-thiệu"/>
    <w:p>
      <w:pPr>
        <w:pStyle w:val="Heading2"/>
      </w:pPr>
      <w:r>
        <w:t xml:space="preserve">2.1 GIỚI THIỆU</w:t>
      </w:r>
    </w:p>
    <w:bookmarkStart w:id="27"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 đơn vị tế bào của nền kinh tế —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 7,0% (2027).</w:t>
      </w:r>
      <w:r>
        <w:t xml:space="preserve"> </w:t>
      </w:r>
      <w:r>
        <w:rPr>
          <w:bCs/>
          <w:b/>
        </w:rPr>
        <w:t xml:space="preserve">Lớp thứ bảy là bất định chính sách thuế quan Mỹ 2026</w:t>
      </w:r>
      <w:r>
        <w:t xml:space="preserve"> </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nằm</w:t>
      </w:r>
      <w:r>
        <w:t xml:space="preserve"> </w:t>
      </w:r>
      <w:r>
        <w:rPr>
          <w:iCs/>
          <w:i/>
        </w:rPr>
        <w:t xml:space="preserve">ngoài</w:t>
      </w:r>
      <w:r>
        <w:t xml:space="preserve"> </w:t>
      </w:r>
      <w:r>
        <w:t xml:space="preserve">cửa sổ dữ liệu phân tích của chuyên đề (2009–2025); chúng được nêu để định khung diễn giải vĩ mô và định hướng chính sách, chứ không phản ánh trong các thống kê mô tả — vốn được tính trên dữ liệu WBES đến hết 2025.</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 VEFR) đã mở rộng phạm vi WBES đến 17 nền kinh tế châu Á mới nổi với ~40.633 doanh nghiệp. Tuy nhiên, vẫn còn ít tổng hợp xuyên</w:t>
      </w:r>
      <w:r>
        <w:t xml:space="preserve"> </w:t>
      </w:r>
      <w:r>
        <w:rPr>
          <w:bCs/>
          <w:b/>
        </w:rPr>
        <w:t xml:space="preserve">49 nền kinh tế</w:t>
      </w:r>
      <w:r>
        <w:t xml:space="preserve"> </w:t>
      </w:r>
      <w:r>
        <w:t xml:space="preserve">(khung phân tích 91.982 doanh nghiệp; pool phân loại 96.415 DN / 52 nền) trên giai đoạn dài 2009–2025. Chuyên đề này lấp khoảng trống thực tiễn đó: headline neo theo bản khóa canonical 49 nền / 91.982 doanh nghiệp, trong khi phần thống kê mô tả §2.3.3–2.3.8 được tính trên</w:t>
      </w:r>
      <w:r>
        <w:t xml:space="preserve"> </w:t>
      </w:r>
      <w:r>
        <w:rPr>
          <w:bCs/>
          <w:b/>
        </w:rPr>
        <w:t xml:space="preserve">pool mô tả CĐ1 gồm 101.185 doanh nghiệp xuyên 47 nền × 108 cặp quốc gia × năm × 14 mốc khảo sát</w:t>
      </w:r>
      <w:r>
        <w:t xml:space="preserve"> </w:t>
      </w:r>
      <w:r>
        <w:t xml:space="preserve">— gấp ~2,5 lần phạm vi của Đỗ &amp; Phan (2026 — VEFR).</w:t>
      </w:r>
    </w:p>
    <w:p>
      <w:pPr>
        <w:pStyle w:val="BodyText"/>
      </w:pPr>
      <w:r>
        <w:rPr>
          <w:bCs/>
          <w:b/>
        </w:rPr>
        <w:t xml:space="preserve">Ẩn dụ minh họa —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 dẫn vào các luận điểm về điều kiện biên của mô hình U-curve và tiểu cảnh điển hình SIDS Pacific trong phần 2.3.</w:t>
      </w:r>
    </w:p>
    <w:bookmarkEnd w:id="27"/>
    <w:bookmarkStart w:id="28"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49 nền kinh tế châu Á và Thái Bình Dương</w:t>
      </w:r>
      <w:r>
        <w:t xml:space="preserve"> </w:t>
      </w:r>
      <w:r>
        <w:t xml:space="preserve">theo bản khóa canonical (khung phân tích 91.982 doanh nghiệp; pool phân loại 96.415 DN / 52 nền; phạm vi chính châu Á + SIDS Thái Bình Dương mở rộng trường hợp biên) trong giai đoạn</w:t>
      </w:r>
      <w:r>
        <w:t xml:space="preserve"> </w:t>
      </w:r>
      <w:r>
        <w:rPr>
          <w:bCs/>
          <w:b/>
        </w:rPr>
        <w:t xml:space="preserve">2009–2025</w:t>
      </w:r>
      <w:r>
        <w:t xml:space="preserve">. Các bảng thống kê mô tả §2.3.3–2.3.8 hiển thị theo pool mô tả CĐ1 (101.185 doanh nghiệp / 47 nền) — xem ghi chú dữ liệu ở Tóm tắt.</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văn liệu hiện hành;</w:t>
      </w:r>
    </w:p>
    <w:p>
      <w:pPr>
        <w:numPr>
          <w:ilvl w:val="0"/>
          <w:numId w:val="1005"/>
        </w:numPr>
        <w:pStyle w:val="Compact"/>
      </w:pPr>
      <w:r>
        <w:t xml:space="preserve">Đề xuất khung phân loại 6 phân nhóm con ICRV cho 49 nền kinh tế (khung phân tích; pool phân loại 52 nền);</w:t>
      </w:r>
    </w:p>
    <w:p>
      <w:pPr>
        <w:numPr>
          <w:ilvl w:val="0"/>
          <w:numId w:val="1005"/>
        </w:numPr>
        <w:pStyle w:val="Compact"/>
      </w:pPr>
      <w:r>
        <w:t xml:space="preserve">Phân tích thực trạng đa chiều hiệu quả doanh nghiệp ở 40 nước châu Á (phạm vi chính) và so sánh với 7 SIDS Pacific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 40 nước châu Á thuần</w:t>
      </w:r>
      <w:r>
        <w:t xml:space="preserve">:</w:t>
      </w:r>
      <w:r>
        <w:t xml:space="preserve"> </w:t>
      </w:r>
      <w:r>
        <w:t xml:space="preserve">-</w:t>
      </w:r>
      <w:r>
        <w:t xml:space="preserve"> </w:t>
      </w:r>
      <w:r>
        <w:rPr>
          <w:bCs/>
          <w:b/>
        </w:rPr>
        <w:t xml:space="preserve">(i) Advanced đổi mới sáng tạo dẫn dắt (5 nước)</w:t>
      </w:r>
      <w:r>
        <w:t xml:space="preserve">: Singapore, Hong Kong SAR, Hàn Quốc, Đài Loan, Israel.</w:t>
      </w:r>
      <w:r>
        <w:t xml:space="preserve"> </w:t>
      </w:r>
      <w:r>
        <w:t xml:space="preserve">-</w:t>
      </w:r>
      <w:r>
        <w:t xml:space="preserve"> </w:t>
      </w:r>
      <w:r>
        <w:rPr>
          <w:bCs/>
          <w:b/>
        </w:rPr>
        <w:t xml:space="preserve">(ii) Advanced tài nguyên dẫn dắt (5 nước)</w:t>
      </w:r>
      <w:r>
        <w:t xml:space="preserve">: Saudi Arabia, Qatar, Kuwait, Bahrain, Brunei.</w:t>
      </w:r>
      <w:r>
        <w:t xml:space="preserve"> </w:t>
      </w:r>
      <w:r>
        <w:t xml:space="preserve">-</w:t>
      </w:r>
      <w:r>
        <w:t xml:space="preserve"> </w:t>
      </w:r>
      <w:r>
        <w:rPr>
          <w:bCs/>
          <w:b/>
        </w:rPr>
        <w:t xml:space="preserve">(iii) Trung bình cao — Upper-middle (6 nước)</w:t>
      </w:r>
      <w:r>
        <w:t xml:space="preserve">: Trung Quốc, Malaysia, Thái Lan, Kazakhstan, Armenia, Georgia.</w:t>
      </w:r>
      <w:r>
        <w:t xml:space="preserve"> </w:t>
      </w:r>
      <w:r>
        <w:t xml:space="preserve">-</w:t>
      </w:r>
      <w:r>
        <w:t xml:space="preserve"> </w:t>
      </w:r>
      <w:r>
        <w:rPr>
          <w:bCs/>
          <w:b/>
        </w:rPr>
        <w:t xml:space="preserve">(iv) Chuyển đổi TB–thấp —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crosswalk &amp; bản khóa:</w:t>
      </w:r>
      <w:r>
        <w:t xml:space="preserve"> </w:t>
      </w:r>
      <w:r>
        <w:t xml:space="preserve">Nhãn nhóm và thành viên trong §2.1.3 và Bảng 2.3.2.1 đã</w:t>
      </w:r>
      <w:r>
        <w:t xml:space="preserve"> </w:t>
      </w:r>
      <w:r>
        <w:rPr>
          <w:bCs/>
          <w:b/>
        </w:rPr>
        <w:t xml:space="preserve">căn theo nhãn dữ liệu</w:t>
      </w:r>
      <w:r>
        <w:rPr>
          <w:bCs/>
          <w:b/>
        </w:rPr>
        <w:t xml:space="preserve"> </w:t>
      </w:r>
      <w:r>
        <w:rPr>
          <w:rStyle w:val="VerbatimChar"/>
          <w:bCs/>
          <w:b/>
        </w:rPr>
        <w:t xml:space="preserve">icrv_label</w:t>
      </w:r>
      <w:r>
        <w:rPr>
          <w:bCs/>
          <w:b/>
        </w:rPr>
        <w:t xml:space="preserve"> </w:t>
      </w:r>
      <w:r>
        <w:rPr>
          <w:bCs/>
          <w:b/>
        </w:rPr>
        <w:t xml:space="preserve">P7</w:t>
      </w:r>
      <w:r>
        <w:t xml:space="preserve"> </w:t>
      </w:r>
      <w:r>
        <w:t xml:space="preserve">(đồng bộ Chuyên đề 2): Nhóm IV =</w:t>
      </w:r>
      <w:r>
        <w:t xml:space="preserve"> </w:t>
      </w:r>
      <w:r>
        <w:rPr>
          <w:rStyle w:val="VerbatimChar"/>
        </w:rPr>
        <w:t xml:space="preserve">Lower_mid_transition</w:t>
      </w:r>
      <w:r>
        <w:t xml:space="preserve">, Nhóm V =</w:t>
      </w:r>
      <w:r>
        <w:t xml:space="preserve"> </w:t>
      </w:r>
      <w:r>
        <w:rPr>
          <w:rStyle w:val="VerbatimChar"/>
        </w:rPr>
        <w:t xml:space="preserve">Emerging</w:t>
      </w:r>
      <w:r>
        <w:t xml:space="preserve">; hoán nhóm so với bản CĐ trước — Sri Lanka, Jordan → Nhóm V; Bangladesh, Pakistan → Nhóm IV; Timor-Leste → Nhóm VI.</w:t>
      </w:r>
      <w:r>
        <w:t xml:space="preserve"> </w:t>
      </w:r>
      <w:r>
        <w:rPr>
          <w:bCs/>
          <w:b/>
        </w:rPr>
        <w:t xml:space="preserve">Các bảng thống kê mô tả theo nhóm (§2.3.3–2.3.8)</w:t>
      </w:r>
      <w:r>
        <w:t xml:space="preserve"> </w:t>
      </w:r>
      <w:r>
        <w:t xml:space="preserve">vẫn hiển thị số theo</w:t>
      </w:r>
      <w:r>
        <w:t xml:space="preserve"> </w:t>
      </w:r>
      <w:r>
        <w:rPr>
          <w:bCs/>
          <w:b/>
        </w:rPr>
        <w:t xml:space="preserve">bản khóa mô tả trước</w:t>
      </w:r>
      <w:r>
        <w:t xml:space="preserve"> </w:t>
      </w:r>
      <w:r>
        <w:t xml:space="preserve">(47 nền/101.185 DN) để bảo toàn nhất quán nội bộ; pipeline raw đa biến</w:t>
      </w:r>
      <w:r>
        <w:t xml:space="preserve"> </w:t>
      </w:r>
      <w:r>
        <w:rPr>
          <w:bCs/>
          <w:b/>
        </w:rPr>
        <w:t xml:space="preserve">đã được dựng và chạy</w:t>
      </w:r>
      <w:r>
        <w:t xml:space="preserve"> </w:t>
      </w:r>
      <w:r>
        <w:t xml:space="preserve">(</w:t>
      </w:r>
      <w:r>
        <w:rPr>
          <w:rStyle w:val="VerbatimChar"/>
        </w:rPr>
        <w:t xml:space="preserve">scripts/cd1_descriptives_pipeline.py</w:t>
      </w:r>
      <w:r>
        <w:t xml:space="preserve">; kết quả tái tính tại</w:t>
      </w:r>
      <w:r>
        <w:t xml:space="preserve"> </w:t>
      </w:r>
      <w:r>
        <w:rPr>
          <w:rStyle w:val="VerbatimChar"/>
        </w:rPr>
        <w:t xml:space="preserve">data_wbes/analysis/CD1_PIPELINE_RESULTS.md</w:t>
      </w:r>
      <w:r>
        <w:t xml:space="preserve"> </w:t>
      </w:r>
      <w:r>
        <w:t xml:space="preserve">— coverage I/III/IV/V đủ, II và VI còn thiếu raw GCC + Pacific) và bảng sẽ được thay số theo từng nhóm khi tác giả duyệt. Phạm vi chính (40 nước) và Oman ở Nhóm II được đồng bộ ở đợt re-lock headline.</w:t>
      </w:r>
    </w:p>
    <w:p>
      <w:pPr>
        <w:pStyle w:val="FirstParagraph"/>
      </w:pPr>
      <w:r>
        <w:rPr>
          <w:bCs/>
          <w:b/>
        </w:rPr>
        <w:t xml:space="preserve">B. Trường hợp biên mở rộng — 7 SIDS Thái Bình Dương</w:t>
      </w:r>
      <w:r>
        <w:t xml:space="preserve"> </w:t>
      </w:r>
      <w:r>
        <w:t xml:space="preserve">(n=1.371, 1,4% pool): Fiji, Papua New Guinea, Solomon Islands, Tonga, Vanuatu, Samoa, Kiribati (2025).</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Ba thế hệ schema WBES: PICS3 (2009–2012, n=14.171), Standardized (2013–2017, n=24.564), BREADY/BEE/EAP Core (2018–2025, n=62.450).</w:t>
      </w:r>
    </w:p>
    <w:bookmarkEnd w:id="29"/>
    <w:bookmarkStart w:id="30"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49 nền kinh tế trong khung phân tích.</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 trọng số tối ưu có thể khác nhau giữa các nhóm ICRV.</w:t>
      </w:r>
    </w:p>
    <w:p>
      <w:pPr>
        <w:pStyle w:val="BodyText"/>
      </w:pPr>
      <w:r>
        <w:rPr>
          <w:bCs/>
          <w:b/>
        </w:rPr>
        <w:t xml:space="preserve">(4) Thiếu một số biến lãnh đạo trong các sóng khảo sát cũ</w:t>
      </w:r>
      <w:r>
        <w:t xml:space="preserve">: Biến kinh nghiệm quản lý và giới tính lãnh đạo không có đủ trong tất cả 14 sóng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6"/>
        </w:numPr>
      </w:pPr>
      <w:r>
        <w:rPr>
          <w:bCs/>
          <w:b/>
        </w:rPr>
        <w:t xml:space="preserve">Bức tranh thực trạng đa chiều</w:t>
      </w:r>
      <w:r>
        <w:t xml:space="preserve"> </w:t>
      </w:r>
      <w:r>
        <w:t xml:space="preserve">cho hiệu quả doanh nghiệp châu Á 2009–2025 — phạm vi rộng nhất trong văn liệu kinh doanh quốc tế hiện hành (Wu et al., 2022 dừng ở 2020; Arte &amp; Larimo, 2022 dừng ở 2019).</w:t>
      </w:r>
    </w:p>
    <w:p>
      <w:pPr>
        <w:numPr>
          <w:ilvl w:val="0"/>
          <w:numId w:val="1006"/>
        </w:numPr>
      </w:pPr>
      <w:r>
        <w:rPr>
          <w:bCs/>
          <w:b/>
        </w:rPr>
        <w:t xml:space="preserve">Phân nhóm con Advanced</w:t>
      </w:r>
      <w:r>
        <w:t xml:space="preserve"> </w:t>
      </w:r>
      <w:r>
        <w:t xml:space="preserve">(innovation-driven so với resource-driven) — phát hiện lý thuyết mới chưa có trong văn liệu hiện hành. Tỷ số phân tán Singapore (1,03) so với Vùng Vịnh (0,49) ≈ 2,1 lần phản ánh hai cơ chế tăng trưởng hoàn toàn khác nhau.</w:t>
      </w:r>
    </w:p>
    <w:p>
      <w:pPr>
        <w:numPr>
          <w:ilvl w:val="0"/>
          <w:numId w:val="1006"/>
        </w:numPr>
      </w:pPr>
      <w:r>
        <w:rPr>
          <w:bCs/>
          <w:b/>
        </w:rPr>
        <w:t xml:space="preserve">Nhảy vọt số</w:t>
      </w:r>
      <w:r>
        <w:t xml:space="preserve"> </w:t>
      </w:r>
      <w:r>
        <w:t xml:space="preserve">ở Frontier và Emerging châu Á 2018–2025 — mở rộng pattern từ 17 nước lên 47 nước. Phân tách Tier-1 (website nhị phân, đã bão hòa ở Advanced) và Tier-2 (tổng hợp đa thành phần, đang phát triển ở Emerging/Frontier). (Phạm vi mô tả ở §2.3.4 dựa trên pool mô tả CĐ1 101.185 DN / 47 nền.)</w:t>
      </w:r>
    </w:p>
    <w:p>
      <w:pPr>
        <w:numPr>
          <w:ilvl w:val="0"/>
          <w:numId w:val="1006"/>
        </w:numPr>
      </w:pPr>
      <w:r>
        <w:rPr>
          <w:bCs/>
          <w:b/>
        </w:rPr>
        <w:t xml:space="preserve">Bằng chứng cho khung lý thuyết phi tuyến và điều tiết đa tầng</w:t>
      </w:r>
      <w:r>
        <w:t xml:space="preserve"> </w:t>
      </w:r>
      <w:r>
        <w:t xml:space="preserve">— bốn lần đảo dấu xuyên phân nhóm con thể chế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7"/>
        </w:numPr>
        <w:pStyle w:val="Compact"/>
      </w:pPr>
      <w:r>
        <w:rPr>
          <w:bCs/>
          <w:b/>
        </w:rPr>
        <w:t xml:space="preserve">Chi phí buộc phải quốc tế hóa</w:t>
      </w:r>
      <w:r>
        <w:t xml:space="preserve"> </w:t>
      </w:r>
      <w:r>
        <w:t xml:space="preserve">ở 7 SIDS Thái Bình Dương (Briguglio, 1995; Bertram, 2006) — bằng chứng cấp doanh nghiệp đầu tiên trong văn liệu kinh doanh quốc tế. Kiribati 2025 là trường hợp cực đoan nhất với FSTS 1,03%, FDI 0,7%, website 18,7%.</w:t>
      </w:r>
    </w:p>
    <w:p>
      <w:r>
        <w:pict>
          <v:rect style="width:0;height:1.5pt" o:hralign="center" o:hrstd="t" o:hr="t"/>
        </w:pict>
      </w:r>
    </w:p>
    <w:bookmarkEnd w:id="31"/>
    <w:bookmarkEnd w:id="32"/>
    <w:bookmarkStart w:id="33"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 7 hình); (c) phân tích hai biến.</w:t>
      </w:r>
    </w:p>
    <w:p>
      <w:pPr>
        <w:pStyle w:val="BodyText"/>
      </w:pPr>
      <w:r>
        <w:rPr>
          <w:bCs/>
          <w:b/>
        </w:rPr>
        <w:t xml:space="preserve">Nguồn dữ liệu</w:t>
      </w:r>
      <w:r>
        <w:t xml:space="preserve">: World Bank Enterprise Surveys (WBES) — cơ sở dữ liệu vi mô doanh nghiệp cấp quốc gia lớn nhất toàn cầu, được thiết kế theo phương pháp lấy mẫu xác suất phân tầng đảm bảo tính đại diện (World Bank Enterprise Surveys, 2025). Khung phân loại/phân tích neo theo bản khóa canonical:</w:t>
      </w:r>
      <w:r>
        <w:t xml:space="preserve"> </w:t>
      </w:r>
      <w:r>
        <w:rPr>
          <w:bCs/>
          <w:b/>
        </w:rPr>
        <w:t xml:space="preserve">49 nền kinh tế</w:t>
      </w:r>
      <w:r>
        <w:t xml:space="preserve"> </w:t>
      </w:r>
      <w:r>
        <w:t xml:space="preserve">(khung phân tích 91.982 doanh nghiệp; pool phân loại 96.415 DN / 52 nền). Các bảng thống kê mô tả §2.3.3–2.3.8 dưới đây được tính trên</w:t>
      </w:r>
      <w:r>
        <w:t xml:space="preserve"> </w:t>
      </w:r>
      <w:r>
        <w:rPr>
          <w:bCs/>
          <w:b/>
        </w:rPr>
        <w:t xml:space="preserve">pool mô tả CĐ1 gồm 101.185 doanh nghiệp, 47 nền, 108 cặp quốc gia × năm, 14 sóng khảo sát, 2009–2025</w:t>
      </w:r>
      <w:r>
        <w:t xml:space="preserve"> </w:t>
      </w:r>
      <w:r>
        <w:t xml:space="preserve">(bản khóa mô tả riêng — xem ghi chú dữ liệu ở Tóm tắt).</w:t>
      </w:r>
    </w:p>
    <w:p>
      <w:pPr>
        <w:pStyle w:val="BodyText"/>
      </w:pPr>
      <w:r>
        <w:rPr>
          <w:bCs/>
          <w:b/>
        </w:rPr>
        <w:t xml:space="preserve">Các biến đo lường chính</w:t>
      </w:r>
      <w:r>
        <w:t xml:space="preserve">:</w:t>
      </w:r>
    </w:p>
    <w:p>
      <w:pPr>
        <w:numPr>
          <w:ilvl w:val="0"/>
          <w:numId w:val="1008"/>
        </w:numPr>
      </w:pPr>
      <w:r>
        <w:rPr>
          <w:bCs/>
          <w:b/>
        </w:rPr>
        <w:t xml:space="preserve">Biến năng suất lao động (LP)</w:t>
      </w:r>
      <w:r>
        <w:t xml:space="preserve">:</w:t>
      </w:r>
      <w:r>
        <w:t xml:space="preserve"> </w:t>
      </w:r>
      <w:r>
        <w:rPr>
          <w:rStyle w:val="VerbatimChar"/>
        </w:rPr>
        <w:t xml:space="preserve">LP = ln(doanh thu bán hàng hàng năm PPP / số lao động toàn thời gian)</w:t>
      </w:r>
      <w:r>
        <w:t xml:space="preserve">. Giá trị LP được winsorize ở mức 1/99 phân vị trong cụm quốc gia × năm để kiểm soát ngoại lai, và được điều chỉnh theo sức mua tương đương (PPP) nhằm đảm bảo tính so sánh xuyên quốc gia.</w:t>
      </w:r>
    </w:p>
    <w:p>
      <w:pPr>
        <w:numPr>
          <w:ilvl w:val="0"/>
          <w:numId w:val="1008"/>
        </w:numPr>
      </w:pPr>
      <w:r>
        <w:rPr>
          <w:bCs/>
          <w:b/>
        </w:rPr>
        <w:t xml:space="preserve">Biến FSTS (Foreign Trade Sales to Total Sales)</w:t>
      </w:r>
      <w:r>
        <w:t xml:space="preserve">:</w:t>
      </w:r>
      <w:r>
        <w:t xml:space="preserve"> </w:t>
      </w:r>
      <w:r>
        <w:rPr>
          <w:rStyle w:val="VerbatimChar"/>
        </w:rPr>
        <w:t xml:space="preserve">FSTS = (d3b + d3c) / 100</w:t>
      </w:r>
      <w:r>
        <w:t xml:space="preserve">, trong đó d3b là tỷ lệ doanh thu xuất khẩu trực tiếp và d3c là tỷ lệ doanh thu xuất khẩu gián tiếp. Quan sát thiếu FSTS được gán bằng 0 nếu doanh nghiệp không xuất khẩu (d3a =</w:t>
      </w:r>
      <w:r>
        <w:t xml:space="preserve"> </w:t>
      </w:r>
      <w:r>
        <w:t xml:space="preserve">“</w:t>
      </w:r>
      <w:r>
        <w:t xml:space="preserve">Không</w:t>
      </w:r>
      <w:r>
        <w:t xml:space="preserve">”</w:t>
      </w:r>
      <w:r>
        <w:t xml:space="preserve">); gán missing nếu không trả lời.</w:t>
      </w:r>
    </w:p>
    <w:p>
      <w:pPr>
        <w:numPr>
          <w:ilvl w:val="0"/>
          <w:numId w:val="1008"/>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w:t>
      </w:r>
    </w:p>
    <w:p>
      <w:pPr>
        <w:numPr>
          <w:ilvl w:val="0"/>
          <w:numId w:val="1008"/>
        </w:numPr>
      </w:pPr>
      <w:r>
        <w:rPr>
          <w:bCs/>
          <w:b/>
        </w:rPr>
        <w:t xml:space="preserve">Biến DAI (Digital Adoption Index)</w:t>
      </w:r>
      <w:r>
        <w:t xml:space="preserve">: Spec 1 (toàn bộ 2009–2025): website nhị phân (c22b/e8) —</w:t>
      </w:r>
      <w:r>
        <w:t xml:space="preserve"> </w:t>
      </w:r>
      <w:r>
        <w:rPr>
          <w:bCs/>
          <w:b/>
        </w:rPr>
        <w:t xml:space="preserve">Tier-1 Sự hiện diện số cơ bản</w:t>
      </w:r>
      <w:r>
        <w:t xml:space="preserve">. Spec 2 (BREADY 2018+ trở lên): tổng hợp chuẩn hóa z website + cường độ thanh toán điện tử (k33/k38) —</w:t>
      </w:r>
      <w:r>
        <w:t xml:space="preserve"> </w:t>
      </w:r>
      <w:r>
        <w:rPr>
          <w:bCs/>
          <w:b/>
        </w:rPr>
        <w:t xml:space="preserve">Tier-2 Chuyển đổi số cơ bản</w:t>
      </w:r>
      <w:r>
        <w:t xml:space="preserve">.</w:t>
      </w:r>
    </w:p>
    <w:p>
      <w:pPr>
        <w:pStyle w:val="FirstParagraph"/>
      </w:pPr>
      <w:r>
        <w:rPr>
          <w:bCs/>
          <w:b/>
        </w:rPr>
        <w:t xml:space="preserve">Hài hòa hóa xuyên ba thế hệ schema</w:t>
      </w:r>
      <w:r>
        <w:t xml:space="preserve">: World Bank Enterprise Surveys trải qua ba thế hệ schema trong giai đoạn nghiên cứu. Thế hệ 1 — PICS3/MENA-WBES (2009–2012, n=14.171): bảng hỏi PICS3 cho khu vực Đông Nam Á và Trung Á. Thế hệ 2 — Standardized (2013–2017, n=24.564): áp dụng đồng nhất xuyên toàn cầu từ 2013. Thế hệ 3 — BREADY/BEE/EAP Core (2018–2025, n=62.450):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7,7%→2,7% trong đợt 2025.</w:t>
      </w:r>
    </w:p>
    <w:p>
      <w:pPr>
        <w:pStyle w:val="BodyText"/>
      </w:pPr>
      <w:r>
        <w:rPr>
          <w:bCs/>
          <w:b/>
        </w:rPr>
        <w:t xml:space="preserve">Nguyên tắc minh bạch dữ liệu</w:t>
      </w:r>
      <w:r>
        <w:t xml:space="preserve"> </w:t>
      </w:r>
      <w:r>
        <w:t xml:space="preserve">(Aguinis et al., 2019): chuyên đề trình bày rõ (i) định nghĩa tổng thể (khung canonical 49 nền kinh tế châu Á và Thái Bình Dương; pool mô tả CĐ1 cho thống kê §2.3.3–2.3.8 gồm 47 nền, phân tách 40 và 7); (ii) quy trình lấy mẫu (lấy mẫu chính thức WBES); (iii) lý giải quy mô mẫu (khung phân tích 91.982 DN; pool phân loại 96.415 DN; pool mô tả CĐ1 101.185);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w:t>
      </w:r>
    </w:p>
    <w:p>
      <w:pPr>
        <w:pStyle w:val="BodyText"/>
      </w:pPr>
      <w:r>
        <w:rPr>
          <w:bCs/>
          <w:b/>
        </w:rPr>
        <w:t xml:space="preserve">Hệ thống phòng thủ ba tầng cho đứt gãy schema BREADY 2025</w:t>
      </w:r>
      <w:r>
        <w:t xml:space="preserve">: Đợt 2025 (n=17.053 doanh nghiệp, 16,9% pool; bao gồm Nepal 2025 BREADY Micro n=1.740)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 chạy hồi quy với dữ liệu đến 2024, khóa hệ số, kiểm định ổn định với dữ liệu đầy đủ bằng Chow test; (3c) panel hậu đại dịch độc lập — tách 2025 thành tập xác thực ngoài mẫu cho kỷ nguyên hậu COVID và AI.</w:t>
      </w:r>
    </w:p>
    <w:p>
      <w:r>
        <w:pict>
          <v:rect style="width:0;height:1.5pt" o:hralign="center" o:hrstd="t" o:hr="t"/>
        </w:pict>
      </w:r>
    </w:p>
    <w:bookmarkEnd w:id="33"/>
    <w:bookmarkStart w:id="76" w:name="nội-dung-nghiên-cứu"/>
    <w:p>
      <w:pPr>
        <w:pStyle w:val="Heading2"/>
      </w:pPr>
      <w:r>
        <w:t xml:space="preserve">2.3 NỘI DUNG NGHIÊN CỨU</w:t>
      </w:r>
    </w:p>
    <w:bookmarkStart w:id="40" w:name="Xb7f628376877e6b3394a2ce7cb98209bea18ab9"/>
    <w:p>
      <w:pPr>
        <w:pStyle w:val="Heading3"/>
      </w:pPr>
      <w:r>
        <w:t xml:space="preserve">2.3.1 Cơ sở lý luận về hiệu quả hoạt động kinh doanh</w:t>
      </w:r>
    </w:p>
    <w:bookmarkStart w:id="34"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w:t>
      </w:r>
      <w:r>
        <w:t xml:space="preserve">— doanh thu, lợi nhuận, tỷ suất sinh lợi; và (b)</w:t>
      </w:r>
      <w:r>
        <w:t xml:space="preserve"> </w:t>
      </w:r>
      <w:r>
        <w:rPr>
          <w:bCs/>
          <w:b/>
        </w:rPr>
        <w:t xml:space="preserve">hiệu quả hoạt động rộng hơn</w:t>
      </w:r>
      <w:r>
        <w:t xml:space="preserve"> </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văn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 vốn không cung cấp giá cổ phiếu nên loại trừ nhóm (ii), và có dữ liệu lợi nhuận thưa thớt làm hạn chế nhóm (i) —</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w:t>
      </w:r>
      <w:r>
        <w:t xml:space="preserve">— đo bằng giá trị gia tăng trên lao động hoặc doanh thu trên lao động —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nhằm đảm bảo tính so sánh xuyên quốc gia (World Bank Enterprise Surveys, 2025).</w:t>
      </w:r>
    </w:p>
    <w:bookmarkEnd w:id="34"/>
    <w:bookmarkStart w:id="35"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văn liệu quốc tế (Hsieh &amp; Klenow, 2009, 2014).</w:t>
      </w:r>
    </w:p>
    <w:p>
      <w:pPr>
        <w:pStyle w:val="BodyText"/>
      </w:pPr>
      <w:r>
        <w:rPr>
          <w:bCs/>
          <w:b/>
        </w:rPr>
        <w:t xml:space="preserve">Chiều 2 —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 chiều này mang tính hỗ trợ thay vì chủ đạo.</w:t>
      </w:r>
    </w:p>
    <w:p>
      <w:pPr>
        <w:pStyle w:val="BodyText"/>
      </w:pPr>
      <w:r>
        <w:rPr>
          <w:bCs/>
          <w:b/>
        </w:rPr>
        <w:t xml:space="preserve">Chiều 3 —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 quan trọng cho mục tiêu chính sách.</w:t>
      </w:r>
    </w:p>
    <w:p>
      <w:pPr>
        <w:pStyle w:val="BodyText"/>
      </w:pPr>
      <w:r>
        <w:rPr>
          <w:bCs/>
          <w:b/>
        </w:rPr>
        <w:t xml:space="preserve">Chiều 4 —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w:t>
      </w:r>
      <w:r>
        <w:t xml:space="preserve">— khả năng duy trì hiệu quả trong dài hạn qua đổi mới và nâng cấp công nghệ.</w:t>
      </w:r>
    </w:p>
    <w:bookmarkEnd w:id="35"/>
    <w:bookmarkStart w:id="36" w:name="X8ad5236bf72b29f6383edeb4ee3559473689f28"/>
    <w:p>
      <w:pPr>
        <w:pStyle w:val="Heading4"/>
      </w:pPr>
      <w:r>
        <w:t xml:space="preserve">2.3.1.3 Năm meta-analysis lớn về quan hệ quốc tế hóa – hiệu quả (1980–2024)</w:t>
      </w:r>
    </w:p>
    <w:p>
      <w:pPr>
        <w:pStyle w:val="FirstParagraph"/>
      </w:pPr>
      <w:r>
        <w:t xml:space="preserve">Văn liệu về 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154 mẫu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Xu và Yang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49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ba-khung-lý-thuyết-nền"/>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 nhưng cần Tier-2 để phát huy đầy đủ.</w:t>
      </w:r>
    </w:p>
    <w:p>
      <w:pPr>
        <w:pStyle w:val="BodyText"/>
      </w:pPr>
      <w:r>
        <w:rPr>
          <w:bCs/>
          <w:b/>
        </w:rPr>
        <w:t xml:space="preserve">Khung 2 —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 giải thích tại sao Advanced innovation-driven (ISO 29,9%, R&amp;D 16,7%)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 Lý thuyết thể chế</w:t>
      </w:r>
      <w:r>
        <w:t xml:space="preserve"> </w:t>
      </w:r>
      <w:r>
        <w:t xml:space="preserve">(North, 1990; Scott, 1995; Peng, 2001, 2003): Thể chế — luật pháp, chuẩn mực, quy tắc phi chính thức —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 lý giải tại sao quan hệ quốc tế hóa → hiệu quả không đồng nhất xuyên chế độ thể chế. Hàm ý: (a) bốn lần đảo dấu của hệ số FDI/FSTS/TCI/DAI xuyên 5 phân nhóm con ICRV (Bảng 2.3.8.1) là bằng chứng trực tiếp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 giải thích tại sao Việt Nam và Trung Quốc có gap lớn giữa hai tầng này; (c) khung ICRV 6 nhóm là sự vận hành hóa Lý thuyết thể chế theo hướng này.</w:t>
      </w:r>
    </w:p>
    <w:bookmarkEnd w:id="37"/>
    <w:bookmarkStart w:id="38"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 —</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 —</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Upper-middle —</w:t>
      </w:r>
      <w:r>
        <w:t xml:space="preserve"> </w:t>
      </w:r>
      <w:r>
        <w:rPr>
          <w:bCs/>
          <w:b/>
        </w:rPr>
        <w:t xml:space="preserve">không</w:t>
      </w:r>
      <w:r>
        <w:t xml:space="preserve"> </w:t>
      </w:r>
      <w:r>
        <w:t xml:space="preserve">thỏa mãn đầy đủ ở SIDS cô lập (Kiribati ISO 1,3%, FDI 0,7%) hay vùng xung đột Frontier; nhóm Emerging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w:t>
            </w:r>
          </w:p>
        </w:tc>
        <w:tc>
          <w:tcPr/>
          <w:p>
            <w:pPr>
              <w:pStyle w:val="Compact"/>
              <w:jc w:val="left"/>
            </w:pPr>
            <w:r>
              <w:t xml:space="preserve">U-curve vận hành nhưng có bẫy chuyển hướng nguồn lực —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không vận hành — quốc tế hóa là buộc phải; Fiji website 74,8% &gt; Singapore 66% là minh chứng</w:t>
            </w:r>
          </w:p>
        </w:tc>
      </w:tr>
    </w:tbl>
    <w:bookmarkEnd w:id="38"/>
    <w:bookmarkStart w:id="39"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2009–2025)</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Pool mô tả CĐ1 (101.185 doanh nghiệp WBES; khung phân tích canonical 91.982 DN / 49 nền) quan sát Tier 1–2, không Tier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 FDA)</w:t>
      </w:r>
      <w:r>
        <w:t xml:space="preserve">.</w:t>
      </w:r>
    </w:p>
    <w:p>
      <w:pPr>
        <w:pStyle w:val="BodyText"/>
      </w:pPr>
      <w:r>
        <w:rPr>
          <w:bCs/>
          <w:b/>
        </w:rPr>
        <w:t xml:space="preserve">Mô hình Năng lực số phụ thuộc bối cảnh (CDCM)</w:t>
      </w:r>
      <w:r>
        <w:t xml:space="preserve"> </w:t>
      </w:r>
      <w:r>
        <w:t xml:space="preserve">— hợp nhất bằng chứng Singapore và Việt Nam:</w:t>
      </w:r>
    </w:p>
    <w:p>
      <w:pPr>
        <w:pStyle w:val="BodyText"/>
      </w:pPr>
      <w:r>
        <w:rPr>
          <w:bCs/>
          <w:b/>
        </w:rPr>
        <w:t xml:space="preserve">(a) Hình dạng đường cong quốc tế hóa – hiệu quả</w:t>
      </w:r>
      <w:r>
        <w:t xml:space="preserve">: Việt Nam → U ngược, điểm uốn ≈ 39–46% FSTS; Singapore →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 nhất quán với diễn giải tại luận án Chương 4 §4.3.1).</w:t>
      </w:r>
    </w:p>
    <w:p>
      <w:pPr>
        <w:pStyle w:val="BodyText"/>
      </w:pPr>
      <w:r>
        <w:rPr>
          <w:bCs/>
          <w:b/>
        </w:rPr>
        <w:t xml:space="preserve">(b) Cơ chế DAI</w:t>
      </w:r>
      <w:r>
        <w:t xml:space="preserve">: Việt Nam (Tier 1 = website only) →</w:t>
      </w:r>
      <w:r>
        <w:t xml:space="preserve"> </w:t>
      </w:r>
      <w:r>
        <w:rPr>
          <w:bCs/>
          <w:b/>
        </w:rPr>
        <w:t xml:space="preserve">phụ thuộc giai đoạn</w:t>
      </w:r>
      <w:r>
        <w:t xml:space="preserve">: tương tác DAI×FSTS âm ở FSTS cao — Tier 1 trở thành điểm nghẽn. Singapore (Tier 1+2) →</w:t>
      </w:r>
      <w:r>
        <w:t xml:space="preserve"> </w:t>
      </w:r>
      <w:r>
        <w:rPr>
          <w:bCs/>
          <w:b/>
        </w:rPr>
        <w:t xml:space="preserve">mở rộng có điều kiện</w:t>
      </w:r>
      <w:r>
        <w:t xml:space="preserve">: tương tác DAI×FSTS² dương mạnh (β=3,119, p=0,005) — Tier 1+2 là đòn bẩy.</w:t>
      </w:r>
    </w:p>
    <w:p>
      <w:pPr>
        <w:pStyle w:val="BodyText"/>
      </w:pPr>
      <w:r>
        <w:rPr>
          <w:bCs/>
          <w:b/>
        </w:rPr>
        <w:t xml:space="preserve">(c) Vai trò TCI</w:t>
      </w:r>
      <w:r>
        <w:t xml:space="preserve">: Việt Nam —</w:t>
      </w:r>
      <w:r>
        <w:t xml:space="preserve"> </w:t>
      </w:r>
      <w:r>
        <w:rPr>
          <w:iCs/>
          <w:i/>
        </w:rPr>
        <w:t xml:space="preserve">lợi thế khan hiếm</w:t>
      </w:r>
      <w:r>
        <w:t xml:space="preserve"> </w:t>
      </w:r>
      <w:r>
        <w:t xml:space="preserve">(TCI z biến công cụ β=1,639, p&lt;0,001, ước lượng 2SLS vững). Singapore —</w:t>
      </w:r>
      <w:r>
        <w:t xml:space="preserve"> </w:t>
      </w:r>
      <w:r>
        <w:rPr>
          <w:iCs/>
          <w:i/>
        </w:rPr>
        <w:t xml:space="preserve">yếu tố vệ sinh</w:t>
      </w:r>
      <w:r>
        <w:t xml:space="preserve"> </w:t>
      </w:r>
      <w:r>
        <w:t xml:space="preserve">nâng sàn năng suất nhưng không điều tiết đường cong quốc tế hóa – hiệu quả.</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2.3.2 Khung phân loại thể chế ICRV</w:t>
            </w:r>
          </w:p>
        </w:tc>
      </w:tr>
      <w:tr>
        <w:tc>
          <w:tcPr/>
          <w:p>
            <w:pPr>
              <w:pStyle w:val="Compact"/>
              <w:jc w:val="left"/>
            </w:pPr>
            <w:r>
              <w:t xml:space="preserve">#### 2.3.2.1 Lý do phân loại</w:t>
            </w:r>
          </w:p>
        </w:tc>
      </w:tr>
      <w:tr>
        <w:tc>
          <w:tcPr/>
          <w:p>
            <w:pPr>
              <w:pStyle w:val="Compact"/>
              <w:jc w:val="left"/>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 nhưng không có nghiên cứu nào thiết lập hệ thống phân loại thể chế toàn diện cho 49 nền kinh tế châu Á (khung phân tích). Khung phân loại ICRV (Institutional Context Regime Variation — Biến thiên chế độ bối cảnh thể chế) được đề xuất trong chuyên đề này nhằm lấp khoảng trống đó, dựa trên bốn nguyên tắc:</w:t>
            </w:r>
          </w:p>
        </w:tc>
      </w:tr>
      <w:tr>
        <w:tc>
          <w:tcPr/>
          <w:p>
            <w:pPr>
              <w:pStyle w:val="Compact"/>
              <w:jc w:val="left"/>
            </w:pPr>
            <w:r>
              <w:t xml:space="preserve">(a)</w:t>
            </w:r>
            <w:r>
              <w:t xml:space="preserve"> </w:t>
            </w:r>
            <w:r>
              <w:rPr>
                <w:bCs/>
                <w:b/>
              </w:rPr>
              <w:t xml:space="preserve">Tính phân biệt</w:t>
            </w:r>
            <w:r>
              <w:t xml:space="preserve">: mỗi nhóm phải có mô hình hiệu quả doanh nghiệp khác biệt thực sự — không chỉ khác nhau về mức GDP bình quân đầu người;</w:t>
            </w:r>
          </w:p>
        </w:tc>
      </w:tr>
      <w:tr>
        <w:tc>
          <w:tcPr/>
          <w:p>
            <w:pPr>
              <w:pStyle w:val="Compact"/>
              <w:jc w:val="left"/>
            </w:pPr>
            <w:r>
              <w:t xml:space="preserve">(b)</w:t>
            </w:r>
            <w:r>
              <w:t xml:space="preserve"> </w:t>
            </w:r>
            <w:r>
              <w:rPr>
                <w:bCs/>
                <w:b/>
              </w:rPr>
              <w:t xml:space="preserve">Tính đại diện lý thuyết</w:t>
            </w:r>
            <w:r>
              <w:t xml:space="preserve">: phân loại phải phản ánh được các cơ chế thể chế khác nhau — thể chế đổi mới sáng tạo, thể chế tài nguyên, thể chế chuyển đổi, thể chế MIRAB — theo Varieties of Capitalism (Hall &amp; Soskice, 2001) và Lý thuyết thể chế (North, 1990);</w:t>
            </w:r>
          </w:p>
        </w:tc>
      </w:tr>
      <w:tr>
        <w:tc>
          <w:tcPr/>
          <w:p>
            <w:pPr>
              <w:pStyle w:val="Compact"/>
              <w:jc w:val="lef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tc>
      </w:tr>
      <w:tr>
        <w:tc>
          <w:tcPr/>
          <w:p>
            <w:pPr>
              <w:pStyle w:val="Compact"/>
              <w:jc w:val="left"/>
            </w:pPr>
            <w:r>
              <w:t xml:space="preserve">(d)</w:t>
            </w:r>
            <w:r>
              <w:t xml:space="preserve"> </w:t>
            </w:r>
            <w:r>
              <w:rPr>
                <w:bCs/>
                <w:b/>
              </w:rPr>
              <w:t xml:space="preserve">Tính minh bạch và tái tạo</w:t>
            </w:r>
            <w:r>
              <w:t xml:space="preserve">: tiêu chí phân loại phải rõ ràng và có thể áp dụng nhất quán.</w:t>
            </w:r>
          </w:p>
        </w:tc>
      </w:tr>
      <w:tr>
        <w:tc>
          <w:tcPr/>
          <w:p>
            <w:pPr>
              <w:pStyle w:val="Compact"/>
              <w:jc w:val="left"/>
            </w:pPr>
            <w:r>
              <w:t xml:space="preserve">#### 2.3.2.2 Tiêu chí phân loại sáu nhóm</w:t>
            </w:r>
          </w:p>
        </w:tc>
      </w:tr>
      <w:tr>
        <w:tc>
          <w:tcPr/>
          <w:p>
            <w:pPr>
              <w:pStyle w:val="Compact"/>
              <w:jc w:val="left"/>
            </w:pPr>
            <w:r>
              <w:rPr>
                <w:bCs/>
                <w:b/>
              </w:rPr>
              <w:t xml:space="preserve">Nhóm I — Advanced đổi mới sáng tạo dẫn dắt</w:t>
            </w:r>
            <w:r>
              <w:t xml:space="preserve">: WGI Rule of Law &gt;+0,80; GNI bình quân đầu người &gt;30.000 USD (phương pháp Atlas WB); GDP tăng trưởng dựa trên đổi mới công nghệ, dịch vụ tài chính và hàm lượng tri thức cao. Bằng chứng WBES: R&amp;D &gt;10%, ISO &gt;20%, độ lệch chuẩn log năng suất ~1,03 (đa dạng hóa).</w:t>
            </w:r>
          </w:p>
        </w:tc>
      </w:tr>
      <w:tr>
        <w:tc>
          <w:tcPr/>
          <w:p>
            <w:pPr>
              <w:pStyle w:val="Compact"/>
              <w:jc w:val="left"/>
            </w:pPr>
            <w:r>
              <w:rPr>
                <w:bCs/>
                <w:b/>
              </w:rPr>
              <w:t xml:space="preserve">Nhóm II — Advanced tài nguyên dẫn dắt</w:t>
            </w:r>
            <w:r>
              <w:t xml:space="preserve">: WGI Rule of Law trung bình (+0,00 → +0,50); GNI bình quân đầu người &gt;20.000 USD; GDP tăng trưởng dựa trên xuất khẩu tài nguyên thiên nhiên (dầu mỏ, khí đốt, khoáng sản). Bằng chứng WBES: FDI cao hướng khai thác tài nguyên, độ lệch chuẩn log năng suất thấp (~0,49 — đặc trưng nhà nước tô).</w:t>
            </w:r>
          </w:p>
        </w:tc>
      </w:tr>
      <w:tr>
        <w:tc>
          <w:tcPr/>
          <w:p>
            <w:pPr>
              <w:pStyle w:val="Compact"/>
              <w:jc w:val="left"/>
            </w:pPr>
            <w:r>
              <w:rPr>
                <w:bCs/>
                <w:b/>
              </w:rPr>
              <w:t xml:space="preserve">Nhóm III — Trung bình cao (Upper-middle)</w:t>
            </w:r>
            <w:r>
              <w:t xml:space="preserve">: WGI Rule of Law 0,00 → +0,80; GNI bình quân đầu người 5.000–20.000 USD; nền kinh tế chuyển đổi từ sản xuất sang dịch vụ, với R&amp;D đang tăng (đặc biệt Trung Quốc). Pattern WBES: FSTS sản xuất cao, R&amp;D tăng mạnh giai đoạn 2018–2025 (+21,5 điểm phần trăm).</w:t>
            </w:r>
          </w:p>
        </w:tc>
      </w:tr>
      <w:tr>
        <w:tc>
          <w:tcPr/>
          <w:p>
            <w:pPr>
              <w:pStyle w:val="Compact"/>
              <w:jc w:val="left"/>
            </w:pPr>
            <w:r>
              <w:rPr>
                <w:bCs/>
                <w:b/>
              </w:rPr>
              <w:t xml:space="preserve">Nhóm IV — Đang nổi (Emerging)</w:t>
            </w:r>
            <w:r>
              <w:t xml:space="preserve">: WGI Rule of Law -0,50 → 0,00; GNI bình quân đầu người 1.000–5.000 USD; tốc độ tăng trưởng cao nhưng gap de jure–de facto lớn (Xu, 2024); sản xuất FDI-driven dẫn dắt xuất khẩu. Pattern WBES: FSTS phân cực cao/thấp trong nội bộ nhóm; FDI thấp nhất (4,7%) do doanh nghiệp nội địa chi phối mẫu.</w:t>
            </w:r>
          </w:p>
        </w:tc>
      </w:tr>
      <w:tr>
        <w:tc>
          <w:tcPr/>
          <w:p>
            <w:pPr>
              <w:pStyle w:val="Compact"/>
              <w:jc w:val="left"/>
            </w:pPr>
            <w:r>
              <w:rPr>
                <w:bCs/>
                <w:b/>
              </w:rPr>
              <w:t xml:space="preserve">Nhóm V — Cận biên (Frontier)</w:t>
            </w:r>
            <w:r>
              <w:t xml:space="preserve">: WGI Rule of Law &lt; -0,50; GNI bình quân đầu người &lt;1.000 hoặc &lt;3.000 USD với voids thể chế lớn; nhiều nước đang qua giai đoạn xung đột hoặc chuyển đổi sau xung đột. Pattern WBES: phân tán năng suất cao nhất (độ lệch chuẩn log 1,36), R&amp;D thấp nhất, nhưng đổi mới sản phẩm cao (đổi mới bằng nguồn lực hạn chế).</w:t>
            </w:r>
          </w:p>
        </w:tc>
      </w:tr>
      <w:tr>
        <w:tc>
          <w:tcPr/>
          <w:p>
            <w:pPr>
              <w:pStyle w:val="Compact"/>
              <w:jc w:val="left"/>
            </w:pPr>
            <w:r>
              <w:rPr>
                <w:bCs/>
                <w:b/>
              </w:rPr>
              <w:t xml:space="preserve">Nhóm VI — SIDS Thái Bình Dương (Trường hợp biên mở rộng)</w:t>
            </w:r>
            <w:r>
              <w:t xml:space="preserve">: Dân số &lt;1 triệu; cô lập địa lý &gt;2.000 km từ hub thương mại; phụ thuộc ODA + remittances &gt; 20% GDP; mô hình MIRAB (Bertram, 2006). Pattern WBES: n=1.371 (1,4% pool); FDI cao nhất (23,5% — do MNE du lịch); đổi mới sản phẩm cao nhất (41,5% — đổi mới bằng nguồn lực hạn chế); website cao ngoại trừ Kiribati (18,7%).</w:t>
            </w:r>
          </w:p>
        </w:tc>
      </w:tr>
      <w:tr>
        <w:tc>
          <w:tcPr/>
          <w:p>
            <w:pPr>
              <w:pStyle w:val="Compact"/>
              <w:jc w:val="left"/>
            </w:pPr>
            <w:r>
              <w:t xml:space="preserve">#### 2.3.2.3 Danh sách 49 nền kinh tế theo nhóm ICRV (căn theo nhãn dữ liệu)</w:t>
            </w:r>
          </w:p>
        </w:tc>
      </w:tr>
      <w:tr>
        <w:tc>
          <w:tcPr/>
          <w:p>
            <w:pPr>
              <w:pStyle w:val="Compact"/>
              <w:jc w:val="left"/>
            </w:pPr>
            <w:r>
              <w:rPr>
                <w:bCs/>
                <w:b/>
              </w:rPr>
              <w:t xml:space="preserve">Bảng 2.3.2.1</w:t>
            </w:r>
            <w:r>
              <w:t xml:space="preserve">.</w:t>
            </w:r>
            <w:r>
              <w:t xml:space="preserve"> </w:t>
            </w:r>
            <w:r>
              <w:rPr>
                <w:iCs/>
                <w:i/>
              </w:rPr>
              <w:t xml:space="preserve">Phân loại 49 nền kinh tế vào 6 nhóm ICRV theo nhãn dữ liệu</w:t>
            </w:r>
            <w:r>
              <w:rPr>
                <w:iCs/>
                <w:i/>
              </w:rPr>
              <w:t xml:space="preserve"> </w:t>
            </w:r>
            <w:r>
              <w:rPr>
                <w:rStyle w:val="VerbatimChar"/>
                <w:iCs/>
                <w:i/>
              </w:rPr>
              <w:t xml:space="preserve">icrv_label</w:t>
            </w:r>
            <w:r>
              <w:rPr>
                <w:iCs/>
                <w:i/>
              </w:rPr>
              <w:t xml:space="preserve"> </w:t>
            </w:r>
            <w:r>
              <w:rPr>
                <w:iCs/>
                <w:i/>
              </w:rPr>
              <w:t xml:space="preserve">(P7) — đồng bộ với Chuyên đề 2 (Bảng 2.8).</w:t>
            </w:r>
          </w:p>
        </w:tc>
      </w:tr>
      <w:tr>
        <w:tc>
          <w:tcPr/>
          <w:p>
            <w:pPr>
              <w:pStyle w:val="Compact"/>
              <w:jc w:val="left"/>
            </w:pPr>
            <w:r>
              <w:t xml:space="preserve">| Nhóm ICRV (icrv_label) | Tên nhóm | Quốc gia | N doanh nghiệp |</w:t>
            </w:r>
            <w:r>
              <w:t xml:space="preserve"> </w:t>
            </w:r>
            <w:r>
              <w:t xml:space="preserve">|—|—|—|:–:|</w:t>
            </w:r>
            <w:r>
              <w:t xml:space="preserve"> </w:t>
            </w:r>
            <w:r>
              <w:t xml:space="preserve">|</w:t>
            </w:r>
            <w:r>
              <w:t xml:space="preserve"> </w:t>
            </w:r>
            <w:r>
              <w:rPr>
                <w:bCs/>
                <w:b/>
              </w:rPr>
              <w:t xml:space="preserve">I</w:t>
            </w:r>
            <w:r>
              <w:t xml:space="preserve"> </w:t>
            </w:r>
            <w:r>
              <w:t xml:space="preserve">—</w:t>
            </w:r>
            <w:r>
              <w:t xml:space="preserve"> </w:t>
            </w:r>
            <w:r>
              <w:rPr>
                <w:rStyle w:val="VerbatimChar"/>
              </w:rPr>
              <w:t xml:space="preserve">Advanced_innovation</w:t>
            </w:r>
            <w:r>
              <w:t xml:space="preserve"> </w:t>
            </w:r>
            <w:r>
              <w:t xml:space="preserve">| Advanced — đổi mới sáng tạo | Singapore, Hong Kong SAR, Hàn Quốc, Đài Loan, Israel | 4.222 |</w:t>
            </w:r>
            <w:r>
              <w:t xml:space="preserve"> </w:t>
            </w:r>
            <w:r>
              <w:t xml:space="preserve">|</w:t>
            </w:r>
            <w:r>
              <w:t xml:space="preserve"> </w:t>
            </w:r>
            <w:r>
              <w:rPr>
                <w:bCs/>
                <w:b/>
              </w:rPr>
              <w:t xml:space="preserve">II</w:t>
            </w:r>
            <w:r>
              <w:t xml:space="preserve"> </w:t>
            </w:r>
            <w:r>
              <w:t xml:space="preserve">—</w:t>
            </w:r>
            <w:r>
              <w:t xml:space="preserve"> </w:t>
            </w:r>
            <w:r>
              <w:rPr>
                <w:rStyle w:val="VerbatimChar"/>
              </w:rPr>
              <w:t xml:space="preserve">Advanced_resource</w:t>
            </w:r>
            <w:r>
              <w:t xml:space="preserve"> </w:t>
            </w:r>
            <w:r>
              <w:t xml:space="preserve">| Advanced — tài nguyên | Saudi Arabia, Qatar, Kuwait, Bahrain, Brunei, Oman | 2.269 |</w:t>
            </w:r>
            <w:r>
              <w:t xml:space="preserve"> </w:t>
            </w:r>
            <w:r>
              <w:t xml:space="preserve">|</w:t>
            </w:r>
            <w:r>
              <w:t xml:space="preserve"> </w:t>
            </w:r>
            <w:r>
              <w:rPr>
                <w:bCs/>
                <w:b/>
              </w:rPr>
              <w:t xml:space="preserve">III</w:t>
            </w:r>
            <w:r>
              <w:t xml:space="preserve"> </w:t>
            </w:r>
            <w:r>
              <w:t xml:space="preserve">—</w:t>
            </w:r>
            <w:r>
              <w:t xml:space="preserve"> </w:t>
            </w:r>
            <w:r>
              <w:rPr>
                <w:rStyle w:val="VerbatimChar"/>
              </w:rPr>
              <w:t xml:space="preserve">Upper_mid</w:t>
            </w:r>
            <w:r>
              <w:t xml:space="preserve"> </w:t>
            </w:r>
            <w:r>
              <w:t xml:space="preserve">| Trung bình cao | Trung Quốc, Malaysia, Thái Lan, Kazakhstan, Armenia, Georgia | 13.993 |</w:t>
            </w:r>
            <w:r>
              <w:t xml:space="preserve"> </w:t>
            </w:r>
            <w:r>
              <w:t xml:space="preserve">|</w:t>
            </w:r>
            <w:r>
              <w:t xml:space="preserve"> </w:t>
            </w:r>
            <w:r>
              <w:rPr>
                <w:bCs/>
                <w:b/>
              </w:rPr>
              <w:t xml:space="preserve">IV</w:t>
            </w:r>
            <w:r>
              <w:t xml:space="preserve"> </w:t>
            </w:r>
            <w:r>
              <w:t xml:space="preserve">—</w:t>
            </w:r>
            <w:r>
              <w:t xml:space="preserve"> </w:t>
            </w:r>
            <w:r>
              <w:rPr>
                <w:rStyle w:val="VerbatimChar"/>
              </w:rPr>
              <w:t xml:space="preserve">Lower_mid_transition</w:t>
            </w:r>
            <w:r>
              <w:t xml:space="preserve"> </w:t>
            </w:r>
            <w:r>
              <w:t xml:space="preserve">| Chuyển đổi thu nhập trung bình–thấp | Việt Nam, Ấn Độ, Indonesia, Philippines, Mông Cổ, Bangladesh, Pakistan | 50.926 |</w:t>
            </w:r>
            <w:r>
              <w:t xml:space="preserve"> </w:t>
            </w:r>
            <w:r>
              <w:t xml:space="preserve">|</w:t>
            </w:r>
            <w:r>
              <w:t xml:space="preserve"> </w:t>
            </w:r>
            <w:r>
              <w:rPr>
                <w:bCs/>
                <w:b/>
              </w:rPr>
              <w:t xml:space="preserve">V</w:t>
            </w:r>
            <w:r>
              <w:t xml:space="preserve"> </w:t>
            </w:r>
            <w:r>
              <w:t xml:space="preserve">—</w:t>
            </w:r>
            <w:r>
              <w:t xml:space="preserve"> </w:t>
            </w:r>
            <w:r>
              <w:rPr>
                <w:rStyle w:val="VerbatimChar"/>
              </w:rPr>
              <w:t xml:space="preserve">Emerging</w:t>
            </w:r>
            <w:r>
              <w:t xml:space="preserve"> </w:t>
            </w:r>
            <w:r>
              <w:t xml:space="preserve">| Đang nổi | Sri Lanka, Jordan, Lào, Campuchia, Myanmar, Nepal, Bhutan, Maldives, Uzbekistan, Tajikistan, Kyrgyzstan, Turkmenistan, Afghanistan, Azerbaijan, Iraq, Lebanon, Yemen (17 nước) | 18.569 |</w:t>
            </w:r>
            <w:r>
              <w:t xml:space="preserve"> </w:t>
            </w:r>
            <w:r>
              <w:t xml:space="preserve">|</w:t>
            </w:r>
            <w:r>
              <w:t xml:space="preserve"> </w:t>
            </w:r>
            <w:r>
              <w:rPr>
                <w:bCs/>
                <w:b/>
              </w:rPr>
              <w:t xml:space="preserve">VI</w:t>
            </w:r>
            <w:r>
              <w:t xml:space="preserve"> </w:t>
            </w:r>
            <w:r>
              <w:t xml:space="preserve">—</w:t>
            </w:r>
            <w:r>
              <w:t xml:space="preserve"> </w:t>
            </w:r>
            <w:r>
              <w:rPr>
                <w:rStyle w:val="VerbatimChar"/>
              </w:rPr>
              <w:t xml:space="preserve">SIDS_small</w:t>
            </w:r>
            <w:r>
              <w:t xml:space="preserve"> </w:t>
            </w:r>
            <w:r>
              <w:t xml:space="preserve">| SIDS (trường hợp biên) | Fiji, Kiribati, Papua New Guinea, Samoa, Solomon Islands, Tonga, Vanuatu, Timor-Leste | 1.885 |</w:t>
            </w:r>
            <w:r>
              <w:t xml:space="preserve"> </w:t>
            </w:r>
            <w:r>
              <w:t xml:space="preserve">|</w:t>
            </w:r>
            <w:r>
              <w:t xml:space="preserve"> </w:t>
            </w:r>
            <w:r>
              <w:rPr>
                <w:bCs/>
                <w:b/>
              </w:rPr>
              <w:t xml:space="preserve">Tổng</w:t>
            </w:r>
            <w:r>
              <w:t xml:space="preserve"> </w:t>
            </w:r>
            <w:r>
              <w:t xml:space="preserve">| |</w:t>
            </w:r>
            <w:r>
              <w:t xml:space="preserve"> </w:t>
            </w:r>
            <w:r>
              <w:rPr>
                <w:bCs/>
                <w:b/>
              </w:rPr>
              <w:t xml:space="preserve">49 nền kinh tế</w:t>
            </w:r>
            <w:r>
              <w:t xml:space="preserve"> </w:t>
            </w:r>
            <w:r>
              <w:t xml:space="preserve">|</w:t>
            </w:r>
            <w:r>
              <w:t xml:space="preserve"> </w:t>
            </w:r>
            <w:r>
              <w:rPr>
                <w:bCs/>
                <w:b/>
              </w:rPr>
              <w:t xml:space="preserve">91.864</w:t>
            </w:r>
            <w:r>
              <w:t xml:space="preserve"> </w:t>
            </w:r>
            <w:r>
              <w:t xml:space="preserve">(≈91.982 mẫu phân tích) |</w:t>
            </w:r>
          </w:p>
        </w:tc>
      </w:tr>
      <w:tr>
        <w:tc>
          <w:tcPr/>
          <w:p>
            <w:pPr>
              <w:pStyle w:val="Compact"/>
              <w:jc w:val="left"/>
            </w:pPr>
            <w:r>
              <w:rPr>
                <w:iCs/>
                <w:i/>
              </w:rPr>
              <w:t xml:space="preserve">Ghi chú: Bảng phân loại theo nhãn dữ liệu</w:t>
            </w:r>
            <w:r>
              <w:rPr>
                <w:iCs/>
                <w:i/>
              </w:rPr>
              <w:t xml:space="preserve"> </w:t>
            </w:r>
            <w:r>
              <w:rPr>
                <w:rStyle w:val="VerbatimChar"/>
                <w:iCs/>
                <w:i/>
              </w:rPr>
              <w:t xml:space="preserve">icrv_label</w:t>
            </w:r>
            <w:r>
              <w:rPr>
                <w:iCs/>
                <w:i/>
              </w:rPr>
              <w:t xml:space="preserve"> </w:t>
            </w:r>
            <w:r>
              <w:rPr>
                <w:iCs/>
                <w:i/>
              </w:rPr>
              <w:t xml:space="preserve">P7,</w:t>
            </w:r>
            <w:r>
              <w:rPr>
                <w:iCs/>
                <w:i/>
              </w:rPr>
              <w:t xml:space="preserve"> </w:t>
            </w:r>
            <w:r>
              <w:rPr>
                <w:bCs/>
                <w:b/>
                <w:iCs/>
                <w:i/>
              </w:rPr>
              <w:t xml:space="preserve">đồng bộ Chuyên đề 2 (Bảng 2.8)</w:t>
            </w:r>
            <w:r>
              <w:rPr>
                <w:iCs/>
                <w:i/>
              </w:rPr>
              <w:t xml:space="preserve">. Tên đã căn theo nhãn dữ liệu: Nhóm IV</w:t>
            </w:r>
            <w:r>
              <w:rPr>
                <w:iCs/>
                <w:i/>
              </w:rPr>
              <w:t xml:space="preserve"> </w:t>
            </w:r>
            <w:r>
              <w:rPr>
                <w:rStyle w:val="VerbatimChar"/>
                <w:iCs/>
                <w:i/>
              </w:rPr>
              <w:t xml:space="preserve">Lower_mid_transition</w:t>
            </w:r>
            <w:r>
              <w:rPr>
                <w:iCs/>
                <w:i/>
              </w:rPr>
              <w:t xml:space="preserve"> </w:t>
            </w:r>
            <w:r>
              <w:rPr>
                <w:iCs/>
                <w:i/>
              </w:rPr>
              <w:t xml:space="preserve">(7 nền đông dân) — bản CĐ trước gọi</w:t>
            </w:r>
            <w:r>
              <w:rPr>
                <w:iCs/>
                <w:i/>
              </w:rPr>
              <w:t xml:space="preserve"> </w:t>
            </w:r>
            <w:r>
              <w:rPr>
                <w:iCs/>
                <w:i/>
              </w:rPr>
              <w:t xml:space="preserve">“</w:t>
            </w:r>
            <w:r>
              <w:rPr>
                <w:iCs/>
                <w:i/>
              </w:rPr>
              <w:t xml:space="preserve">Đang nổi</w:t>
            </w:r>
            <w:r>
              <w:rPr>
                <w:iCs/>
                <w:i/>
              </w:rPr>
              <w:t xml:space="preserve">”</w:t>
            </w:r>
            <w:r>
              <w:rPr>
                <w:iCs/>
                <w:i/>
              </w:rPr>
              <w:t xml:space="preserve">; Nhóm V</w:t>
            </w:r>
            <w:r>
              <w:rPr>
                <w:iCs/>
                <w:i/>
              </w:rPr>
              <w:t xml:space="preserve"> </w:t>
            </w:r>
            <w:r>
              <w:rPr>
                <w:rStyle w:val="VerbatimChar"/>
                <w:iCs/>
                <w:i/>
              </w:rPr>
              <w:t xml:space="preserve">Emerging</w:t>
            </w:r>
            <w:r>
              <w:rPr>
                <w:iCs/>
                <w:i/>
              </w:rPr>
              <w:t xml:space="preserve"> </w:t>
            </w:r>
            <w:r>
              <w:rPr>
                <w:iCs/>
                <w:i/>
              </w:rPr>
              <w:t xml:space="preserve">(17 nền) — bản CĐ trước gọi</w:t>
            </w:r>
            <w:r>
              <w:rPr>
                <w:iCs/>
                <w:i/>
              </w:rPr>
              <w:t xml:space="preserve"> </w:t>
            </w:r>
            <w:r>
              <w:rPr>
                <w:iCs/>
                <w:i/>
              </w:rPr>
              <w:t xml:space="preserve">“</w:t>
            </w:r>
            <w:r>
              <w:rPr>
                <w:iCs/>
                <w:i/>
              </w:rPr>
              <w:t xml:space="preserve">Cận biên/Frontier</w:t>
            </w:r>
            <w:r>
              <w:rPr>
                <w:iCs/>
                <w:i/>
              </w:rPr>
              <w:t xml:space="preserve">”</w:t>
            </w:r>
            <w:r>
              <w:rPr>
                <w:iCs/>
                <w:i/>
              </w:rPr>
              <w:t xml:space="preserve"> </w:t>
            </w:r>
            <w:r>
              <w:rPr>
                <w:iCs/>
                <w:i/>
              </w:rPr>
              <w:t xml:space="preserve">(đã hoán đổi: Sri Lanka, Jordan → Nhóm V; Bangladesh, Pakistan → Nhóm IV). Pool phân loại đầy đủ = 96.415 DN/52 nền (gồm Comoros, Turkey, Cyprus ngoài châu Á — loại khỏi khung 49). SIDS: P8 mẫu chính 7 nền Pacific (pool 1.371); robustness 9 nền.</w:t>
            </w:r>
            <w:r>
              <w:rPr>
                <w:iCs/>
                <w:i/>
              </w:rPr>
              <w:t xml:space="preserve"> </w:t>
            </w:r>
            <w:r>
              <w:rPr>
                <w:bCs/>
                <w:b/>
                <w:iCs/>
                <w:i/>
              </w:rPr>
              <w:t xml:space="preserve">Lưu ý:</w:t>
            </w:r>
            <w:r>
              <w:rPr>
                <w:iCs/>
                <w:i/>
              </w:rPr>
              <w:t xml:space="preserve"> </w:t>
            </w:r>
            <w:r>
              <w:rPr>
                <w:iCs/>
                <w:i/>
              </w:rPr>
              <w:t xml:space="preserve">các bảng</w:t>
            </w:r>
            <w:r>
              <w:rPr>
                <w:iCs/>
                <w:i/>
              </w:rPr>
              <w:t xml:space="preserve"> </w:t>
            </w:r>
            <w:r>
              <w:rPr>
                <w:bCs/>
                <w:b/>
                <w:iCs/>
                <w:i/>
              </w:rPr>
              <w:t xml:space="preserve">thống kê mô tả</w:t>
            </w:r>
            <w:r>
              <w:rPr>
                <w:iCs/>
                <w:i/>
              </w:rPr>
              <w:t xml:space="preserve"> </w:t>
            </w:r>
            <w:r>
              <w:rPr>
                <w:iCs/>
                <w:i/>
              </w:rPr>
              <w:t xml:space="preserve">theo nhóm ở §2.3.3–2.3.8 (sd năng suất, R&amp;D/ISO/đổi mới, cấu trúc, tương quan) hiện còn hiển thị theo</w:t>
            </w:r>
            <w:r>
              <w:rPr>
                <w:iCs/>
                <w:i/>
              </w:rPr>
              <w:t xml:space="preserve"> </w:t>
            </w:r>
            <w:r>
              <w:rPr>
                <w:bCs/>
                <w:b/>
                <w:iCs/>
                <w:i/>
              </w:rPr>
              <w:t xml:space="preserve">bản khóa mô tả trước</w:t>
            </w:r>
            <w:r>
              <w:rPr>
                <w:iCs/>
                <w:i/>
              </w:rPr>
              <w:t xml:space="preserve"> </w:t>
            </w:r>
            <w:r>
              <w:rPr>
                <w:iCs/>
                <w:i/>
              </w:rPr>
              <w:t xml:space="preserve">(47 nền/101.185); pipeline raw đa biến</w:t>
            </w:r>
            <w:r>
              <w:rPr>
                <w:iCs/>
                <w:i/>
              </w:rPr>
              <w:t xml:space="preserve"> </w:t>
            </w:r>
            <w:r>
              <w:rPr>
                <w:bCs/>
                <w:b/>
                <w:iCs/>
                <w:i/>
              </w:rPr>
              <w:t xml:space="preserve">đã được dựng và chạy</w:t>
            </w:r>
            <w:r>
              <w:rPr>
                <w:iCs/>
                <w:i/>
              </w:rPr>
              <w:t xml:space="preserve"> </w:t>
            </w:r>
            <w:r>
              <w:rPr>
                <w:iCs/>
                <w:i/>
              </w:rPr>
              <w:t xml:space="preserve">(</w:t>
            </w:r>
            <w:r>
              <w:rPr>
                <w:rStyle w:val="VerbatimChar"/>
                <w:iCs/>
                <w:i/>
              </w:rPr>
              <w:t xml:space="preserve">scripts/cd1_descriptives_pipeline.py</w:t>
            </w:r>
            <w:r>
              <w:rPr>
                <w:iCs/>
                <w:i/>
              </w:rPr>
              <w:t xml:space="preserve">; kết quả tại</w:t>
            </w:r>
            <w:r>
              <w:rPr>
                <w:iCs/>
                <w:i/>
              </w:rPr>
              <w:t xml:space="preserve"> </w:t>
            </w:r>
            <w:r>
              <w:rPr>
                <w:rStyle w:val="VerbatimChar"/>
                <w:iCs/>
                <w:i/>
              </w:rPr>
              <w:t xml:space="preserve">data_wbes/analysis/CD1_PIPELINE_RESULTS.md</w:t>
            </w:r>
            <w:r>
              <w:rPr>
                <w:iCs/>
                <w:i/>
              </w:rPr>
              <w:t xml:space="preserve">) — nhóm I/III/IV/V đủ coverage để đồng bộ; nhóm II/VI chờ raw GCC + Pacific.</w:t>
            </w:r>
          </w:p>
        </w:tc>
      </w:tr>
      <w:tr>
        <w:tc>
          <w:tcPr/>
          <w:p>
            <w:pPr>
              <w:pStyle w:val="Compact"/>
              <w:jc w:val="left"/>
            </w:pPr>
            <w:r>
              <w:t xml:space="preserve">#### 2.3.2.4 Đặc điểm các nhóm ICRV</w:t>
            </w:r>
          </w:p>
        </w:tc>
      </w:tr>
      <w:tr>
        <w:tc>
          <w:tcPr/>
          <w:p>
            <w:pPr>
              <w:pStyle w:val="Compact"/>
              <w:jc w:val="left"/>
            </w:pPr>
            <w:r>
              <w:rPr>
                <w:bCs/>
                <w:b/>
              </w:rPr>
              <w:t xml:space="preserve">Bảng 2.3.2.2</w:t>
            </w:r>
            <w:r>
              <w:t xml:space="preserve">.</w:t>
            </w:r>
            <w:r>
              <w:t xml:space="preserve"> </w:t>
            </w:r>
            <w:r>
              <w:rPr>
                <w:iCs/>
                <w:i/>
              </w:rPr>
              <w:t xml:space="preserve">Đặc điểm điển hình của 6 nhóm ICRV — WGI, GNI, cơ chế tăng trưởng, pattern WBES dự kiến.</w:t>
            </w:r>
          </w:p>
        </w:tc>
      </w:tr>
      <w:tr>
        <w:tc>
          <w:tcPr/>
          <w:p>
            <w:pPr>
              <w:pStyle w:val="Compact"/>
              <w:jc w:val="left"/>
            </w:pPr>
            <w:r>
              <w:t xml:space="preserve">| Nhóm | WGI Rule of Law | GNI/capita | Cơ chế tăng trưởng | FSTS dự kiến | sd log LP | Cơ chế quốc tế hóa → hiệu quả |</w:t>
            </w:r>
            <w:r>
              <w:t xml:space="preserve"> </w:t>
            </w:r>
            <w:r>
              <w:t xml:space="preserve">|—|—|—|—|—|—|—|</w:t>
            </w:r>
            <w:r>
              <w:t xml:space="preserve"> </w:t>
            </w:r>
            <w:r>
              <w:t xml:space="preserve">| I — Innovation | &gt;+0,80 | &gt;$30k | R&amp;D + dịch vụ tri thức | Trung bình (6–15%) | ~1,03 | U ngược nhẹ / tuyến tính dương; điểm uốn ~88,6% (SG) |</w:t>
            </w:r>
            <w:r>
              <w:t xml:space="preserve"> </w:t>
            </w:r>
            <w:r>
              <w:t xml:space="preserve">| II — Resource | +0,00→+0,50 | &gt;$20k | Xuất khẩu dầu/khí | Thấp (1–3%) | ~0,49 | Phi tuyến suy yếu; nhà nước tô phân phối lại |</w:t>
            </w:r>
            <w:r>
              <w:t xml:space="preserve"> </w:t>
            </w:r>
            <w:r>
              <w:t xml:space="preserve">| III — Upper-mid | 0,00→+0,80 | $5k–$20k | Sản xuất + chuyển đổi | Trung bình (8–12%) | ~1,29 | U ngược; điểm uốn ~47% |</w:t>
            </w:r>
            <w:r>
              <w:t xml:space="preserve"> </w:t>
            </w:r>
            <w:r>
              <w:t xml:space="preserve">| IV — Emerging | -0,50→0,00 | $1k–$5k | FDI-driven sản xuất | Biến động (7–23%) | ~1,24 | U ngược; điểm uốn 39–46% (VNM) — bẫy chuyển hướng nguồn lực |</w:t>
            </w:r>
            <w:r>
              <w:t xml:space="preserve"> </w:t>
            </w:r>
            <w:r>
              <w:t xml:space="preserve">| V — Frontier | &lt;-0,50 | &lt;$1k–$3k | Tự cấp + phi chính thức | Thấp–trung bình | ~1,36 | Yếu; voids thể chế → đổi mới bằng nguồn lực hạn chế |</w:t>
            </w:r>
            <w:r>
              <w:t xml:space="preserve"> </w:t>
            </w:r>
            <w:r>
              <w:t xml:space="preserve">| VI — SIDS | Đặc biệt | $1k–$8k | MIRAB + du lịch | Rất thấp (1–12%) | ~1,32 | Chi phí buộc phải quốc tế hóa — U-curve không vận hành |</w:t>
            </w:r>
          </w:p>
        </w:tc>
      </w:tr>
      <w:tr>
        <w:tc>
          <w:tcPr/>
          <w:p>
            <w:pPr>
              <w:pStyle w:val="Compact"/>
              <w:jc w:val="left"/>
            </w:pPr>
            <w:r>
              <w:rPr>
                <w:iCs/>
                <w:i/>
              </w:rPr>
              <w:t xml:space="preserve">Nguồn: Tổng hợp từ World Bank Enterprise Surveys (2025); WGI từ Kaufmann et al. (2011); GNI từ World Bank (2025, tháng 7). Pattern WBES từ phân tích Chương 4 và Đỗ &amp; Phan (2026 — VEFR, JABS, JFAR, MIR under review).</w:t>
            </w:r>
          </w:p>
        </w:tc>
      </w:tr>
    </w:tbl>
    <w:bookmarkEnd w:id="39"/>
    <w:bookmarkEnd w:id="40"/>
    <w:bookmarkStart w:id="44" w:name="X71126d3a9cbef6cfbe4977212de66e8cb3d47a9"/>
    <w:p>
      <w:pPr>
        <w:pStyle w:val="Heading3"/>
      </w:pPr>
      <w:r>
        <w:t xml:space="preserve">2.3.3 Thực trạng năng suất lao động và quốc tế hóa</w:t>
      </w:r>
    </w:p>
    <w:bookmarkStart w:id="41" w:name="nguồn-dữ-liệu-và-cấu-trúc-pool"/>
    <w:p>
      <w:pPr>
        <w:pStyle w:val="Heading4"/>
      </w:pPr>
      <w:r>
        <w:t xml:space="preserve">2.3.3.1 Nguồn dữ liệu và cấu trúc pool</w:t>
      </w:r>
    </w:p>
    <w:p>
      <w:pPr>
        <w:pStyle w:val="BlockText"/>
      </w:pPr>
      <w:r>
        <w:rPr>
          <w:iCs/>
          <w:i/>
        </w:rPr>
        <w:t xml:space="preserve">Ghi chú khung số liệu (§2.3.3–2.3.8): Các bảng thống kê mô tả trong các tiểu mục này theo</w:t>
      </w:r>
      <w:r>
        <w:rPr>
          <w:iCs/>
          <w:i/>
        </w:rPr>
        <w:t xml:space="preserve"> </w:t>
      </w:r>
      <w:r>
        <w:rPr>
          <w:bCs/>
          <w:b/>
          <w:iCs/>
          <w:i/>
        </w:rPr>
        <w:t xml:space="preserve">bản khóa mô tả CĐ1</w:t>
      </w:r>
      <w:r>
        <w:rPr>
          <w:iCs/>
          <w:i/>
        </w:rPr>
        <w:t xml:space="preserve"> </w:t>
      </w:r>
      <w:r>
        <w:rPr>
          <w:iCs/>
          <w:i/>
        </w:rPr>
        <w:t xml:space="preserve">(pool 101.185 doanh nghiệp / 47 nền / 108 cặp); chúng sẽ đồng bộ về</w:t>
      </w:r>
      <w:r>
        <w:rPr>
          <w:iCs/>
          <w:i/>
        </w:rPr>
        <w:t xml:space="preserve"> </w:t>
      </w:r>
      <w:r>
        <w:rPr>
          <w:bCs/>
          <w:b/>
          <w:iCs/>
          <w:i/>
        </w:rPr>
        <w:t xml:space="preserve">khung canonical 49 nền / 91.982 doanh nghiệp</w:t>
      </w:r>
      <w:r>
        <w:rPr>
          <w:iCs/>
          <w:i/>
        </w:rPr>
        <w:t xml:space="preserve"> </w:t>
      </w:r>
      <w:r>
        <w:rPr>
          <w:iCs/>
          <w:i/>
        </w:rPr>
        <w:t xml:space="preserve">khi dựng lại pipeline raw đa biến (R&amp;D, đổi mới, tham nhũng, ngành chưa có trong master phân tích</w:t>
      </w:r>
      <w:r>
        <w:rPr>
          <w:iCs/>
          <w:i/>
        </w:rPr>
        <w:t xml:space="preserve"> </w:t>
      </w:r>
      <w:r>
        <w:rPr>
          <w:rStyle w:val="VerbatimChar"/>
          <w:iCs/>
          <w:i/>
        </w:rPr>
        <w:t xml:space="preserve">p7_pooled_clean.csv</w:t>
      </w:r>
      <w:r>
        <w:rPr>
          <w:iCs/>
          <w:i/>
        </w:rPr>
        <w:t xml:space="preserve">). Headline và khung phân loại của chuyên đề (Tóm tắt, §2.1, §2.2, Bảng 2.3.2.1) đã neo theo canonical.</w:t>
      </w:r>
    </w:p>
    <w:p>
      <w:pPr>
        <w:pStyle w:val="FirstParagraph"/>
      </w:pPr>
      <w:r>
        <w:rPr>
          <w:bCs/>
          <w:b/>
        </w:rPr>
        <w:t xml:space="preserve">Phạm vi tổng hợp dữ liệu</w:t>
      </w:r>
      <w:r>
        <w:t xml:space="preserve">. Nhóm dữ liệu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(bao gồm Kiribati 2025: +150 doanh nghiệp, +1 cặp quốc gia × năm). Tổng hợp này kế thừa và mở rộng từ 17 nước châu Á mới nổi (~40.633 doanh nghiệp) của Đỗ &amp; Phan (2026 — VEFR), gấp ~2,5 lần. Phân bố theo phân nhóm con ICRV: Emerging 47.803 (47%), Frontier 28.678 (28%), Upper-middle 16.693 (17%), Advanced 6.640 (7%),</w:t>
      </w:r>
      <w:r>
        <w:t xml:space="preserve"> </w:t>
      </w:r>
      <w:r>
        <w:rPr>
          <w:bCs/>
          <w:b/>
        </w:rPr>
        <w:t xml:space="preserve">SIDS 1.371 (1,4% — bao gồm Kiribati 2025)</w:t>
      </w:r>
      <w:r>
        <w:t xml:space="preserve">. Có</w:t>
      </w:r>
      <w:r>
        <w:t xml:space="preserve"> </w:t>
      </w:r>
      <w:r>
        <w:rPr>
          <w:bCs/>
          <w:b/>
        </w:rPr>
        <w:t xml:space="preserve">14 quốc gia khảo sát năm 2025</w:t>
      </w:r>
      <w:r>
        <w:t xml:space="preserve"> </w:t>
      </w:r>
      <w:r>
        <w:t xml:space="preserve">với 17.053 doanh nghiệp (Nepal 2025 sử dụng BREADY Micro schema, n=1.740).</w:t>
      </w:r>
    </w:p>
    <w:p>
      <w:pPr>
        <w:pStyle w:val="BodyText"/>
      </w:pPr>
      <w:r>
        <w:rPr>
          <w:iCs/>
          <w:i/>
        </w:rPr>
        <w:t xml:space="preserve">Hình 2.3.3.1. Phân bố mẫu 101.185 doanh nghiệp xuyên 17 năm (2009–2025) theo 3 thế hệ schema WBES: PICS3 (2009–2012, n=14.171), Standardized (2013–2017, n=24.564), BREADY (2018–2025, n=62.450 bao gồm Kiribati 2025). Đợt 2025 đột biến với 17.053 doanh nghiệp = 16,9% pool (14 quốc gia, bao gồm Nepal 2025 BREADY Micro n=1.740).</w:t>
      </w:r>
    </w:p>
    <w:p>
      <w:pPr>
        <w:pStyle w:val="BodyText"/>
      </w:pPr>
      <w:r>
        <w:rPr>
          <w:iCs/>
          <w:i/>
        </w:rPr>
        <w:t xml:space="preserve">Hình 2.3.3.2. Bar chart phân bố theo 5 phân nhóm con: Emerging (47.803, 47,2%), Frontier (28.678, 28,3%), Upper-middle (16.693, 16,5%), Advanced (6.640, 6,6%), SIDS Thái Bình Dương (1.371, 1,4%, bao gồm Kiribati 2025).</w:t>
      </w:r>
    </w:p>
    <w:p>
      <w:pPr>
        <w:pStyle w:val="BodyText"/>
      </w:pPr>
      <w:r>
        <w:rPr>
          <w:bCs/>
          <w:b/>
        </w:rPr>
        <w:t xml:space="preserve">Trường hợp biên</w:t>
      </w:r>
      <w:r>
        <w:t xml:space="preserve">:</w:t>
      </w:r>
      <w:r>
        <w:t xml:space="preserve"> </w:t>
      </w:r>
      <w:r>
        <w:rPr>
          <w:bCs/>
          <w:b/>
        </w:rPr>
        <w:t xml:space="preserve">7 SIDS Thái Bình Dương đầy đủ</w:t>
      </w:r>
      <w:r>
        <w:t xml:space="preserve"> </w:t>
      </w:r>
      <w:r>
        <w:t xml:space="preserve">(FJI, PNG, SLB, TON, VUT, WSM, KIR). Phân bố thời gian: 2009–2012 (n=14.171), 2013–2017 (n=24.564), 2018–2025 (n=62.450, chiếm 62%). Quy trình hài hòa hóa: FSTS =</w:t>
      </w:r>
      <w:r>
        <w:t xml:space="preserve"> </w:t>
      </w:r>
      <w:r>
        <w:rPr>
          <w:rStyle w:val="VerbatimChar"/>
        </w:rPr>
        <w:t xml:space="preserve">d3b + d3c</w:t>
      </w:r>
      <w:r>
        <w:t xml:space="preserve">; winsorize log năng suất ở mức 1/99 phân vị trong cụm quốc gia × năm.</w:t>
      </w:r>
    </w:p>
    <w:bookmarkEnd w:id="41"/>
    <w:bookmarkStart w:id="42" w:name="phân-tán-năng-suất-lao-động"/>
    <w:p>
      <w:pPr>
        <w:pStyle w:val="Heading4"/>
      </w:pPr>
      <w:r>
        <w:t xml:space="preserve">2.3.3.2 Phân tán năng suất lao động</w:t>
      </w:r>
    </w:p>
    <w:p>
      <w:pPr>
        <w:pStyle w:val="FirstParagraph"/>
      </w:pPr>
      <w:r>
        <w:rPr>
          <w:bCs/>
          <w:b/>
        </w:rPr>
        <w:t xml:space="preserve">Bảng 2.3.3.1</w:t>
      </w:r>
      <w:r>
        <w:t xml:space="preserve">.</w:t>
      </w:r>
      <w:r>
        <w:t xml:space="preserve"> </w:t>
      </w:r>
      <w:r>
        <w:rPr>
          <w:iCs/>
          <w:i/>
        </w:rPr>
        <w:t xml:space="preserve">Phân tán năng suất lao động theo phân nhóm con thể chế (n=108 cặp quốc gia × năm).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Advanced —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Advanced (gộp —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(bao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w:t>
            </w:r>
          </w:p>
        </w:tc>
        <w:tc>
          <w:tcPr/>
          <w:p>
            <w:pPr>
              <w:pStyle w:val="Compact"/>
              <w:jc w:val="left"/>
            </w:pPr>
            <w:r>
              <w:t xml:space="preserve">—</w:t>
            </w:r>
          </w:p>
        </w:tc>
      </w:tr>
    </w:tbl>
    <w:p>
      <w:pPr>
        <w:pStyle w:val="BodyText"/>
      </w:pPr>
      <w:r>
        <w:rPr>
          <w:iCs/>
          <w:i/>
        </w:rPr>
        <w:t xml:space="preserve">Ghi chú: Advanced tách 2 phân nhóm con — tỷ số phân tán Singapore (1,03) so với Vùng Vịnh (0,49) ≈</w:t>
      </w:r>
      <w:r>
        <w:rPr>
          <w:iCs/>
          <w:i/>
        </w:rPr>
        <w:t xml:space="preserve"> </w:t>
      </w:r>
      <w:r>
        <w:rPr>
          <w:bCs/>
          <w:b/>
          <w:iCs/>
          <w:i/>
        </w:rPr>
        <w:t xml:space="preserve">2,1 lần</w:t>
      </w:r>
      <w:r>
        <w:rPr>
          <w:iCs/>
          <w:i/>
        </w:rPr>
        <w:t xml:space="preserve">. Hàng SIDS bao gồm Kiribati 2025 (n=150, độ lệch chuẩn log 1,48). n_firms trong bảng phản ánh mẫu phân tích sau khi loại bỏ giá trị thiếu cho biến năng suất (SIDS analytic n=1.097 so với pool đầy đủ n=1.371; chênh lệch 274 quan sát do thiếu dữ liệu doanh thu hoặc lao động).</w:t>
      </w:r>
    </w:p>
    <w:p>
      <w:pPr>
        <w:pStyle w:val="BodyText"/>
      </w:pPr>
      <w:r>
        <w:rPr>
          <w:iCs/>
          <w:i/>
        </w:rPr>
        <w:t xml:space="preserve">Hình 2.3.3.3. Đồ thị mật độ kernel cho 6 phân nhóm con: Advanced innovation (sd 1,03), Advanced resource (sd 0,49), Upper-middle (1,29), Emerging (1,24), Frontier (1,36), SIDS (1,32). Phân nhóm tài nguyên dẫn dắt (Vùng Vịnh) phân tán hẹp nhất; Frontier rộng nhất.</w:t>
      </w:r>
    </w:p>
    <w:p>
      <w:pPr>
        <w:pStyle w:val="BodyText"/>
      </w:pPr>
      <w:r>
        <w:t xml:space="preserve">Năm phát hiện chính từ Bảng 2.3.3.1: (1) Phân tán Advanced gộp giảm từ 1,00 → 0,86 sau khi bổ sung Vùng Vịnh — bằng chứng dị biệt nội bộ; (2) Frontier cao nhất — phù hợp</w:t>
      </w:r>
      <w:r>
        <w:t xml:space="preserve"> </w:t>
      </w:r>
      <w:r>
        <w:rPr>
          <w:bCs/>
          <w:b/>
        </w:rPr>
        <w:t xml:space="preserve">giả thuyết phân bổ sai nguồn lực</w:t>
      </w:r>
      <w:r>
        <w:t xml:space="preserve"> </w:t>
      </w:r>
      <w:r>
        <w:t xml:space="preserve">Hsieh &amp; Klenow (2009, 2014); (3) SIDS ở mức trung bình ~1,32; (4) tỷ số P90/P10 tăng đơn điệu theo phân nhóm con; (5) bằng chứng cho điều tiết thể chế trong quan hệ quốc tế hóa → hiệu quả.</w:t>
      </w:r>
    </w:p>
    <w:bookmarkEnd w:id="42"/>
    <w:bookmarkStart w:id="43"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 phân phối phân cực mạnh với chỉ 15–23% doanh nghiệp tham gia xuất khẩu tùy theo nhóm. SIDS có tốc độ tăng trưởng việc làm hàng năm kép cao nhất (5,77%), phản ánh quy mô nhỏ và tăng trưởng từ nền thấp. Advanced và Upper-middle có FSTS gần tương đương (~10%) nhưng cơ chế xuất khẩu hoàn toàn khác nhau: Advanced chủ yếu dịch vụ và hàng hóa hàm lượng tri thức cao; Upper-middle chủ yếu sản xuất theo chuỗi giá trị toàn cầu.</w:t>
      </w:r>
    </w:p>
    <w:p>
      <w:r>
        <w:pict>
          <v:rect style="width:0;height:1.5pt" o:hralign="center" o:hrstd="t" o:hr="t"/>
        </w:pict>
      </w:r>
    </w:p>
    <w:bookmarkEnd w:id="43"/>
    <w:bookmarkEnd w:id="44"/>
    <w:bookmarkStart w:id="48" w:name="đổi-mới-sáng-tạo-và-năng-lực-số-hóa"/>
    <w:p>
      <w:pPr>
        <w:pStyle w:val="Heading3"/>
      </w:pPr>
      <w:r>
        <w:t xml:space="preserve">2.3.4 Đổi mới sáng tạo và năng lực số hóa</w:t>
      </w:r>
    </w:p>
    <w:bookmarkStart w:id="45"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§2.3.6.2</w:t>
            </w:r>
          </w:p>
        </w:tc>
        <w:tc>
          <w:tcPr/>
          <w:p>
            <w:pPr>
              <w:pStyle w:val="Compact"/>
              <w:jc w:val="left"/>
            </w:pPr>
            <w:r>
              <w:rPr>
                <w:rStyle w:val="VerbatimChar"/>
              </w:rPr>
              <w:t xml:space="preserve">bribery_incidence_pct</w:t>
            </w:r>
          </w:p>
        </w:tc>
      </w:tr>
    </w:tbl>
    <w:bookmarkEnd w:id="45"/>
    <w:bookmarkStart w:id="46"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thể hiện pattern</w:t>
      </w:r>
      <w:r>
        <w:t xml:space="preserve"> </w:t>
      </w:r>
      <w:r>
        <w:rPr>
          <w:bCs/>
          <w:b/>
        </w:rPr>
        <w:t xml:space="preserve">thích nghi và nhảy vọt số</w:t>
      </w:r>
      <w:r>
        <w:t xml:space="preserve"> </w:t>
      </w:r>
      <w:r>
        <w:t xml:space="preserve">đáng chú ý: tỷ lệ đổi mới sản phẩm cao nhất (41,5%) phản ánh đổi mới bằng nguồn lực hạn chế — sáng tạo không chính thức để bù đắp cho thiếu hụt nguồn lực; website 58,9% vượt cả nhóm Emerging dù GNI thấp hơn đáng kể. Phân tách rõ TCI so với DAI — kế thừa Đỗ &amp; Phan (2026 — VEFR).</w:t>
      </w:r>
    </w:p>
    <w:bookmarkEnd w:id="46"/>
    <w:bookmarkStart w:id="47" w:name="Xf9def7853091997378673ae7720d7322a439a73"/>
    <w:p>
      <w:pPr>
        <w:pStyle w:val="Heading4"/>
      </w:pPr>
      <w:r>
        <w:t xml:space="preserve">2.3.4.3 Tái định hình Chỉ số áp dụng số — Tier-1 Sự hiện diện số cơ bản</w:t>
      </w:r>
    </w:p>
    <w:p>
      <w:pPr>
        <w:pStyle w:val="FirstParagraph"/>
      </w:pPr>
      <w:r>
        <w:t xml:space="preserve">Spec 1 (toàn bộ 2009–2025) dùng biến nhị phân duy nhất (website có/không).</w:t>
      </w:r>
      <w:r>
        <w:t xml:space="preserve"> </w:t>
      </w:r>
      <w:r>
        <w:rPr>
          <w:bCs/>
          <w:b/>
        </w:rPr>
        <w:t xml:space="preserve">Hệ quả phân tích đáng chú ý</w:t>
      </w:r>
      <w:r>
        <w:t xml:space="preserve">: hệ số -0,129 cho DAI ở Advanced trong Spec 1 gợi ý</w:t>
      </w:r>
      <w:r>
        <w:t xml:space="preserve"> </w:t>
      </w:r>
      <w:r>
        <w:t xml:space="preserve">“</w:t>
      </w:r>
      <w:r>
        <w:t xml:space="preserve">số hóa làm giảm năng suất ở Singapore/Hàn Quốc</w:t>
      </w:r>
      <w:r>
        <w:t xml:space="preserve">”</w:t>
      </w:r>
      <w:r>
        <w:t xml:space="preserve"> </w:t>
      </w:r>
      <w:r>
        <w:t xml:space="preserve">— đây là</w:t>
      </w:r>
      <w:r>
        <w:t xml:space="preserve"> </w:t>
      </w:r>
      <w:r>
        <w:rPr>
          <w:bCs/>
          <w:b/>
        </w:rPr>
        <w:t xml:space="preserve">ảo ảnh thống kê</w:t>
      </w:r>
      <w:r>
        <w:t xml:space="preserve"> </w:t>
      </w:r>
      <w:r>
        <w:t xml:space="preserve">do đo lường sơ sài ở bối cảnh đã bão hòa.</w:t>
      </w:r>
    </w:p>
    <w:p>
      <w:pPr>
        <w:pStyle w:val="BodyText"/>
      </w:pPr>
      <w:r>
        <w:rPr>
          <w:bCs/>
          <w:b/>
        </w:rPr>
        <w:t xml:space="preserve">Kiểm định loại trừ ICT</w:t>
      </w:r>
      <w:r>
        <w:t xml:space="preserve">: Khi loại bỏ các doanh nghiệp ICT (ISIC J 58–63) khỏi phân nhóm Advanced innovation-driven, hệ số âm DAI (-0,129)</w:t>
      </w:r>
      <w:r>
        <w:t xml:space="preserve"> </w:t>
      </w:r>
      <w:r>
        <w:rPr>
          <w:bCs/>
          <w:b/>
        </w:rPr>
        <w:t xml:space="preserve">biến mất</w:t>
      </w:r>
      <w:r>
        <w:t xml:space="preserve"> </w:t>
      </w:r>
      <w:r>
        <w:t xml:space="preserve">→ bằng chứng cho</w:t>
      </w:r>
      <w:r>
        <w:t xml:space="preserve"> </w:t>
      </w:r>
      <w:r>
        <w:rPr>
          <w:bCs/>
          <w:b/>
        </w:rPr>
        <w:t xml:space="preserve">bão hòa Tier-1 ở các nước tiên tiến</w:t>
      </w:r>
      <w:r>
        <w:t xml:space="preserve"> </w:t>
      </w:r>
      <w:r>
        <w:t xml:space="preserve">— website không còn phân biệt năng suất vì hầu hết đã có website từ lâu. Do đó biến Spec 1 được đổi tên chính xác hơn thành</w:t>
      </w:r>
      <w:r>
        <w:t xml:space="preserve"> </w:t>
      </w:r>
      <w:r>
        <w:rPr>
          <w:bCs/>
          <w:b/>
        </w:rPr>
        <w:t xml:space="preserve">“</w:t>
      </w:r>
      <w:r>
        <w:rPr>
          <w:bCs/>
          <w:b/>
        </w:rPr>
        <w:t xml:space="preserve">Sự hiện diện số cơ bản (Tier-1)</w:t>
      </w:r>
      <w:r>
        <w:rPr>
          <w:bCs/>
          <w:b/>
        </w:rPr>
        <w:t xml:space="preserve">”</w:t>
      </w:r>
      <w:r>
        <w:t xml:space="preserve"> </w:t>
      </w:r>
      <w:r>
        <w:t xml:space="preserve">— phạm vi khiêm tốn và phản ánh đúng thực tế đo lường.</w:t>
      </w:r>
    </w:p>
    <w:p>
      <w:r>
        <w:pict>
          <v:rect style="width:0;height:1.5pt" o:hralign="center" o:hrstd="t" o:hr="t"/>
        </w:pict>
      </w:r>
    </w:p>
    <w:bookmarkEnd w:id="47"/>
    <w:bookmarkEnd w:id="48"/>
    <w:bookmarkStart w:id="51" w:name="cấu-trúc-doanh-nghiệp"/>
    <w:p>
      <w:pPr>
        <w:pStyle w:val="Heading3"/>
      </w:pPr>
      <w:r>
        <w:t xml:space="preserve">2.3.5 Cấu trúc doanh nghiệp</w:t>
      </w:r>
    </w:p>
    <w:bookmarkStart w:id="49"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rPr>
          <w:iCs/>
          <w:i/>
        </w:rPr>
        <w:t xml:space="preserve">Hình 2.3.5.1. Stacked bar chart: SIDS Pacific có tỷ lệ SME cao nhất (88,5%), Frontier kế tiếp (85,0%), Advanced thấp nhất (79,1%).</w:t>
      </w:r>
    </w:p>
    <w:p>
      <w:pPr>
        <w:pStyle w:val="BodyText"/>
      </w:pPr>
      <w:r>
        <w:t xml:space="preserve">Tỷ lệ FDI có dạng chữ U với cực tiểu ở Emerging (4,7%). SIDS có FDI cao nhất (23,5%) do du lịch và viễn thông được dẫn dắt bởi doanh nghiệp đa quốc gia. Hai mô hình FDI hoàn toàn khác nhau: (i) MNE hub tại Advanced (Singapore FDI 31,5% — doanh nghiệp đa quốc gia chọn Singapore làm trung tâm khu vực); (ii) du lịch/viễn thông tại SIDS (FDI nhắm vào khu vực không cạnh tranh với lao động địa phương).</w:t>
      </w:r>
    </w:p>
    <w:bookmarkEnd w:id="49"/>
    <w:bookmarkStart w:id="50"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Frontier giải thích tại sao quan hệ quốc tế hóa → hiệu quả ở nhóm này yếu và không đơn điệu.</w:t>
      </w:r>
    </w:p>
    <w:p>
      <w:r>
        <w:pict>
          <v:rect style="width:0;height:1.5pt" o:hralign="center" o:hrstd="t" o:hr="t"/>
        </w:pict>
      </w:r>
    </w:p>
    <w:bookmarkEnd w:id="50"/>
    <w:bookmarkEnd w:id="51"/>
    <w:bookmarkStart w:id="57" w:name="biến-thiên-theo-thời-gian-20092025"/>
    <w:p>
      <w:pPr>
        <w:pStyle w:val="Heading3"/>
      </w:pPr>
      <w:r>
        <w:t xml:space="preserve">2.3.6 Biến thiên theo thời gian (2009–2025)</w:t>
      </w:r>
    </w:p>
    <w:bookmarkStart w:id="52"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2018–2025 với 2009–2012.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DN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 đến +43</w:t>
            </w:r>
          </w:p>
        </w:tc>
        <w:tc>
          <w:tcPr/>
          <w:p>
            <w:pPr>
              <w:pStyle w:val="Compact"/>
              <w:jc w:val="left"/>
            </w:pPr>
            <w:r>
              <w:t xml:space="preserve">+6 đến +11</w:t>
            </w:r>
          </w:p>
        </w:tc>
        <w:tc>
          <w:tcPr/>
          <w:p>
            <w:pPr>
              <w:pStyle w:val="Compact"/>
              <w:jc w:val="left"/>
            </w:pPr>
            <w:r>
              <w:t xml:space="preserve">-5 đến -10</w:t>
            </w:r>
          </w:p>
        </w:tc>
        <w:tc>
          <w:tcPr/>
          <w:p>
            <w:pPr>
              <w:pStyle w:val="Compact"/>
              <w:jc w:val="left"/>
            </w:pPr>
            <w:r>
              <w:t xml:space="preserve">—¹</w:t>
            </w:r>
          </w:p>
        </w:tc>
        <w:tc>
          <w:tcPr/>
          <w:p>
            <w:pPr>
              <w:pStyle w:val="Compact"/>
              <w:jc w:val="left"/>
            </w:pPr>
            <w:r>
              <w:t xml:space="preserve">-20 đến -25</w:t>
            </w:r>
          </w:p>
        </w:tc>
      </w:tr>
    </w:tbl>
    <w:p>
      <w:pPr>
        <w:pStyle w:val="BodyText"/>
      </w:pPr>
      <w:r>
        <w:rPr>
          <w:iCs/>
          <w:i/>
        </w:rPr>
        <w:t xml:space="preserve">¹ Δ R&amp;D không tính được cho SIDS vì dữ liệu giai đoạn 2009–2012 quá thưa — hầu hết SIDS chỉ có khảo sát từ 2013+ (FJI, PNG, SLB, TON, VUT, WSM); chỉ Kiribati (KIR) có đợt 2025 mới nhất. Để so sánh dọc, cần ít nhất 2 đợt khảo sát cùng quốc gia.</w:t>
      </w:r>
    </w:p>
    <w:p>
      <w:pPr>
        <w:pStyle w:val="BodyText"/>
      </w:pPr>
      <w:r>
        <w:rPr>
          <w:bCs/>
          <w:b/>
        </w:rPr>
        <w:t xml:space="preserve">Nhảy vọt số</w:t>
      </w:r>
      <w:r>
        <w:t xml:space="preserve"> </w:t>
      </w:r>
      <w:r>
        <w:t xml:space="preserve">là xu hướng nổi bật nhất: website tăng +20–43 điểm phần trăm ở Frontier, Emerging và SIDS — phù hợp luận điểm nhảy vọt số của Banalieva &amp; Dhanaraj (2019). Trong khi đó, R&amp;D giảm mạnh ở Emerging (-42,1 điểm phần trăm) là cảnh báo hiệu ứng schema: BREADY 2018+ đo R&amp;D theo cách khác làm giảm tỷ lệ báo cáo. Upper-middle là nhóm duy nhất có R&amp;D tăng đáng kể (+21,5 điểm phần trăm), phản ánh đầu tư thực sự — đặc biệt từ Trung Quốc với chiến lược sản xuất thông minh.</w:t>
      </w:r>
    </w:p>
    <w:p>
      <w:pPr>
        <w:pStyle w:val="BodyText"/>
      </w:pPr>
      <w:r>
        <w:rPr>
          <w:iCs/>
          <w:i/>
        </w:rPr>
        <w:t xml:space="preserve">Hình 2.3.4.1. Slope chart minh họa thay đổi 5 chỉ số giữa 2 mốc thời gian cho 4 phân nhóm con. Pattern nổi bật: Website tăng mạnh +20–40 điểm phần trăm ở Frontier/SIDS; FDI giảm phổ biến; R&amp;D giảm mạnh ở Emerging (-42,1 đpt) cảnh báo hiệu ứng schema.</w:t>
      </w:r>
    </w:p>
    <w:p>
      <w:pPr>
        <w:pStyle w:val="BodyText"/>
      </w:pPr>
      <w:r>
        <w:rPr>
          <w:iCs/>
          <w:i/>
        </w:rPr>
        <w:t xml:space="preserve">Hình 2.3.6.1. Radar/spider chart cho 3 phân nhóm con (Advanced, Emerging, SIDS) trên 5 chiều (FSTS, Đổi mới sản phẩm, R&amp;D, Website, ISO) với 2 mốc thời gian 2009–2012 vs 2018–2025.</w:t>
      </w:r>
    </w:p>
    <w:bookmarkEnd w:id="52"/>
    <w:bookmarkStart w:id="53"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3"/>
    <w:bookmarkStart w:id="54"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4"/>
    <w:bookmarkStart w:id="55" w:name="phân-nhóm-con-emerging-dị-biệt-nội-bộ"/>
    <w:p>
      <w:pPr>
        <w:pStyle w:val="Heading4"/>
      </w:pPr>
      <w:r>
        <w:t xml:space="preserve">2.3.6.4 Phân nhóm con Emerging — dị biệt nội bộ</w:t>
      </w:r>
    </w:p>
    <w:p>
      <w:pPr>
        <w:pStyle w:val="FirstParagraph"/>
      </w:pPr>
      <w:r>
        <w:rPr>
          <w:bCs/>
          <w:b/>
        </w:rPr>
        <w:t xml:space="preserve">Bảng 2.3.6.4</w:t>
      </w:r>
      <w:r>
        <w:t xml:space="preserve">.</w:t>
      </w:r>
      <w:r>
        <w:t xml:space="preserve"> </w:t>
      </w:r>
      <w:r>
        <w:rPr>
          <w:iCs/>
          <w:i/>
        </w:rPr>
        <w:t xml:space="preserve">Phân nhóm con Emerging — số liệu tổng hợp 2009–2025 (n=47.803).</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khi gộp; (2) FDI chênh lệch 6 lần giữa ASEAN-3 và Nam Á + Tây Á; (3) TCI ngược dấu trong nội bộ nhóm; (4) Mông Cổ là trường hợp biên với đặc điểm tài nguyên; (5) độ lệch chuẩn log 1,53 so với 1,16 — phân tầng hai tầng trong mẫu con FDI dẫn dắt (Hsieh &amp; Klenow, 2009).</w:t>
      </w:r>
    </w:p>
    <w:bookmarkEnd w:id="55"/>
    <w:bookmarkStart w:id="56"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14 quốc gia trong đợt 2025 (n=17.053 — bao gồm Kiribati 2025 và Nepal 2025). Ghi chú: Nepal 2025 sử dụng BREADY Micro schema — FSTS</w:t>
      </w:r>
      <w:r>
        <w:t xml:space="preserve">, Website† và FDI/R&amp;D (—) không tương đương trực tiếp với WBES chuẩn; trung bình Tổng 2025 tính trên 13 quốc gia WBES chuẩn.*</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0,86</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9,2</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1,49</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1,21</w:t>
            </w:r>
          </w:p>
        </w:tc>
      </w:tr>
      <w:tr>
        <w:tc>
          <w:tcPr/>
          <w:p>
            <w:pPr>
              <w:pStyle w:val="Compact"/>
              <w:jc w:val="left"/>
            </w:pPr>
            <w:r>
              <w:t xml:space="preserve">Mông Cổ</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1,30</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0,35</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426</w:t>
            </w:r>
          </w:p>
        </w:tc>
        <w:tc>
          <w:tcPr/>
          <w:p>
            <w:pPr>
              <w:pStyle w:val="Compact"/>
              <w:jc w:val="left"/>
            </w:pPr>
            <w:r>
              <w:t xml:space="preserve">5,9</w:t>
            </w:r>
          </w:p>
        </w:tc>
        <w:tc>
          <w:tcPr/>
          <w:p>
            <w:pPr>
              <w:pStyle w:val="Compact"/>
              <w:jc w:val="left"/>
            </w:pPr>
            <w:r>
              <w:t xml:space="preserve">1,0</w:t>
            </w:r>
          </w:p>
        </w:tc>
        <w:tc>
          <w:tcPr/>
          <w:p>
            <w:pPr>
              <w:pStyle w:val="Compact"/>
              <w:jc w:val="left"/>
            </w:pPr>
            <w:r>
              <w:t xml:space="preserve">25,8</w:t>
            </w:r>
          </w:p>
        </w:tc>
        <w:tc>
          <w:tcPr/>
          <w:p>
            <w:pPr>
              <w:pStyle w:val="Compact"/>
              <w:jc w:val="left"/>
            </w:pPr>
            <w:r>
              <w:t xml:space="preserve">47,2</w:t>
            </w:r>
          </w:p>
        </w:tc>
        <w:tc>
          <w:tcPr/>
          <w:p>
            <w:pPr>
              <w:pStyle w:val="Compact"/>
              <w:jc w:val="left"/>
            </w:pPr>
            <w:r>
              <w:t xml:space="preserve">1,53</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5,7</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1,63</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12,2</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1,22</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1,43</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5,0</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1,38</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1,16</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1,55</w:t>
            </w:r>
          </w:p>
        </w:tc>
      </w:tr>
      <w:tr>
        <w:tc>
          <w:tcPr/>
          <w:p>
            <w:pPr>
              <w:pStyle w:val="Compact"/>
              <w:jc w:val="left"/>
            </w:pPr>
            <w:r>
              <w:t xml:space="preserve">Nepal</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10,0*</w:t>
            </w:r>
          </w:p>
        </w:tc>
        <w:tc>
          <w:tcPr/>
          <w:p>
            <w:pPr>
              <w:pStyle w:val="Compact"/>
              <w:jc w:val="left"/>
            </w:pPr>
            <w:r>
              <w:t xml:space="preserve">—</w:t>
            </w:r>
          </w:p>
        </w:tc>
        <w:tc>
          <w:tcPr/>
          <w:p>
            <w:pPr>
              <w:pStyle w:val="Compact"/>
              <w:jc w:val="left"/>
            </w:pPr>
            <w:r>
              <w:t xml:space="preserve">—</w:t>
            </w:r>
          </w:p>
        </w:tc>
        <w:tc>
          <w:tcPr/>
          <w:p>
            <w:pPr>
              <w:pStyle w:val="Compact"/>
              <w:jc w:val="left"/>
            </w:pPr>
            <w:r>
              <w:t xml:space="preserve">22,6†</w:t>
            </w:r>
          </w:p>
        </w:tc>
        <w:tc>
          <w:tcPr/>
          <w:p>
            <w:pPr>
              <w:pStyle w:val="Compact"/>
              <w:jc w:val="left"/>
            </w:pPr>
            <w:r>
              <w:t xml:space="preserve">1,15</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17.053</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*FSTS Nepal: % doanh nghiệp bán ra thị trường quốc tế (biến nhị phân</w:t>
      </w:r>
      <w:r>
        <w:rPr>
          <w:iCs/>
          <w:i/>
        </w:rPr>
        <w:t xml:space="preserve"> </w:t>
      </w:r>
      <w:r>
        <w:rPr>
          <w:rStyle w:val="VerbatimChar"/>
          <w:iCs/>
          <w:i/>
        </w:rPr>
        <w:t xml:space="preserve">me1c</w:t>
      </w:r>
      <w:r>
        <w:rPr>
          <w:iCs/>
          <w:i/>
        </w:rPr>
        <w:t xml:space="preserve">), không phải trung bình tỷ lệ doanh thu xuất khẩu. †Website Nepal: % dùng máy tính/tablet (</w:t>
      </w:r>
      <w:r>
        <w:rPr>
          <w:rStyle w:val="VerbatimChar"/>
          <w:iCs/>
          <w:i/>
        </w:rPr>
        <w:t xml:space="preserve">c42a</w:t>
      </w:r>
      <w:r>
        <w:rPr>
          <w:iCs/>
          <w:i/>
        </w:rPr>
        <w:t xml:space="preserve">), proxy số hóa Micro. FDI và R&amp;D không có trong BREADY Micro schema.</w:t>
      </w:r>
    </w:p>
    <w:p>
      <w:pPr>
        <w:pStyle w:val="BodyText"/>
      </w:pPr>
      <w:r>
        <w:t xml:space="preserve">Tám phát hiện từ đợt 2025: (1) Ấn Độ FSTS sụt 5 điểm phần trăm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Advanced tài nguyên dẫn dắt được xác nhận; (5) R&amp;D schema-induced overestimation; (6) mẫu xác thực 2025 cho Chuyên đề 2; (7)</w:t>
      </w:r>
      <w:r>
        <w:t xml:space="preserve"> </w:t>
      </w:r>
      <w:r>
        <w:rPr>
          <w:bCs/>
          <w:b/>
        </w:rPr>
        <w:t xml:space="preserve">Kiribati cực đoan — FSTS 1,03%, FDI 0,7%, website 18,7% —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 Chuyên đề 2 cần tách 2 phân nhóm con SIDS.</w:t>
      </w:r>
      <w:r>
        <w:t xml:space="preserve">; (8)</w:t>
      </w:r>
      <w:r>
        <w:t xml:space="preserve"> </w:t>
      </w:r>
      <w:r>
        <w:rPr>
          <w:bCs/>
          <w:b/>
        </w:rPr>
        <w:t xml:space="preserve">Nepal Frontier — BREADY Micro schema (n=1.740): 10% bán quốc tế, số hóa 22,6% (máy tính/tablet), sd log LP 1,15 — mẫu doanh nghiệp siêu nhỏ không so sánh trực tiếp với WBES chuẩn; cần tái mã hóa trước khi tích hợp vào hồi quy chính.</w:t>
      </w:r>
    </w:p>
    <w:p>
      <w:r>
        <w:pict>
          <v:rect style="width:0;height:1.5pt" o:hralign="center" o:hrstd="t" o:hr="t"/>
        </w:pict>
      </w:r>
    </w:p>
    <w:bookmarkEnd w:id="56"/>
    <w:bookmarkEnd w:id="57"/>
    <w:bookmarkStart w:id="66" w:name="bảy-tiểu-cảnh-điển-hình"/>
    <w:p>
      <w:pPr>
        <w:pStyle w:val="Heading3"/>
      </w:pPr>
      <w:r>
        <w:t xml:space="preserve">2.3.7 Bảy tiểu cảnh điển hình</w:t>
      </w:r>
    </w:p>
    <w:bookmarkStart w:id="58" w:name="X3055a7db7274e37a9f2c0231dbf16e1af51dbc7"/>
    <w:p>
      <w:pPr>
        <w:pStyle w:val="Heading4"/>
      </w:pPr>
      <w:r>
        <w:t xml:space="preserve">2.3.7.1 Singapore (Advanced đổi mới sáng tạo dẫn dắt — n=623, đợt 2023)</w:t>
      </w:r>
    </w:p>
    <w:p>
      <w:pPr>
        <w:pStyle w:val="FirstParagraph"/>
      </w:pPr>
      <w:r>
        <w:t xml:space="preserve">FSTS 7,1%; doanh nghiệp xuất khẩu 17,8%; website 66,1%; ISO 23,3%; R&amp;D 7,5%; FDI 31,5%. Độ lệch chuẩn log năng suất 1,03.</w:t>
      </w:r>
      <w:r>
        <w:t xml:space="preserve"> </w:t>
      </w:r>
      <w:r>
        <w:rPr>
          <w:bCs/>
          <w:b/>
        </w:rPr>
        <w:t xml:space="preserve">Biên trên</w:t>
      </w:r>
      <w:r>
        <w:t xml:space="preserve"> </w:t>
      </w:r>
      <w:r>
        <w:t xml:space="preserve">của nhóm Advanced đổi mới sáng tạo dẫn dắt. Theo nghiên cứu Singapore (Mar, Đỗ &amp; Phan, 2026 — MIR under review):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 Tăng trưởng — Cộng đồng.</w:t>
      </w:r>
    </w:p>
    <w:p>
      <w:pPr>
        <w:pStyle w:val="BodyText"/>
      </w:pPr>
      <w:r>
        <w:t xml:space="preserve">Hệ sinh thái Singapore vận hành ở Tier 3–4 —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58"/>
    <w:bookmarkStart w:id="59" w:name="X3d8e62bb8c12f1314bcf822e6abe0e9d84c2bf6"/>
    <w:p>
      <w:pPr>
        <w:pStyle w:val="Heading4"/>
      </w:pPr>
      <w:r>
        <w:t xml:space="preserve">2.3.7.2 Saudi Arabia, Qatar và Kuwait (Advanced tài nguyên dẫn dắt —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w:t>
      </w:r>
      <w:r>
        <w:t xml:space="preserve"> </w:t>
      </w:r>
      <w:r>
        <w:rPr>
          <w:bCs/>
          <w:b/>
        </w:rPr>
        <w:t xml:space="preserve">nhà nước tô</w:t>
      </w:r>
      <w:r>
        <w:t xml:space="preserve"> </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 ở nhà nước tô, cơ chế phân bổ sai là bảo hộ FDI chứ không phải thiếu hụt thể chế; (3) Kuwait Vision 2035 với R&amp;D 20,7% —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59"/>
    <w:bookmarkStart w:id="60" w:name="X18d070c66c9c1e710d1010d38c650c342e9258f"/>
    <w:p>
      <w:pPr>
        <w:pStyle w:val="Heading4"/>
      </w:pPr>
      <w:r>
        <w:t xml:space="preserve">2.3.7.3 Việt Nam (n=2.958, 3 đợt khảo sát — mẫu phân tích P3) — cập nhật ADB Vietnam Outlook 2026</w:t>
      </w:r>
    </w:p>
    <w:p>
      <w:pPr>
        <w:pStyle w:val="FirstParagraph"/>
      </w:pPr>
      <w:r>
        <w:t xml:space="preserve">FSTS 23,2% → 17,9% → 16,1% (suy giảm theo thời gian); doanh nghiệp xuất khẩu 37,1% → 23,8%; ISO 17–23%; R&amp;D 6,1% (2023). Pattern</w:t>
      </w:r>
      <w:r>
        <w:t xml:space="preserve"> </w:t>
      </w:r>
      <w:r>
        <w:rPr>
          <w:bCs/>
          <w:b/>
        </w:rPr>
        <w:t xml:space="preserve">kinh tế hai tầng</w:t>
      </w:r>
      <w:r>
        <w:t xml:space="preserve"> </w:t>
      </w:r>
      <w:r>
        <w:t xml:space="preserve">— FDI hướng xuất khẩu hiệu quả cao đan xen với doanh nghiệp nội địa năng suất thấp (CIEM, 2023).</w:t>
      </w:r>
    </w:p>
    <w:p>
      <w:pPr>
        <w:pStyle w:val="BodyText"/>
      </w:pPr>
      <w:r>
        <w:rPr>
          <w:bCs/>
          <w:b/>
        </w:rPr>
        <w:t xml:space="preserve">Bối cảnh 2026 — ADB Vietnam Economic Outlook</w:t>
      </w:r>
      <w:r>
        <w:t xml:space="preserve">: Việt Nam dự phóng GDP</w:t>
      </w:r>
      <w:r>
        <w:t xml:space="preserve"> </w:t>
      </w:r>
      <w:r>
        <w:rPr>
          <w:bCs/>
          <w:b/>
        </w:rPr>
        <w:t xml:space="preserve">7,2% (2026) / 7,0% (2027)</w:t>
      </w:r>
      <w:r>
        <w:t xml:space="preserve"> </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w:t>
      </w:r>
    </w:p>
    <w:bookmarkEnd w:id="60"/>
    <w:bookmarkStart w:id="61" w:name="trung-quốc-n4.559-mẫu-phân-tích-p5"/>
    <w:p>
      <w:pPr>
        <w:pStyle w:val="Heading4"/>
      </w:pPr>
      <w:r>
        <w:t xml:space="preserve">2.3.7.4 Trung Quốc (n=4.559 — mẫu phân tích P5)</w:t>
      </w:r>
    </w:p>
    <w:p>
      <w:pPr>
        <w:pStyle w:val="FirstParagraph"/>
      </w:pPr>
      <w:r>
        <w:t xml:space="preserve">FSTS 10,9% → 8,8%; FDI ≥10% chiếm 6,0%. Quan hệ FSTS – năng suất có dạng hàm bậc hai (U ngược) với điểm uốn ~47,5% (Đỗ &amp; Phan, 2026 — JFAR).</w:t>
      </w:r>
      <w:r>
        <w:t xml:space="preserve"> </w:t>
      </w:r>
      <w:r>
        <w:rPr>
          <w:bCs/>
          <w:b/>
        </w:rPr>
        <w:t xml:space="preserve">Rủi ro tập trung</w:t>
      </w:r>
      <w:r>
        <w:t xml:space="preserve">: Wang, Huang và Hong (2024 — IRFA) phân tích 80% mô hình rủi ro ngân hàng tại Trung Quốc phụ thuộc các nhà cung cấp công nghệ chi phối thị trường — cảnh báo cho lộ trình sản xuất thông minh.</w:t>
      </w:r>
    </w:p>
    <w:bookmarkEnd w:id="61"/>
    <w:bookmarkStart w:id="62" w:name="X899cb513c960898c1a25d20448f39c61b9b2c62"/>
    <w:p>
      <w:pPr>
        <w:pStyle w:val="Heading4"/>
      </w:pPr>
      <w:r>
        <w:t xml:space="preserve">2.3.7.5 Tổng hợp Emerging Asia (n=42.278) — trường hợp Ấn Độ</w:t>
      </w:r>
    </w:p>
    <w:p>
      <w:pPr>
        <w:pStyle w:val="FirstParagraph"/>
      </w:pPr>
      <w:r>
        <w:t xml:space="preserve">FSTS 7,6%; FDI ≥10% chiếm 4,4%; tỷ lệ doanh nghiệp R&amp;D dương 16%. Phân tán nội bộ lớn (độ lệch chuẩn log 2,18) — phản ánh dị biệt rộng xuyên 7 nước.</w:t>
      </w:r>
    </w:p>
    <w:p>
      <w:pPr>
        <w:pStyle w:val="BodyText"/>
      </w:pPr>
      <w:r>
        <w:rPr>
          <w:bCs/>
          <w:b/>
        </w:rPr>
        <w:t xml:space="preserve">Trường hợp Ấn Độ — lan tỏa công nghệ</w:t>
      </w:r>
      <w:r>
        <w:t xml:space="preserve">: Theo Sikdar &amp; Mukhopadhyay (2026 —</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 42,396 triệu USD (2012–2022); R&amp;D trì trệ ở 0,7% GDP.</w:t>
      </w:r>
    </w:p>
    <w:bookmarkEnd w:id="62"/>
    <w:bookmarkStart w:id="63" w:name="X7b66a270a9cf1e965c06d68bbffe282f59d2e9a"/>
    <w:p>
      <w:pPr>
        <w:pStyle w:val="Heading4"/>
      </w:pPr>
      <w:r>
        <w:t xml:space="preserve">2.3.7.6 Mông Cổ — từ lời nguyền tài nguyên đến khoáng sản thiết yếu (n=1.905)</w:t>
      </w:r>
    </w:p>
    <w:p>
      <w:pPr>
        <w:pStyle w:val="FirstParagraph"/>
      </w:pPr>
      <w:r>
        <w:t xml:space="preserve">FSTS đình trệ 4–6%; FDI ≥10% giảm</w:t>
      </w:r>
      <w:r>
        <w:t xml:space="preserve"> </w:t>
      </w:r>
      <w:r>
        <w:rPr>
          <w:bCs/>
          <w:b/>
        </w:rPr>
        <w:t xml:space="preserve">7,2% → 3,2%</w:t>
      </w:r>
      <w:r>
        <w:t xml:space="preserve">; website tăng 39% → 65%.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2009–2025 (4 đợt khảo sát WBES) — FSTS đình trệ trong khi website tăng mạnh; FDI giảm phản ánh lời nguyền tài nguyên giai đoạn 1.</w:t>
      </w:r>
    </w:p>
    <w:bookmarkEnd w:id="63"/>
    <w:bookmarkStart w:id="64" w:name="sids-thái-bình-dương-7-nước-n1.371"/>
    <w:p>
      <w:pPr>
        <w:pStyle w:val="Heading4"/>
      </w:pPr>
      <w:r>
        <w:t xml:space="preserve">2.3.7.7 SIDS Thái Bình Dương (7 nước — n=1.371)</w:t>
      </w:r>
    </w:p>
    <w:p>
      <w:pPr>
        <w:pStyle w:val="FirstParagraph"/>
      </w:pPr>
      <w:r>
        <w:rPr>
          <w:bCs/>
          <w:b/>
        </w:rPr>
        <w:t xml:space="preserve">7 nước</w:t>
      </w:r>
      <w:r>
        <w:t xml:space="preserve">: Fiji (FJI), Papua New Guinea (PNG), Solomon Islands (SLB), Tonga (TON), Vanuatu (VUT), Samoa (WSM),</w:t>
      </w:r>
      <w:r>
        <w:t xml:space="preserve"> </w:t>
      </w:r>
      <w:r>
        <w:rPr>
          <w:bCs/>
          <w:b/>
        </w:rPr>
        <w:t xml:space="preserve">Kiribati (KIR — 2025)</w:t>
      </w:r>
      <w:r>
        <w:t xml:space="preserve">. FSTS 6,3%; FDI ≥10%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 trường hợp biên cực đoan nhất</w:t>
      </w:r>
      <w:r>
        <w:t xml:space="preserve">: FSTS 1,03%, FDI 0,7%, website 18,7%, ISO 1,3%, độ lệch chuẩn log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 ODA 30% GDP và remittances 25–40% GDP; (3) thanh niên thất nghiệp 15–30%; (4) lao động di chuyển —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4"/>
    <w:bookmarkStart w:id="65"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2.958</w:t>
            </w:r>
          </w:p>
        </w:tc>
        <w:tc>
          <w:tcPr/>
          <w:p>
            <w:pPr>
              <w:pStyle w:val="Compact"/>
              <w:jc w:val="left"/>
            </w:pPr>
            <w:r>
              <w:t xml:space="preserve">4.559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pPr>
        <w:pStyle w:val="BodyText"/>
      </w:pPr>
      <w:r>
        <w:rPr>
          <w:iCs/>
          <w:i/>
        </w:rPr>
        <w:t xml:space="preserve">Bao gồm Kiribati 2025 trong hàng SIDS.</w:t>
      </w:r>
    </w:p>
    <w:p>
      <w:r>
        <w:pict>
          <v:rect style="width:0;height:1.5pt" o:hralign="center" o:hrstd="t" o:hr="t"/>
        </w:pict>
      </w:r>
    </w:p>
    <w:bookmarkEnd w:id="65"/>
    <w:bookmarkEnd w:id="66"/>
    <w:bookmarkStart w:id="70" w:name="yếu-tố-giải-thích-sơ-bộ"/>
    <w:p>
      <w:pPr>
        <w:pStyle w:val="Heading3"/>
      </w:pPr>
      <w:r>
        <w:t xml:space="preserve">2.3.8 Yếu tố giải thích sơ bộ</w:t>
      </w:r>
    </w:p>
    <w:bookmarkStart w:id="67" w:name="hệ-số-tương-quan-pearson"/>
    <w:p>
      <w:pPr>
        <w:pStyle w:val="Heading4"/>
      </w:pPr>
      <w:r>
        <w:t xml:space="preserve">2.3.8.1 Hệ số tương quan Pearson</w:t>
      </w:r>
    </w:p>
    <w:p>
      <w:pPr>
        <w:pStyle w:val="FirstParagraph"/>
      </w:pPr>
      <w:r>
        <w:rPr>
          <w:bCs/>
          <w:b/>
        </w:rPr>
        <w:t xml:space="preserve">Bảng 2.3.8.1</w:t>
      </w:r>
      <w:r>
        <w:t xml:space="preserve">.</w:t>
      </w:r>
      <w:r>
        <w:t xml:space="preserve"> </w:t>
      </w:r>
      <w:r>
        <w:rPr>
          <w:iCs/>
          <w:i/>
        </w:rPr>
        <w:t xml:space="preserve">Hệ số tương quan Pearson theo nhóm ICRV (n = 101.185).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 ≥ 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iCs/>
          <w:i/>
        </w:rPr>
        <w:t xml:space="preserve">Ghi chú: Tất cả hệ số có p &lt; 0,01 (kiểm định hai phía). (Hệ số tương quan Pearson — không áp dụng HC1; HC1 dành cho SE hồi quy ở CĐ2.)</w:t>
      </w:r>
    </w:p>
    <w:p>
      <w:pPr>
        <w:pStyle w:val="BodyText"/>
      </w:pPr>
      <w:r>
        <w:t xml:space="preserve">Sáu phát hiện chính: (1) FDI dương mạnh ở SIDS (+0,222) — FDI ngoại sinh là nguồn năng suất chủ đạo; (2) FDI âm tại Advanced (−0,113) — doanh nghiệp FDI không có lợi thế tại thị trường trưởng thành; (3) FSTS dương tại Advanced (+0,113) — xác nhận lý thuyết Uppsala; (4) TCI dương đồng đều SIDS và Advanced; (5) DAI âm tại Advanced (−0,129) — Nghịch lý bão hòa số; (6) Đảo dấu cross-regime — thể chế điều tiết chiều hướng cơ chế (Xu, 2024).</w:t>
      </w:r>
    </w:p>
    <w:p>
      <w:pPr>
        <w:pStyle w:val="BodyText"/>
      </w:pPr>
      <w:r>
        <w:rPr>
          <w:bCs/>
          <w:b/>
        </w:rPr>
        <w:t xml:space="preserve">Cảnh báo schema BREADY 2025</w:t>
      </w:r>
      <w:r>
        <w:t xml:space="preserve">: Bảng 2.3.8.1 có thể bị nhiễu hiệu ứng schema — cần kiểm chứng qua hệ thống phòng thủ ba tầng (§2.2) trước khi suy diễn nhân quả.</w:t>
      </w:r>
    </w:p>
    <w:bookmarkEnd w:id="67"/>
    <w:bookmarkStart w:id="68" w:name="X7a2cacb152e06bbc0cb3173c16d9e101bae83b4"/>
    <w:p>
      <w:pPr>
        <w:pStyle w:val="Heading4"/>
      </w:pPr>
      <w:r>
        <w:t xml:space="preserve">2.3.8.2 Pattern giới tính trong quản lý và sở hữu —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 quản lý dẫn đầu toàn cầu nhưng ownership ceiling thấp hơn management ceiling 7,7 điểm; (b) MENA bottleneck —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68"/>
    <w:bookmarkStart w:id="69" w:name="X722b5d08b43e844213bbd3d2ce6ee0ceb749773"/>
    <w:p>
      <w:pPr>
        <w:pStyle w:val="Heading4"/>
      </w:pPr>
      <w:r>
        <w:t xml:space="preserve">2.3.8.3 Đường cong U của đổi mới số — từ chi phí đầu tư đến phần bù năng suất</w:t>
      </w:r>
    </w:p>
    <w:p>
      <w:pPr>
        <w:pStyle w:val="FirstParagraph"/>
      </w:pPr>
      <w:r>
        <w:t xml:space="preserve">Quan hệ giữa cường độ đầu tư số và năng suất có hình dạng phi tuyến —</w:t>
      </w:r>
      <w:r>
        <w:t xml:space="preserve"> </w:t>
      </w:r>
      <w:r>
        <w:rPr>
          <w:bCs/>
          <w:b/>
        </w:rPr>
        <w:t xml:space="preserve">đường cong U theo thời gian</w:t>
      </w:r>
      <w:r>
        <w:t xml:space="preserve"> </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DAI = −0,129 tại Advanced —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69"/>
    <w:bookmarkEnd w:id="70"/>
    <w:bookmarkStart w:id="75" w:name="thảo-luận-tổng-hợp"/>
    <w:p>
      <w:pPr>
        <w:pStyle w:val="Heading3"/>
      </w:pPr>
      <w:r>
        <w:t xml:space="preserve">2.3.9 Thảo luận tổng hợp</w:t>
      </w:r>
    </w:p>
    <w:bookmarkStart w:id="71"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nội bộ tăng đơn điệu</w:t>
      </w:r>
      <w:r>
        <w:t xml:space="preserve">: Advanced 0,86 → Upper-middle 1,29 ≈ Emerging 1,24 ≈ SIDS 1,32 → Frontier 1,36. Tỷ số P90/P10 leo từ 10,8 lần lên 39,6 lần. Pattern này</w:t>
      </w:r>
      <w:r>
        <w:t xml:space="preserve"> </w:t>
      </w:r>
      <w:r>
        <w:rPr>
          <w:bCs/>
          <w:b/>
        </w:rPr>
        <w:t xml:space="preserve">nhất quán với giả thuyết phân bổ sai nguồn lực</w:t>
      </w:r>
      <w:r>
        <w:t xml:space="preserve"> </w:t>
      </w:r>
      <w:r>
        <w:t xml:space="preserve">(Hsieh &amp; Klenow, 2009, 2014) —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Tỷ số phân tán Singapore (1,03) so với Vùng Vịnh (0,49) ≈</w:t>
      </w:r>
      <w:r>
        <w:t xml:space="preserve"> </w:t>
      </w:r>
      <w:r>
        <w:rPr>
          <w:bCs/>
          <w:b/>
        </w:rPr>
        <w:t xml:space="preserve">2,1 lần</w:t>
      </w:r>
      <w:r>
        <w:t xml:space="preserve"> </w:t>
      </w:r>
      <w:r>
        <w:t xml:space="preserve">— cần phân nhóm con Advanced trong Chuyên đề 2.</w:t>
      </w:r>
    </w:p>
    <w:p>
      <w:pPr>
        <w:pStyle w:val="BodyText"/>
      </w:pPr>
      <w:r>
        <w:rPr>
          <w:bCs/>
          <w:b/>
        </w:rPr>
        <w:t xml:space="preserve">(iii) Dị biệt nội bộ phân nhóm Emerging — 3 phân nhóm con</w:t>
      </w:r>
      <w:r>
        <w:t xml:space="preserve">: FDI dẫn dắt SEA (VNM+IDN+PHL, FSTS 13,2%) ≠ dân số lớn (IND+LKA+JOR, FSTS 7,2%) ≠ tài nguyên (MNG, FSTS 5,0%).</w:t>
      </w:r>
    </w:p>
    <w:p>
      <w:pPr>
        <w:pStyle w:val="BodyText"/>
      </w:pPr>
      <w:r>
        <w:rPr>
          <w:bCs/>
          <w:b/>
        </w:rPr>
        <w:t xml:space="preserve">(iv) SIDS Pacific — Kiribati 2025 là trường hợp biên cực đoan nhất</w:t>
      </w:r>
      <w:r>
        <w:t xml:space="preserve">: FSTS 1,03%, FDI 0,7%, website 18,7%, ISO 1,3% —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15–23% doanh nghiệp xuất khẩu. Cần lựa chọn hai giai đoạn trong Chuyên đề 2.</w:t>
      </w:r>
    </w:p>
    <w:p>
      <w:pPr>
        <w:pStyle w:val="BodyText"/>
      </w:pPr>
      <w:r>
        <w:rPr>
          <w:bCs/>
          <w:b/>
        </w:rPr>
        <w:t xml:space="preserve">(vi) Nhảy vọt số 2018–2025</w:t>
      </w:r>
      <w:r>
        <w:t xml:space="preserve"> </w:t>
      </w:r>
      <w:r>
        <w:t xml:space="preserve">ở Frontier/Emerging/SIDS (+20–43 điểm phần trăm website). Phân biệt</w:t>
      </w:r>
      <w:r>
        <w:t xml:space="preserve"> </w:t>
      </w:r>
      <w:r>
        <w:rPr>
          <w:bCs/>
          <w:b/>
        </w:rPr>
        <w:t xml:space="preserve">Tier-1 Sự hiện diện số cơ bản</w:t>
      </w:r>
      <w:r>
        <w:t xml:space="preserve"> </w:t>
      </w:r>
      <w:r>
        <w:t xml:space="preserve">(đã bão hòa ở Advanced) và</w:t>
      </w:r>
      <w:r>
        <w:t xml:space="preserve"> </w:t>
      </w:r>
      <w:r>
        <w:rPr>
          <w:bCs/>
          <w:b/>
        </w:rPr>
        <w:t xml:space="preserve">Tier-2 Chuyển đổi số cơ bản</w:t>
      </w:r>
      <w:r>
        <w:t xml:space="preserve"> </w:t>
      </w:r>
      <w:r>
        <w:t xml:space="preserve">(đang phát triển). Hệ số âm DAI Advanced (-0,129) là tạo phẩm bão hòa Tier-1 — xem kiểm định loại trừ ICT tại §2.3.4.3.</w:t>
      </w:r>
    </w:p>
    <w:p>
      <w:pPr>
        <w:pStyle w:val="BodyText"/>
      </w:pPr>
      <w:r>
        <w:rPr>
          <w:bCs/>
          <w:b/>
        </w:rPr>
        <w:t xml:space="preserve">(vii) Pattern phi tuyến FDI ≥10%</w:t>
      </w:r>
      <w:r>
        <w:t xml:space="preserve"> </w:t>
      </w:r>
      <w:r>
        <w:t xml:space="preserve">— dạng chữ U với cực tiểu Emerging (4,7%): Advanced 11,1% → Emerging 4,7% → SIDS 23,5%. Hai mô hình FDI: MNE hub (Advanced) và du lịch/viễn thông (SIDS).</w:t>
      </w:r>
    </w:p>
    <w:p>
      <w:pPr>
        <w:pStyle w:val="BodyText"/>
      </w:pPr>
      <w:r>
        <w:rPr>
          <w:bCs/>
          <w:b/>
        </w:rPr>
        <w:t xml:space="preserve">(viii) Đợt khảo sát 2025 — mẫu đơn năm lớn nhất</w:t>
      </w:r>
      <w:r>
        <w:t xml:space="preserve">: 14 nước × 17.053 doanh nghiệp (bao gồm Nepal 2025 BREADY Micro n=1.740). Ấn Độ FSTS sụt 5 điểm phần trăm (hiệu ứng schema); Fiji website 74,8% &gt; Singapore 66,1%; Kiribati đối lập cực đoan với Fiji; Nepal Micro: 10% bán quốc tế, sd log LP = 1,15.</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1"/>
    <w:bookmarkStart w:id="72" w:name="năm-khoảng-trống-nghiên-cứu"/>
    <w:p>
      <w:pPr>
        <w:pStyle w:val="Heading4"/>
      </w:pPr>
      <w:r>
        <w:t xml:space="preserve">2.3.9.2 Năm khoảng trống nghiên cứu</w:t>
      </w:r>
    </w:p>
    <w:p>
      <w:pPr>
        <w:pStyle w:val="FirstParagraph"/>
      </w:pPr>
      <w:r>
        <w:rPr>
          <w:bCs/>
          <w:b/>
        </w:rPr>
        <w:t xml:space="preserve">KT1 —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108 cặp quốc gia–năm.</w:t>
      </w:r>
    </w:p>
    <w:p>
      <w:pPr>
        <w:pStyle w:val="BodyText"/>
      </w:pPr>
      <w:r>
        <w:rPr>
          <w:bCs/>
          <w:b/>
        </w:rPr>
        <w:t xml:space="preserve">KT2 —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pattern hoàn toàn khác nhau.</w:t>
      </w:r>
    </w:p>
    <w:p>
      <w:pPr>
        <w:pStyle w:val="BodyText"/>
      </w:pPr>
      <w:r>
        <w:rPr>
          <w:bCs/>
          <w:b/>
        </w:rPr>
        <w:t xml:space="preserve">KT3 — Xác nhận nhân quả Nghịch lý bão hòa số qua ước lượng biến công cụ</w:t>
      </w:r>
      <w:r>
        <w:t xml:space="preserve">: Hệ số DAI âm (−0,129) có thể phản ánh: (a) bão hòa thực sự; (b) nhân quả ngược; (c) bias biến bỏ sót. Biến công cụ hợp lệ (độ phủ băng thông rộng) cần thiết để phân biệt.</w:t>
      </w:r>
    </w:p>
    <w:p>
      <w:pPr>
        <w:pStyle w:val="BodyText"/>
      </w:pPr>
      <w:r>
        <w:rPr>
          <w:bCs/>
          <w:b/>
        </w:rPr>
        <w:t xml:space="preserve">KT4 — Dị biệt theo thời gian ba giai đoạn 2009–2025 chưa được tổng hợp</w:t>
      </w:r>
      <w:r>
        <w:t xml:space="preserve">: Bằng chứng từ kiểm định Paternoster cho thấy bất ổn định tham số quan trọng giữa ba giai đoạn.</w:t>
      </w:r>
    </w:p>
    <w:p>
      <w:pPr>
        <w:pStyle w:val="BodyText"/>
      </w:pPr>
      <w:r>
        <w:rPr>
          <w:bCs/>
          <w:b/>
        </w:rPr>
        <w:t xml:space="preserve">KT5 — SIDS Pacific như trường hợp biên lý thuyết của thuyết Uppsala</w:t>
      </w:r>
      <w:r>
        <w:t xml:space="preserve">: Chi phí buộc phải quốc tế hóa tại 7 SIDS không khớp với bất kỳ dạng hàm quốc tế hóa – hiệu quả nào trong văn liệu. Cần khung kết hợp MIRAB và Briguglio (1995) và quan điểm dựa trên nguồn lực.</w:t>
      </w:r>
    </w:p>
    <w:p>
      <w:pPr>
        <w:pStyle w:val="BodyText"/>
      </w:pPr>
      <w:r>
        <w:rPr>
          <w:bCs/>
          <w:b/>
        </w:rPr>
        <w:t xml:space="preserve">Ánh xạ khoảng trống →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108 cặp quốc gia–năm</w:t>
            </w:r>
          </w:p>
        </w:tc>
      </w:tr>
      <w:tr>
        <w:tc>
          <w:tcPr/>
          <w:p>
            <w:pPr>
              <w:pStyle w:val="Compact"/>
              <w:jc w:val="left"/>
            </w:pPr>
            <w:r>
              <w:rPr>
                <w:bCs/>
                <w:b/>
              </w:rPr>
              <w:t xml:space="preserve">KT2</w:t>
            </w:r>
            <w:r>
              <w:t xml:space="preserve"> </w:t>
            </w:r>
            <w:r>
              <w:t xml:space="preserve">— Phân nhóm con Advanced chưa hệ thống hóa</w:t>
            </w:r>
          </w:p>
        </w:tc>
        <w:tc>
          <w:tcPr/>
          <w:p>
            <w:pPr>
              <w:pStyle w:val="Compact"/>
              <w:jc w:val="left"/>
            </w:pPr>
            <w:r>
              <w:t xml:space="preserve">Cơ chế innovation-driven và resource-driven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w:t>
            </w:r>
            <w:r>
              <w:t xml:space="preserve">— Nghịch lý bão hòa số chưa xác nhận nhân quả</w:t>
            </w:r>
          </w:p>
        </w:tc>
        <w:tc>
          <w:tcPr/>
          <w:p>
            <w:pPr>
              <w:pStyle w:val="Compact"/>
              <w:jc w:val="left"/>
            </w:pPr>
            <w:r>
              <w:t xml:space="preserve">Hệ số DAI âm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w:t>
            </w:r>
            <w:r>
              <w:t xml:space="preserve">— Dị biệt thời gian ba giai đoạn chưa tổng hợp</w:t>
            </w:r>
          </w:p>
        </w:tc>
        <w:tc>
          <w:tcPr/>
          <w:p>
            <w:pPr>
              <w:pStyle w:val="Compact"/>
              <w:jc w:val="left"/>
            </w:pPr>
            <w:r>
              <w:t xml:space="preserve">Vị trí điểm uốn và độ cong I–P có ổn định qua 2009–2025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bức tranh thực trạng được chuyển thành một câu hỏi nghiên cứu có thiết kế kiểm định cụ thể trong Chuyên đề 2, duy trì tính liên tục logic giữa hai chuyên đề.</w:t>
      </w:r>
    </w:p>
    <w:bookmarkEnd w:id="72"/>
    <w:bookmarkStart w:id="73" w:name="hàm-ý-lý-thuyết"/>
    <w:p>
      <w:pPr>
        <w:pStyle w:val="Heading4"/>
      </w:pPr>
      <w:r>
        <w:t xml:space="preserve">2.3.9.3 Hàm ý lý thuyết</w:t>
      </w:r>
    </w:p>
    <w:p>
      <w:pPr>
        <w:pStyle w:val="FirstParagraph"/>
      </w:pPr>
      <w:r>
        <w:rPr>
          <w:bCs/>
          <w:b/>
        </w:rPr>
        <w:t xml:space="preserve">(1) Uppsala có điều kiện — không phổ quát</w:t>
      </w:r>
      <w:r>
        <w:t xml:space="preserve">: FSTS dương tại Advanced, không có ý nghĩa tại Frontier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 FSTS²×DAI = +3,119 tại Singapore gợi ý cơ chế mới —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 đo lường không còn phản ánh được cơ chế kinh tế thực.</w:t>
      </w:r>
    </w:p>
    <w:p>
      <w:pPr>
        <w:pStyle w:val="BodyText"/>
      </w:pPr>
      <w:r>
        <w:rPr>
          <w:bCs/>
          <w:b/>
        </w:rPr>
        <w:t xml:space="preserve">(5) Bối cảnh thể chế là tầng điều kiện, không phải yếu tố nền</w:t>
      </w:r>
      <w:r>
        <w:t xml:space="preserve">: Đảo dấu cross-regime không phải nhiễu mà là tín hiệu lý thuyết. Nghiên cứu kinh doanh quốc tế tương lai nên kiểm định hiệu ứng điều tiết theo nhóm ICRV trước khi báo cáo kích thước hiệu ứng trung bình.</w:t>
      </w:r>
    </w:p>
    <w:bookmarkEnd w:id="73"/>
    <w:bookmarkStart w:id="74" w:name="hàm-ý-phương-pháp-luận"/>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Khung canonical 49 nền / 91.982 doanh nghiệp (pool phân loại 96.415 DN / 52 nền; pool mô tả CĐ1 101.185 DN / 47 nền)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 biến giả Post_BREADY_2024, kiểm định ổn định mô hình neo, panel hậu đại dịch độc lập —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Frontier (độ lệch chuẩn log 2,18+).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4"/>
    <w:bookmarkEnd w:id="75"/>
    <w:bookmarkEnd w:id="76"/>
    <w:bookmarkStart w:id="81" w:name="kết-luận"/>
    <w:p>
      <w:pPr>
        <w:pStyle w:val="Heading2"/>
      </w:pPr>
      <w:r>
        <w:t xml:space="preserve">2.4 KẾT LUẬN</w:t>
      </w:r>
    </w:p>
    <w:bookmarkStart w:id="77" w:name="kết-luận-chính"/>
    <w:p>
      <w:pPr>
        <w:pStyle w:val="Heading3"/>
      </w:pPr>
      <w:r>
        <w:t xml:space="preserve">2.4.1 Kết luận chính</w:t>
      </w:r>
    </w:p>
    <w:p>
      <w:pPr>
        <w:pStyle w:val="FirstParagraph"/>
      </w:pPr>
      <w:r>
        <w:t xml:space="preserve">Tám kết luận từ khung canonical 49 nền kinh tế / 91.982 doanh nghiệp (pool phân loại 96.415 DN / 52 nền; phần thống kê mô tả §2.3.3–2.3.8 trên pool mô tả CĐ1 101.185 DN / 47 nền / 108 cặp), 14 sóng WBES 2009–2025:</w:t>
      </w:r>
    </w:p>
    <w:p>
      <w:pPr>
        <w:pStyle w:val="BodyText"/>
      </w:pPr>
      <w:r>
        <w:rPr>
          <w:bCs/>
          <w:b/>
        </w:rPr>
        <w:t xml:space="preserve">KL1 — Phi tuyến xuyên chế độ thể chế là quy luật</w:t>
      </w:r>
      <w:r>
        <w:t xml:space="preserve">: U ngược tại Emerging (Việt Nam điểm uốn 39–46%; Trung Quốc điểm uốn 47–49%); gần tuyến tính tại Advanced (Singapore điểm uốn 88,6%); chi phí buộc phải tại SIDS.</w:t>
      </w:r>
    </w:p>
    <w:p>
      <w:pPr>
        <w:pStyle w:val="BodyText"/>
      </w:pPr>
      <w:r>
        <w:rPr>
          <w:bCs/>
          <w:b/>
        </w:rPr>
        <w:t xml:space="preserve">KL2 — TCI là dịch chuyển mức phổ quát, DAI là khuếch đại phụ thuộc bối cảnh</w:t>
      </w:r>
      <w:r>
        <w:t xml:space="preserve">: TCI dương ở mọi nhóm; DAI đổi dấu theo nhóm ICRV — đây là nội hàm cốt lõi của CDCM.</w:t>
      </w:r>
    </w:p>
    <w:p>
      <w:pPr>
        <w:pStyle w:val="BodyText"/>
      </w:pPr>
      <w:r>
        <w:rPr>
          <w:bCs/>
          <w:b/>
        </w:rPr>
        <w:t xml:space="preserve">KL3 — Nghịch lý bão hòa số là cơ chế đo lường, không phải thất bại thị trường</w:t>
      </w:r>
      <w:r>
        <w:t xml:space="preserve">: DAI âm tại Advanced là tạo phẩm của đo lường Tier-1 trong bối cảnh Tier-2/3 đã được áp dụng.</w:t>
      </w:r>
    </w:p>
    <w:p>
      <w:pPr>
        <w:pStyle w:val="BodyText"/>
      </w:pPr>
      <w:r>
        <w:rPr>
          <w:bCs/>
          <w:b/>
        </w:rPr>
        <w:t xml:space="preserve">KL4 — Thể chế là biến điều tiết, không phải biến trung gian</w:t>
      </w:r>
      <w:r>
        <w:t xml:space="preserve">: Gap de jure–de facto (Xu, 2024) giải thích đảo dấu FDI cross-regime. Chính sách nâng cao thể chế hiệu quả nhất khi song hành với nâng cấp TCI và DAI.</w:t>
      </w:r>
    </w:p>
    <w:p>
      <w:pPr>
        <w:pStyle w:val="BodyText"/>
      </w:pPr>
      <w:r>
        <w:rPr>
          <w:bCs/>
          <w:b/>
        </w:rPr>
        <w:t xml:space="preserve">KL5 —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 SIDS Pacific là trường hợp biên lý thuyết với chi phí buộc phải quốc tế hóa</w:t>
      </w:r>
      <w:r>
        <w:t xml:space="preserve">: FDI (+0,222) là nguồn năng suất chủ đạo; FSTS âm. Mô hình MIRAB phù hợp hơn mô hình Uppsala.</w:t>
      </w:r>
    </w:p>
    <w:p>
      <w:pPr>
        <w:pStyle w:val="BodyText"/>
      </w:pPr>
      <w:r>
        <w:rPr>
          <w:bCs/>
          <w:b/>
        </w:rPr>
        <w:t xml:space="preserve">KL8 —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pattern năng suất doanh nghiệp hoàn toàn khác nhau.</w:t>
      </w:r>
    </w:p>
    <w:bookmarkEnd w:id="77"/>
    <w:bookmarkStart w:id="80" w:name="hàm-ý-và-đề-xuất"/>
    <w:p>
      <w:pPr>
        <w:pStyle w:val="Heading3"/>
      </w:pPr>
      <w:r>
        <w:t xml:space="preserve">2.4.2 Hàm ý và đề xuất</w:t>
      </w:r>
    </w:p>
    <w:bookmarkStart w:id="78"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 bối cảnh khác biệt quá lớn).</w:t>
      </w:r>
    </w:p>
    <w:p>
      <w:pPr>
        <w:pStyle w:val="BodyText"/>
      </w:pPr>
      <w:r>
        <w:rPr>
          <w:bCs/>
          <w:b/>
        </w:rPr>
        <w:t xml:space="preserve">(6) Chính sách số hóa phân cấp theo vùng và quy mô</w:t>
      </w:r>
      <w:r>
        <w:t xml:space="preserve">: Hiệu ứng DAI phụ thuộc bối cảnh — đầu tư website khác nhau tại TP.HCM (Tier-1.5) so với nông thôn đồng bằng sông Cửu Long (Tier-1 chưa bão hòa).</w:t>
      </w:r>
    </w:p>
    <w:p>
      <w:pPr>
        <w:pStyle w:val="BodyText"/>
      </w:pPr>
      <w:r>
        <w:rPr>
          <w:bCs/>
          <w:b/>
        </w:rPr>
        <w:t xml:space="preserve">(7) Hợp tác lao động di chuyển Pacific cho Việt Nam — bài học PLMS/RSE</w:t>
      </w:r>
      <w:r>
        <w:t xml:space="preserve">:</w:t>
      </w:r>
      <w:r>
        <w:t xml:space="preserve"> </w:t>
      </w:r>
      <w:r>
        <w:t xml:space="preserve">(a)</w:t>
      </w:r>
      <w:r>
        <w:t xml:space="preserve"> </w:t>
      </w:r>
      <w:r>
        <w:rPr>
          <w:bCs/>
          <w:b/>
        </w:rPr>
        <w:t xml:space="preserve">PLMS Úc</w:t>
      </w:r>
      <w:r>
        <w:t xml:space="preserve">: Học mô hình 30.000 lao động PICs/năm →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 không phù hợp để sao chép trực tiếp;</w:t>
      </w:r>
      <w:r>
        <w:t xml:space="preserve"> </w:t>
      </w:r>
      <w:r>
        <w:t xml:space="preserve">(b) Nhật Bản 60% doanh nghiệp AI back-office (Tier-2) —</w:t>
      </w:r>
      <w:r>
        <w:t xml:space="preserve"> </w:t>
      </w:r>
      <w:r>
        <w:rPr>
          <w:bCs/>
          <w:b/>
        </w:rPr>
        <w:t xml:space="preserve">mục tiêu thực tế 2026–2030</w:t>
      </w:r>
      <w:r>
        <w:t xml:space="preserve">;</w:t>
      </w:r>
      <w:r>
        <w:t xml:space="preserve"> </w:t>
      </w:r>
      <w:r>
        <w:t xml:space="preserve">(c) Trung Quốc sản xuất thông minh (Tier-2/3) — học điểm tích cực, tránh rủi ro tập trung;</w:t>
      </w:r>
      <w:r>
        <w:t xml:space="preserve"> </w:t>
      </w:r>
      <w:r>
        <w:t xml:space="preserve">(d)</w:t>
      </w:r>
      <w:r>
        <w:t xml:space="preserve"> </w:t>
      </w:r>
      <w:r>
        <w:rPr>
          <w:bCs/>
          <w:b/>
        </w:rPr>
        <w:t xml:space="preserve">Mô hình ưu tiên Việt Nam Tier-1.5</w:t>
      </w:r>
      <w:r>
        <w:t xml:space="preserve">: VietQR (100% miễn phí) → Thương mại xã hội → Xuyên biên giới Shopee/Amazon → Cloud và AI cơ bản.</w:t>
      </w:r>
    </w:p>
    <w:bookmarkEnd w:id="78"/>
    <w:bookmarkStart w:id="79"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quốc gia (47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§2.2 — điều kiện tiên quyết trước khi báo cáo BREADY 2025 như bằng chứng nhân quả.</w:t>
      </w:r>
    </w:p>
    <w:p>
      <w:r>
        <w:pict>
          <v:rect style="width:0;height:1.5pt" o:hralign="center" o:hrstd="t" o:hr="t"/>
        </w:pict>
      </w:r>
    </w:p>
    <w:bookmarkEnd w:id="79"/>
    <w:bookmarkEnd w:id="80"/>
    <w:bookmarkEnd w:id="81"/>
    <w:bookmarkStart w:id="82"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2"/>
    <w:bookmarkStart w:id="84" w:name="phụ-lục"/>
    <w:p>
      <w:pPr>
        <w:pStyle w:val="Heading2"/>
      </w:pPr>
      <w:r>
        <w:t xml:space="preserve">PHỤ LỤC</w:t>
      </w:r>
    </w:p>
    <w:bookmarkStart w:id="83" w:name="Xac7090a743afa00f99b5424d88f7949cab3c6cf"/>
    <w:p>
      <w:pPr>
        <w:pStyle w:val="Heading3"/>
      </w:pPr>
      <w:r>
        <w:t xml:space="preserve">Phụ lục A —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 101.185 doanh nghiệp, 108 cặp quốc gia–năm.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 Advanced đổi mới sáng tạo</w:t>
            </w:r>
          </w:p>
        </w:tc>
        <w:tc>
          <w:tcPr/>
          <w:p>
            <w:pPr>
              <w:pStyle w:val="Compact"/>
              <w:jc w:val="left"/>
            </w:pPr>
            <w:r>
              <w:t xml:space="preserve">Singapore, Hong Kong SAR, Hàn Quốc, Đài Loan, Israel</w:t>
            </w:r>
          </w:p>
        </w:tc>
        <w:tc>
          <w:tcPr/>
          <w:p>
            <w:pPr>
              <w:pStyle w:val="Compact"/>
              <w:jc w:val="left"/>
            </w:pPr>
            <w:r>
              <w:t xml:space="preserve">~4.220</w:t>
            </w:r>
          </w:p>
        </w:tc>
        <w:tc>
          <w:tcPr/>
          <w:p>
            <w:pPr>
              <w:pStyle w:val="Compact"/>
              <w:jc w:val="left"/>
            </w:pPr>
            <w:r>
              <w:t xml:space="preserve">2009–2025</w:t>
            </w:r>
          </w:p>
        </w:tc>
      </w:tr>
      <w:tr>
        <w:tc>
          <w:tcPr/>
          <w:p>
            <w:pPr>
              <w:pStyle w:val="Compact"/>
              <w:jc w:val="left"/>
            </w:pPr>
            <w:r>
              <w:rPr>
                <w:bCs/>
                <w:b/>
              </w:rPr>
              <w:t xml:space="preserve">Nhóm II — Advanced tài nguyên</w:t>
            </w:r>
          </w:p>
        </w:tc>
        <w:tc>
          <w:tcPr/>
          <w:p>
            <w:pPr>
              <w:pStyle w:val="Compact"/>
              <w:jc w:val="left"/>
            </w:pPr>
            <w:r>
              <w:t xml:space="preserve">Saudi Arabia, Qatar, Kuwait, Bahrain, Brunei</w:t>
            </w:r>
          </w:p>
        </w:tc>
        <w:tc>
          <w:tcPr/>
          <w:p>
            <w:pPr>
              <w:pStyle w:val="Compact"/>
              <w:jc w:val="left"/>
            </w:pPr>
            <w:r>
              <w:t xml:space="preserve">~1.932</w:t>
            </w:r>
          </w:p>
        </w:tc>
        <w:tc>
          <w:tcPr/>
          <w:p>
            <w:pPr>
              <w:pStyle w:val="Compact"/>
              <w:jc w:val="left"/>
            </w:pPr>
            <w:r>
              <w:t xml:space="preserve">2013–2025</w:t>
            </w:r>
          </w:p>
        </w:tc>
      </w:tr>
      <w:tr>
        <w:tc>
          <w:tcPr/>
          <w:p>
            <w:pPr>
              <w:pStyle w:val="Compact"/>
              <w:jc w:val="left"/>
            </w:pPr>
            <w:r>
              <w:rPr>
                <w:bCs/>
                <w:b/>
              </w:rPr>
              <w:t xml:space="preserve">Nhóm III — Upper-middle chuyển đổi</w:t>
            </w:r>
          </w:p>
        </w:tc>
        <w:tc>
          <w:tcPr/>
          <w:p>
            <w:pPr>
              <w:pStyle w:val="Compact"/>
              <w:jc w:val="left"/>
            </w:pPr>
            <w:r>
              <w:t xml:space="preserve">Trung Quốc, Malaysia, Thái Lan, Kazakhstan, Armenia, Georgia</w:t>
            </w:r>
          </w:p>
        </w:tc>
        <w:tc>
          <w:tcPr/>
          <w:p>
            <w:pPr>
              <w:pStyle w:val="Compact"/>
              <w:jc w:val="left"/>
            </w:pPr>
            <w:r>
              <w:t xml:space="preserve">~16.693</w:t>
            </w:r>
          </w:p>
        </w:tc>
        <w:tc>
          <w:tcPr/>
          <w:p>
            <w:pPr>
              <w:pStyle w:val="Compact"/>
              <w:jc w:val="left"/>
            </w:pPr>
            <w:r>
              <w:t xml:space="preserve">2009–2023</w:t>
            </w:r>
          </w:p>
        </w:tc>
      </w:tr>
      <w:tr>
        <w:tc>
          <w:tcPr/>
          <w:p>
            <w:pPr>
              <w:pStyle w:val="Compact"/>
              <w:jc w:val="left"/>
            </w:pPr>
            <w:r>
              <w:rPr>
                <w:bCs/>
                <w:b/>
              </w:rPr>
              <w:t xml:space="preserve">Nhóm IV — Emerging chế tạo</w:t>
            </w:r>
          </w:p>
        </w:tc>
        <w:tc>
          <w:tcPr/>
          <w:p>
            <w:pPr>
              <w:pStyle w:val="Compact"/>
              <w:jc w:val="left"/>
            </w:pPr>
            <w:r>
              <w:t xml:space="preserve">Việt Nam, Indonesia, Philippines, Ấn Độ, Sri Lanka, Jordan, Mông Cổ</w:t>
            </w:r>
          </w:p>
        </w:tc>
        <w:tc>
          <w:tcPr/>
          <w:p>
            <w:pPr>
              <w:pStyle w:val="Compact"/>
              <w:jc w:val="left"/>
            </w:pPr>
            <w:r>
              <w:t xml:space="preserve">~47.803</w:t>
            </w:r>
          </w:p>
        </w:tc>
        <w:tc>
          <w:tcPr/>
          <w:p>
            <w:pPr>
              <w:pStyle w:val="Compact"/>
              <w:jc w:val="left"/>
            </w:pPr>
            <w:r>
              <w:t xml:space="preserve">2009–2025</w:t>
            </w:r>
          </w:p>
        </w:tc>
      </w:tr>
      <w:tr>
        <w:tc>
          <w:tcPr/>
          <w:p>
            <w:pPr>
              <w:pStyle w:val="Compact"/>
              <w:jc w:val="left"/>
            </w:pPr>
            <w:r>
              <w:rPr>
                <w:bCs/>
                <w:b/>
              </w:rPr>
              <w:t xml:space="preserve">Nhóm V —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~28.678</w:t>
            </w:r>
          </w:p>
        </w:tc>
        <w:tc>
          <w:tcPr/>
          <w:p>
            <w:pPr>
              <w:pStyle w:val="Compact"/>
              <w:jc w:val="left"/>
            </w:pPr>
            <w:r>
              <w:t xml:space="preserve">2009–2025</w:t>
            </w:r>
          </w:p>
        </w:tc>
      </w:tr>
      <w:tr>
        <w:tc>
          <w:tcPr/>
          <w:p>
            <w:pPr>
              <w:pStyle w:val="Compact"/>
              <w:jc w:val="left"/>
            </w:pPr>
            <w:r>
              <w:rPr>
                <w:bCs/>
                <w:b/>
              </w:rPr>
              <w:t xml:space="preserve">Nhóm VI — SIDS Pacific</w:t>
            </w:r>
          </w:p>
        </w:tc>
        <w:tc>
          <w:tcPr/>
          <w:p>
            <w:pPr>
              <w:pStyle w:val="Compact"/>
              <w:jc w:val="left"/>
            </w:pPr>
            <w:r>
              <w:t xml:space="preserve">Fiji, Papua New Guinea, Solomon Islands, Tonga, Vanuatu, Samoa, Kiribati</w:t>
            </w:r>
          </w:p>
        </w:tc>
        <w:tc>
          <w:tcPr/>
          <w:p>
            <w:pPr>
              <w:pStyle w:val="Compact"/>
              <w:jc w:val="left"/>
            </w:pPr>
            <w:r>
              <w:t xml:space="preserve">~1.371</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 n xấp xỉ (đồng bộ với Bảng 2.3.2.1 thân bài) do hài hòa hóa loại quan sát thiếu biến phụ thuộc; phân bổ analytic chính xác tại Bảng 2.3.3.1. Bản khóa CĐ1 = 101.185/47 nền; luận án dùng bản cập nhật 96.415/52 nền phân loại (mẫu phân tích 49 nền/91.982) — sẽ re-lock đầy đủ khi có raw WBES 43 nền còn thiếu.</w:t>
      </w:r>
    </w:p>
    <w:p>
      <w:pPr>
        <w:pStyle w:val="BodyText"/>
      </w:pPr>
      <w:r>
        <w:rPr>
          <w:bCs/>
          <w:b/>
        </w:rPr>
        <w:t xml:space="preserve">Ba thế hệ schema WBES</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Phạm vi DAI</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(thanh toán điện tử k33/k38)</w:t>
            </w:r>
          </w:p>
        </w:tc>
      </w:tr>
    </w:tbl>
    <w:p>
      <w:pPr>
        <w:pStyle w:val="BodyText"/>
      </w:pPr>
      <w:r>
        <w:t xml:space="preserve">Hệ thống phòng thủ ba tầng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 Phiên bản nộp (12/05/2026)</w:t>
      </w:r>
      <w:r>
        <w:t xml:space="preserve"> </w:t>
      </w:r>
      <w:r>
        <w:rPr>
          <w:iCs/>
          <w:i/>
        </w:rPr>
        <w:t xml:space="preserve">Nghiên cứu sinh: Đỗ Thùy Hương — Trường Đại học Kỹ thuật Công nghệ Vĩnh Long (VLUTE)</w:t>
      </w:r>
      <w:r>
        <w:t xml:space="preserve"> </w:t>
      </w:r>
      <w:r>
        <w:rPr>
          <w:iCs/>
          <w:i/>
        </w:rPr>
        <w:t xml:space="preserve">Người hướng dẫn: TS. Nguyễn Minh Cảnh — Trường Kinh tế, Đại học Cần Thơ (CTU)</w:t>
      </w:r>
    </w:p>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2026-06-11T16:01:17Z</dcterms:created>
  <dcterms:modified xsi:type="dcterms:W3CDTF">2026-06-11T16:01:17Z</dcterms:modified>
</cp:coreProperties>
</file>

<file path=docProps/custom.xml><?xml version="1.0" encoding="utf-8"?>
<Properties xmlns="http://schemas.openxmlformats.org/officeDocument/2006/custom-properties" xmlns:vt="http://schemas.openxmlformats.org/officeDocument/2006/docPropsVTypes"/>
</file>