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e1480b5a66ba76133c54400b1166ec0da7f8433"/>
    <w:p>
      <w:pPr>
        <w:pStyle w:val="Heading1"/>
      </w:pPr>
      <w:r>
        <w:t xml:space="preserve">CHUYÊN ĐỀ TIẾN SĨ SỐ 2 — BẢN NỘP CHÍNH THỨC (v2.1)</w:t>
      </w:r>
    </w:p>
    <w:p>
      <w:pPr>
        <w:pStyle w:val="BlockText"/>
      </w:pPr>
      <w:r>
        <w:t xml:space="preserve">Căn cứ Quyết định số 4768/QĐ-ĐHCT ngày 15/10/2024.</w:t>
      </w:r>
      <w:r>
        <w:t xml:space="preserve"> </w:t>
      </w:r>
      <w:r>
        <w:rPr>
          <w:bCs/>
          <w:b/>
        </w:rPr>
        <w:t xml:space="preserve">Phiên bản 2.1 (12/05/2026)</w:t>
      </w:r>
      <w:r>
        <w:t xml:space="preserve">: Bản nộp chính thức — hợp nhất toàn bộ nội dung đã điều chỉnh theo kết quả thực nghiệm cuối cùng của P3 Việt Nam (JABS), P4 Singapore (MIR), P5 Trung Quốc (IJOEM). Pool 101.185 doanh nghiệp; 47 nền kinh tế (ICRV 6 nhóm: 5+5+6+7+17+7); 108 cặp quốc gia-năm; 14 sóng khảo sát WBES; 7 SIDS bao gồm Kiribati.</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2</w:t>
      </w:r>
      <w:r>
        <w:br/>
      </w:r>
      <w:r>
        <w:br/>
      </w:r>
      <w:r>
        <w:rPr>
          <w:rStyle w:val="VerbatimChar"/>
        </w:rPr>
        <w:t xml:space="preserve">XÂY DỰNG MÔ HÌNH NGHIÊN CỨU VỀ ẢNH HƯỞNG</w:t>
      </w:r>
      <w:r>
        <w:br/>
      </w:r>
      <w:r>
        <w:rPr>
          <w:rStyle w:val="VerbatimChar"/>
        </w:rPr>
        <w:t xml:space="preserve">CỦA QUỐC TẾ HÓA ĐẾN HIỆU QUẢ HOẠT ĐỘNG</w:t>
      </w:r>
      <w:r>
        <w:br/>
      </w:r>
      <w:r>
        <w:rPr>
          <w:rStyle w:val="VerbatimChar"/>
        </w:rPr>
        <w:t xml:space="preserve">KINH DOANH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PGS.TS. PHAN ANH TÚ</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Digital Capability Lens (Banalieva &amp; Dhanaraj, 2019; Verhoef et al., 2021; Stallkamp &amp; Schotter, 2021) làm nền tảng. Lược khảo năm dạng hàm I→P (linear, inverted-U, S-curve, M-curve, forced penalty) và năm meta-analysis lớn 1980–2024 cho thấy khoảng trống thực nghiệm trong việc kiểm định đồng thời phi tuyến và moderation đa tầng ở châu Á. Hệ giả thuyết H1–H6 được phát triển: H1 phi tuyến S-curve; H2 Technological Capability Index (TCI) điều tiết tích cực; H3 Digital Adoption Index (DAI) điều tiết tích cực và phân biệt với TCI; H4 đặc điểm nhà quản trị điều tiết; H5 thể chế nội địa điều tiết theo gradient ICRV sáu regime; H6 heterogeneity theo thời gian. Tám mô hình thực nghiệm M0–M7 được đặc tả, từ baseline tuyến tính đến three-way moderation cấp luận án. Chiến lược nhận dạng đa tầng và kế hoạch kiểm định độ vững toàn diện được thiết kế cho pool</w:t>
      </w:r>
      <w:r>
        <w:t xml:space="preserve"> </w:t>
      </w:r>
      <w:r>
        <w:rPr>
          <w:bCs/>
          <w:b/>
        </w:rPr>
        <w:t xml:space="preserve">101.185</w:t>
      </w:r>
      <w:r>
        <w:t xml:space="preserve"> </w:t>
      </w:r>
      <w:r>
        <w:t xml:space="preserve">doanh nghiệp ở</w:t>
      </w:r>
      <w:r>
        <w:t xml:space="preserve"> </w:t>
      </w:r>
      <w:r>
        <w:rPr>
          <w:bCs/>
          <w:b/>
        </w:rPr>
        <w:t xml:space="preserve">47</w:t>
      </w:r>
      <w:r>
        <w:t xml:space="preserve"> </w:t>
      </w:r>
      <w:r>
        <w:t xml:space="preserve">nền kinh tế châu Á và Thái Bình Dương, bao gồm</w:t>
      </w:r>
      <w:r>
        <w:t xml:space="preserve"> </w:t>
      </w:r>
      <w:r>
        <w:rPr>
          <w:bCs/>
          <w:b/>
        </w:rPr>
        <w:t xml:space="preserve">108</w:t>
      </w:r>
      <w:r>
        <w:t xml:space="preserve"> </w:t>
      </w:r>
      <w:r>
        <w:t xml:space="preserve">cặp quốc gia-năm qua</w:t>
      </w:r>
      <w:r>
        <w:t xml:space="preserve"> </w:t>
      </w:r>
      <w:r>
        <w:rPr>
          <w:bCs/>
          <w:b/>
        </w:rPr>
        <w:t xml:space="preserve">14</w:t>
      </w:r>
      <w:r>
        <w:t xml:space="preserve"> </w:t>
      </w:r>
      <w:r>
        <w:t xml:space="preserve">mốc khảo sát WBES 2009–2025. Đóng góp chính của chuyên đề: (i) khung tích hợp 4 tầng + Digital lens chưa có tương đương cho châu Á; (ii) tách bạch TCI và DAI theo mô hình CDCM (Context-Contingent Digital Capability Model) phát hiện trong CĐ1; (iii) mô hình M7 ba chiều moderation; (iv) sub-grouping Advanced regime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đất nước-cụ thể kiểm định H1–H6 và cấu trúc khả nghiệm CĐ2.</w:t>
      </w:r>
    </w:p>
    <w:p>
      <w:pPr>
        <w:pStyle w:val="BodyText"/>
      </w:pPr>
      <w:r>
        <w:rPr>
          <w:bCs/>
          <w:b/>
        </w:rPr>
        <w:t xml:space="preserve">Từ khóa</w:t>
      </w:r>
      <w:r>
        <w:t xml:space="preserve">: quốc tế hóa; hiệu quả hoạt động kinh doanh; châu Á; mô hình phi tuyến; điều tiết; năng lực số; thể chế; Upper Echelons; ICRV.</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Digital Capability Lens (Banalieva &amp; Dhanaraj, 2019; Verhoef et al., 2021; Stallkamp &amp; Schotter, 2021). A review of five functional forms (linear, inverted-U, S-curve, M-curve, forced penalty) and five major meta-analyses (1980–2024) identifies an empirical gap in the simultaneous testing of nonlinearity and multi-level moderation in Asia. Six hypotheses (H1–H6) are developed: H1 nonlinear S-curve relationship; H2 Technological Capability Index (TCI) positively moderating; H3 Digital Adoption Index (DAI) positively moderating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w:t>
      </w:r>
      <w:r>
        <w:t xml:space="preserve"> </w:t>
      </w:r>
      <w:r>
        <w:rPr>
          <w:bCs/>
          <w:b/>
        </w:rPr>
        <w:t xml:space="preserve">101,185</w:t>
      </w:r>
      <w:r>
        <w:t xml:space="preserve"> </w:t>
      </w:r>
      <w:r>
        <w:t xml:space="preserve">firms across</w:t>
      </w:r>
      <w:r>
        <w:t xml:space="preserve"> </w:t>
      </w:r>
      <w:r>
        <w:rPr>
          <w:bCs/>
          <w:b/>
        </w:rPr>
        <w:t xml:space="preserve">47</w:t>
      </w:r>
      <w:r>
        <w:t xml:space="preserve"> </w:t>
      </w:r>
      <w:r>
        <w:t xml:space="preserve">Asian and Pacific economies, spanning</w:t>
      </w:r>
      <w:r>
        <w:t xml:space="preserve"> </w:t>
      </w:r>
      <w:r>
        <w:rPr>
          <w:bCs/>
          <w:b/>
        </w:rPr>
        <w:t xml:space="preserve">108</w:t>
      </w:r>
      <w:r>
        <w:t xml:space="preserve"> </w:t>
      </w:r>
      <w:r>
        <w:t xml:space="preserve">country-year pairs across</w:t>
      </w:r>
      <w:r>
        <w:t xml:space="preserve"> </w:t>
      </w:r>
      <w:r>
        <w:rPr>
          <w:bCs/>
          <w:b/>
        </w:rPr>
        <w:t xml:space="preserve">14</w:t>
      </w:r>
      <w:r>
        <w:t xml:space="preserve"> </w:t>
      </w:r>
      <w:r>
        <w:t xml:space="preserve">WBES survey waves (2009–2025). The main contributions are: (i) an integrated 4-tier + Digital lens framework with no equivalent for Asia; (ii) the separation of TCI and DAI within the Context-Contingent Digital Capability Model (CDCM) developed from Chuyên đề 1 evidence; (iii) the M7 three-way moderation model; (iv) sub-grouping of the Advanced regime into innovation-driven (ICRV Group I) and resource-driven (ICRV Group II) types. Three companion empirical working papers — P3 Vietnam (JABS), P4 Singapore (MIR), P5 China (IJOEM) — provide country-specific evidence testing H1–H6 and validating the CĐ2 model structure.</w:t>
      </w:r>
    </w:p>
    <w:p>
      <w:pPr>
        <w:pStyle w:val="BodyText"/>
      </w:pPr>
      <w:r>
        <w:rPr>
          <w:bCs/>
          <w:b/>
        </w:rPr>
        <w:t xml:space="preserve">Keywords</w:t>
      </w:r>
      <w:r>
        <w:t xml:space="preserve">: internationalization; firm performance; Asia; nonlinear models; moderation; digital capability; institutions; Upper Echelons; ICRV.</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(Sẽ tự động tạo khi xuất Word/PDF từ markdown.)</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ADB</w:t>
            </w:r>
          </w:p>
        </w:tc>
        <w:tc>
          <w:tcPr/>
          <w:p>
            <w:pPr>
              <w:pStyle w:val="Compact"/>
              <w:jc w:val="left"/>
            </w:pPr>
            <w:r>
              <w:t xml:space="preserve">Asian Development Bank</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CAGR</w:t>
            </w:r>
          </w:p>
        </w:tc>
        <w:tc>
          <w:tcPr/>
          <w:p>
            <w:pPr>
              <w:pStyle w:val="Compact"/>
              <w:jc w:val="left"/>
            </w:pPr>
            <w:r>
              <w:t xml:space="preserve">Compound Annual Growth Rate</w:t>
            </w:r>
          </w:p>
        </w:tc>
      </w:tr>
      <w:tr>
        <w:tc>
          <w:tcPr/>
          <w:p>
            <w:pPr>
              <w:pStyle w:val="Compact"/>
              <w:jc w:val="left"/>
            </w:pPr>
            <w:r>
              <w:t xml:space="preserve">CDCM</w:t>
            </w:r>
          </w:p>
        </w:tc>
        <w:tc>
          <w:tcPr/>
          <w:p>
            <w:pPr>
              <w:pStyle w:val="Compact"/>
              <w:jc w:val="left"/>
            </w:pPr>
            <w:r>
              <w:t xml:space="preserve">Context-Contingent Digital Capability Model</w:t>
            </w:r>
          </w:p>
        </w:tc>
      </w:tr>
      <w:tr>
        <w:tc>
          <w:tcPr/>
          <w:p>
            <w:pPr>
              <w:pStyle w:val="Compact"/>
              <w:jc w:val="left"/>
            </w:pPr>
            <w:r>
              <w:t xml:space="preserve">DAI</w:t>
            </w:r>
          </w:p>
        </w:tc>
        <w:tc>
          <w:tcPr/>
          <w:p>
            <w:pPr>
              <w:pStyle w:val="Compact"/>
              <w:jc w:val="left"/>
            </w:pPr>
            <w:r>
              <w:t xml:space="preserve">Digital Adoption Index</w:t>
            </w:r>
          </w:p>
        </w:tc>
      </w:tr>
      <w:tr>
        <w:tc>
          <w:tcPr/>
          <w:p>
            <w:pPr>
              <w:pStyle w:val="Compact"/>
              <w:jc w:val="left"/>
            </w:pPr>
            <w:r>
              <w:t xml:space="preserve">FE</w:t>
            </w:r>
          </w:p>
        </w:tc>
        <w:tc>
          <w:tcPr/>
          <w:p>
            <w:pPr>
              <w:pStyle w:val="Compact"/>
              <w:jc w:val="left"/>
            </w:pPr>
            <w:r>
              <w:t xml:space="preserve">Fixed Effects</w:t>
            </w:r>
          </w:p>
        </w:tc>
      </w:tr>
      <w:tr>
        <w:tc>
          <w:tcPr/>
          <w:p>
            <w:pPr>
              <w:pStyle w:val="Compact"/>
              <w:jc w:val="left"/>
            </w:pPr>
            <w:r>
              <w:t xml:space="preserve">FDI</w:t>
            </w:r>
          </w:p>
        </w:tc>
        <w:tc>
          <w:tcPr/>
          <w:p>
            <w:pPr>
              <w:pStyle w:val="Compact"/>
              <w:jc w:val="left"/>
            </w:pPr>
            <w:r>
              <w:t xml:space="preserve">Foreign Direct Investment</w:t>
            </w:r>
          </w:p>
        </w:tc>
      </w:tr>
      <w:tr>
        <w:tc>
          <w:tcPr/>
          <w:p>
            <w:pPr>
              <w:pStyle w:val="Compact"/>
              <w:jc w:val="left"/>
            </w:pPr>
            <w:r>
              <w:t xml:space="preserve">FSTS</w:t>
            </w:r>
          </w:p>
        </w:tc>
        <w:tc>
          <w:tcPr/>
          <w:p>
            <w:pPr>
              <w:pStyle w:val="Compact"/>
              <w:jc w:val="left"/>
            </w:pPr>
            <w:r>
              <w:t xml:space="preserve">Foreign Sales to Total Sales ratio</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relationship</w:t>
            </w:r>
          </w:p>
        </w:tc>
      </w:tr>
      <w:tr>
        <w:tc>
          <w:tcPr/>
          <w:p>
            <w:pPr>
              <w:pStyle w:val="Compact"/>
              <w:jc w:val="left"/>
            </w:pPr>
            <w:r>
              <w:t xml:space="preserve">IB</w:t>
            </w:r>
          </w:p>
        </w:tc>
        <w:tc>
          <w:tcPr/>
          <w:p>
            <w:pPr>
              <w:pStyle w:val="Compact"/>
              <w:jc w:val="left"/>
            </w:pPr>
            <w:r>
              <w:t xml:space="preserve">International Business</w:t>
            </w:r>
          </w:p>
        </w:tc>
      </w:tr>
      <w:tr>
        <w:tc>
          <w:tcPr/>
          <w:p>
            <w:pPr>
              <w:pStyle w:val="Compact"/>
              <w:jc w:val="left"/>
            </w:pPr>
            <w:r>
              <w:t xml:space="preserve">ICRV</w:t>
            </w:r>
          </w:p>
        </w:tc>
        <w:tc>
          <w:tcPr/>
          <w:p>
            <w:pPr>
              <w:pStyle w:val="Compact"/>
              <w:jc w:val="left"/>
            </w:pPr>
            <w:r>
              <w:t xml:space="preserve">Institutional Context Regime Variation</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IT</w:t>
            </w:r>
          </w:p>
        </w:tc>
        <w:tc>
          <w:tcPr/>
          <w:p>
            <w:pPr>
              <w:pStyle w:val="Compact"/>
              <w:jc w:val="left"/>
            </w:pPr>
            <w:r>
              <w:t xml:space="preserve">Institutional Theory</w:t>
            </w:r>
          </w:p>
        </w:tc>
      </w:tr>
      <w:tr>
        <w:tc>
          <w:tcPr/>
          <w:p>
            <w:pPr>
              <w:pStyle w:val="Compact"/>
              <w:jc w:val="left"/>
            </w:pPr>
            <w:r>
              <w:t xml:space="preserve">IV</w:t>
            </w:r>
          </w:p>
        </w:tc>
        <w:tc>
          <w:tcPr/>
          <w:p>
            <w:pPr>
              <w:pStyle w:val="Compact"/>
              <w:jc w:val="left"/>
            </w:pPr>
            <w:r>
              <w:t xml:space="preserve">Instrumental Variable</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M&amp;A</w:t>
            </w:r>
          </w:p>
        </w:tc>
        <w:tc>
          <w:tcPr/>
          <w:p>
            <w:pPr>
              <w:pStyle w:val="Compact"/>
              <w:jc w:val="left"/>
            </w:pPr>
            <w:r>
              <w:t xml:space="preserve">Mergers and Acquisitions</w:t>
            </w:r>
          </w:p>
        </w:tc>
      </w:tr>
      <w:tr>
        <w:tc>
          <w:tcPr/>
          <w:p>
            <w:pPr>
              <w:pStyle w:val="Compact"/>
              <w:jc w:val="left"/>
            </w:pPr>
            <w:r>
              <w:t xml:space="preserve">MENA</w:t>
            </w:r>
          </w:p>
        </w:tc>
        <w:tc>
          <w:tcPr/>
          <w:p>
            <w:pPr>
              <w:pStyle w:val="Compact"/>
              <w:jc w:val="left"/>
            </w:pPr>
            <w:r>
              <w:t xml:space="preserve">Middle East and North Africa</w:t>
            </w:r>
          </w:p>
        </w:tc>
      </w:tr>
      <w:tr>
        <w:tc>
          <w:tcPr/>
          <w:p>
            <w:pPr>
              <w:pStyle w:val="Compact"/>
              <w:jc w:val="left"/>
            </w:pPr>
            <w:r>
              <w:t xml:space="preserve">MNE</w:t>
            </w:r>
          </w:p>
        </w:tc>
        <w:tc>
          <w:tcPr/>
          <w:p>
            <w:pPr>
              <w:pStyle w:val="Compact"/>
              <w:jc w:val="left"/>
            </w:pPr>
            <w:r>
              <w:t xml:space="preserve">Multinational Enterprise</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w:t>
            </w:r>
          </w:p>
        </w:tc>
      </w:tr>
      <w:tr>
        <w:tc>
          <w:tcPr/>
          <w:p>
            <w:pPr>
              <w:pStyle w:val="Compact"/>
              <w:jc w:val="left"/>
            </w:pPr>
            <w:r>
              <w:t xml:space="preserve">PESTEL</w:t>
            </w:r>
          </w:p>
        </w:tc>
        <w:tc>
          <w:tcPr/>
          <w:p>
            <w:pPr>
              <w:pStyle w:val="Compact"/>
              <w:jc w:val="left"/>
            </w:pPr>
            <w:r>
              <w:t xml:space="preserve">Political – Economic – Social – Technological – Environmental – Legal</w:t>
            </w:r>
          </w:p>
        </w:tc>
      </w:tr>
      <w:tr>
        <w:tc>
          <w:tcPr/>
          <w:p>
            <w:pPr>
              <w:pStyle w:val="Compact"/>
              <w:jc w:val="left"/>
            </w:pPr>
            <w:r>
              <w:t xml:space="preserve">PPP</w:t>
            </w:r>
          </w:p>
        </w:tc>
        <w:tc>
          <w:tcPr/>
          <w:p>
            <w:pPr>
              <w:pStyle w:val="Compact"/>
              <w:jc w:val="left"/>
            </w:pPr>
            <w:r>
              <w:t xml:space="preserve">Purchasing Power Parity</w:t>
            </w:r>
          </w:p>
        </w:tc>
      </w:tr>
      <w:tr>
        <w:tc>
          <w:tcPr/>
          <w:p>
            <w:pPr>
              <w:pStyle w:val="Compact"/>
              <w:jc w:val="left"/>
            </w:pPr>
            <w:r>
              <w:t xml:space="preserve">R&amp;D</w:t>
            </w:r>
          </w:p>
        </w:tc>
        <w:tc>
          <w:tcPr/>
          <w:p>
            <w:pPr>
              <w:pStyle w:val="Compact"/>
              <w:jc w:val="left"/>
            </w:pPr>
            <w:r>
              <w:t xml:space="preserve">Research and Development</w:t>
            </w:r>
          </w:p>
        </w:tc>
      </w:tr>
      <w:tr>
        <w:tc>
          <w:tcPr/>
          <w:p>
            <w:pPr>
              <w:pStyle w:val="Compact"/>
              <w:jc w:val="left"/>
            </w:pPr>
            <w:r>
              <w:t xml:space="preserve">RBV</w:t>
            </w:r>
          </w:p>
        </w:tc>
        <w:tc>
          <w:tcPr/>
          <w:p>
            <w:pPr>
              <w:pStyle w:val="Compact"/>
              <w:jc w:val="left"/>
            </w:pPr>
            <w:r>
              <w:t xml:space="preserve">Resource-Based View</w:t>
            </w:r>
          </w:p>
        </w:tc>
      </w:tr>
      <w:tr>
        <w:tc>
          <w:tcPr/>
          <w:p>
            <w:pPr>
              <w:pStyle w:val="Compact"/>
              <w:jc w:val="left"/>
            </w:pPr>
            <w:r>
              <w:t xml:space="preserve">RE</w:t>
            </w:r>
          </w:p>
        </w:tc>
        <w:tc>
          <w:tcPr/>
          <w:p>
            <w:pPr>
              <w:pStyle w:val="Compact"/>
              <w:jc w:val="left"/>
            </w:pPr>
            <w:r>
              <w:t xml:space="preserve">Random Effects</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w:t>
            </w:r>
          </w:p>
        </w:tc>
      </w:tr>
      <w:tr>
        <w:tc>
          <w:tcPr/>
          <w:p>
            <w:pPr>
              <w:pStyle w:val="Compact"/>
              <w:jc w:val="left"/>
            </w:pPr>
            <w:r>
              <w:t xml:space="preserve">ROS</w:t>
            </w:r>
          </w:p>
        </w:tc>
        <w:tc>
          <w:tcPr/>
          <w:p>
            <w:pPr>
              <w:pStyle w:val="Compact"/>
              <w:jc w:val="left"/>
            </w:pPr>
            <w:r>
              <w:t xml:space="preserve">Return on Sales</w:t>
            </w:r>
          </w:p>
        </w:tc>
      </w:tr>
      <w:tr>
        <w:tc>
          <w:tcPr/>
          <w:p>
            <w:pPr>
              <w:pStyle w:val="Compact"/>
              <w:jc w:val="left"/>
            </w:pPr>
            <w:r>
              <w:t xml:space="preserve">SE</w:t>
            </w:r>
          </w:p>
        </w:tc>
        <w:tc>
          <w:tcPr/>
          <w:p>
            <w:pPr>
              <w:pStyle w:val="Compact"/>
              <w:jc w:val="left"/>
            </w:pPr>
            <w:r>
              <w:t xml:space="preserve">Standard Errors</w:t>
            </w:r>
          </w:p>
        </w:tc>
      </w:tr>
      <w:tr>
        <w:tc>
          <w:tcPr/>
          <w:p>
            <w:pPr>
              <w:pStyle w:val="Compact"/>
              <w:jc w:val="left"/>
            </w:pPr>
            <w:r>
              <w:t xml:space="preserve">SIDS</w:t>
            </w:r>
          </w:p>
        </w:tc>
        <w:tc>
          <w:tcPr/>
          <w:p>
            <w:pPr>
              <w:pStyle w:val="Compact"/>
              <w:jc w:val="left"/>
            </w:pPr>
            <w:r>
              <w:t xml:space="preserve">Small Island Developing States</w:t>
            </w:r>
          </w:p>
        </w:tc>
      </w:tr>
      <w:tr>
        <w:tc>
          <w:tcPr/>
          <w:p>
            <w:pPr>
              <w:pStyle w:val="Compact"/>
              <w:jc w:val="left"/>
            </w:pPr>
            <w:r>
              <w:t xml:space="preserve">SME</w:t>
            </w:r>
          </w:p>
        </w:tc>
        <w:tc>
          <w:tcPr/>
          <w:p>
            <w:pPr>
              <w:pStyle w:val="Compact"/>
              <w:jc w:val="left"/>
            </w:pPr>
            <w:r>
              <w:t xml:space="preserve">Small and Medium-sized Enterprise</w:t>
            </w:r>
          </w:p>
        </w:tc>
      </w:tr>
      <w:tr>
        <w:tc>
          <w:tcPr/>
          <w:p>
            <w:pPr>
              <w:pStyle w:val="Compact"/>
              <w:jc w:val="left"/>
            </w:pPr>
            <w:r>
              <w:t xml:space="preserve">SOE</w:t>
            </w:r>
          </w:p>
        </w:tc>
        <w:tc>
          <w:tcPr/>
          <w:p>
            <w:pPr>
              <w:pStyle w:val="Compact"/>
              <w:jc w:val="left"/>
            </w:pPr>
            <w:r>
              <w:t xml:space="preserve">State-Owned Enterprise</w:t>
            </w:r>
          </w:p>
        </w:tc>
      </w:tr>
      <w:tr>
        <w:tc>
          <w:tcPr/>
          <w:p>
            <w:pPr>
              <w:pStyle w:val="Compact"/>
              <w:jc w:val="left"/>
            </w:pPr>
            <w:r>
              <w:t xml:space="preserve">TCI</w:t>
            </w:r>
          </w:p>
        </w:tc>
        <w:tc>
          <w:tcPr/>
          <w:p>
            <w:pPr>
              <w:pStyle w:val="Compact"/>
              <w:jc w:val="left"/>
            </w:pPr>
            <w:r>
              <w:t xml:space="preserve">Technological Capability Index</w:t>
            </w:r>
          </w:p>
        </w:tc>
      </w:tr>
      <w:tr>
        <w:tc>
          <w:tcPr/>
          <w:p>
            <w:pPr>
              <w:pStyle w:val="Compact"/>
              <w:jc w:val="left"/>
            </w:pPr>
            <w:r>
              <w:t xml:space="preserve">UE</w:t>
            </w:r>
          </w:p>
        </w:tc>
        <w:tc>
          <w:tcPr/>
          <w:p>
            <w:pPr>
              <w:pStyle w:val="Compact"/>
              <w:jc w:val="left"/>
            </w:pPr>
            <w:r>
              <w:t xml:space="preserve">Upper Echelons Theory</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w:t>
            </w:r>
          </w:p>
        </w:tc>
      </w:tr>
      <w:tr>
        <w:tc>
          <w:tcPr/>
          <w:p>
            <w:pPr>
              <w:pStyle w:val="Compact"/>
              <w:jc w:val="left"/>
            </w:pPr>
            <w:r>
              <w:t xml:space="preserve">WGI</w:t>
            </w:r>
          </w:p>
        </w:tc>
        <w:tc>
          <w:tcPr/>
          <w:p>
            <w:pPr>
              <w:pStyle w:val="Compact"/>
              <w:jc w:val="left"/>
            </w:pPr>
            <w:r>
              <w:t xml:space="preserve">Worldwide Governance Indicators</w:t>
            </w:r>
          </w:p>
        </w:tc>
      </w:tr>
      <w:tr>
        <w:tc>
          <w:tcPr/>
          <w:p>
            <w:pPr>
              <w:pStyle w:val="Compact"/>
              <w:jc w:val="left"/>
            </w:pPr>
            <w:r>
              <w:t xml:space="preserve">WIPO</w:t>
            </w:r>
          </w:p>
        </w:tc>
        <w:tc>
          <w:tcPr/>
          <w:p>
            <w:pPr>
              <w:pStyle w:val="Compact"/>
              <w:jc w:val="left"/>
            </w:pPr>
            <w:r>
              <w:t xml:space="preserve">World Intellectual Property Organization</w:t>
            </w:r>
          </w:p>
        </w:tc>
      </w:tr>
    </w:tbl>
    <w:p>
      <w:r>
        <w:pict>
          <v:rect style="width:0;height:1.5pt" o:hralign="center" o:hrstd="t" o:hr="t"/>
        </w:pict>
      </w:r>
    </w:p>
    <w:bookmarkEnd w:id="25"/>
    <w:bookmarkStart w:id="33" w:name="chương-1-giới-thiệu"/>
    <w:p>
      <w:pPr>
        <w:pStyle w:val="Heading2"/>
      </w:pPr>
      <w:r>
        <w:t xml:space="preserve">CHƯƠNG 1 — GIỚI THIỆU</w:t>
      </w:r>
    </w:p>
    <w:bookmarkStart w:id="26" w:name="đặt-vấn-đề-và-bối-cảnh"/>
    <w:p>
      <w:pPr>
        <w:pStyle w:val="Heading3"/>
      </w:pPr>
      <w:r>
        <w:t xml:space="preserve">1.1 Đặt vấn đề và bối cảnh</w:t>
      </w:r>
    </w:p>
    <w:p>
      <w:pPr>
        <w:pStyle w:val="FirstParagraph"/>
      </w:pPr>
      <w:r>
        <w:t xml:space="preserve">Quốc tế hóa (internationalization) là chiến lược phát triển quan trọng nhất của doanh nghiệp trong hơn nửa thế kỷ qua, nhưng kết quả mà nó đem lại không đồng nhất. Văn liệu International Business (IB) đã ghi nhận</w:t>
      </w:r>
      <w:r>
        <w:t xml:space="preserve"> </w:t>
      </w:r>
      <w:r>
        <w:rPr>
          <w:bCs/>
          <w:b/>
        </w:rPr>
        <w:t xml:space="preserve">năm dạng hàm khác nhau</w:t>
      </w:r>
      <w:r>
        <w:t xml:space="preserve"> </w:t>
      </w:r>
      <w:r>
        <w:t xml:space="preserve">trong quan hệ giữa cường độ quốc tế hóa và hiệu quả doanh nghiệp: tuyến tính (Hsu &amp; Boggs, 2003), inverted-U (Gomes &amp; Ramaswamy, 1999; Hitt, Hoskisson &amp; Kim, 1997), S-curve (Lu &amp; Beamish, 2004; Contractor, Kundu &amp; Hsu, 2003), M-curve (Riahi-Belkaoui, 1998), và forced penalty (Glaum &amp; Oesterle, 2007; Đỗ &amp; Phan, 2026 — P8 manuscript về Pacific SIDS). Sự đa dạng dạng hàm này phản ánh thực tế rằng hiệu ứng của quốc tế hóa lên hiệu quả phụ thuộc vào nhiều yếu tố điều tiết — từ năng lực doanh nghiệp đến đặc điểm thể chế quốc gia (Bausch &amp; Krist, 2007; Kirca et al., 2012; Marano et al., 2016; Wu, Wood &amp; Khan, 2022).</w:t>
      </w:r>
    </w:p>
    <w:p>
      <w:pPr>
        <w:pStyle w:val="BodyText"/>
      </w:pPr>
      <w:r>
        <w:t xml:space="preserve">Châu Á trong giai đoạn 2009–2025 là phòng thí nghiệm tự nhiên (natural laboratory) độc đáo cho nghiên cứu quan hệ I→P. Khu vực này tồn tại đồng thời ít nhất</w:t>
      </w:r>
      <w:r>
        <w:t xml:space="preserve"> </w:t>
      </w:r>
      <w:r>
        <w:rPr>
          <w:bCs/>
          <w:b/>
        </w:rPr>
        <w:t xml:space="preserve">sáu regime thể chế khác nhau</w:t>
      </w:r>
      <w:r>
        <w:t xml:space="preserve"> </w:t>
      </w:r>
      <w:r>
        <w:t xml:space="preserve">theo khung ICRV: (i)</w:t>
      </w:r>
      <w:r>
        <w:t xml:space="preserve"> </w:t>
      </w:r>
      <w:r>
        <w:rPr>
          <w:bCs/>
          <w:b/>
        </w:rPr>
        <w:t xml:space="preserve">tiên tiến đổi mới sáng tạo dẫn dắt — Advanced innovation-driven (ICRV Nhóm I)</w:t>
      </w:r>
      <w:r>
        <w:t xml:space="preserve"> </w:t>
      </w:r>
      <w:r>
        <w:t xml:space="preserve">gồm Singapore, Hong Kong SAR, Hàn Quốc, Đài Loan, Israel với hạ tầng thể chế và số hoàn thiện nhất; (ii)</w:t>
      </w:r>
      <w:r>
        <w:t xml:space="preserve"> </w:t>
      </w:r>
      <w:r>
        <w:rPr>
          <w:bCs/>
          <w:b/>
        </w:rPr>
        <w:t xml:space="preserve">tiên tiến tài nguyên dẫn dắt — Advanced resource-driven (ICRV Nhóm II)</w:t>
      </w:r>
      <w:r>
        <w:t xml:space="preserve"> </w:t>
      </w:r>
      <w:r>
        <w:t xml:space="preserve">gồm Saudi Arabia, Qatar, Kuwait, Bahrain, Brunei với nền kinh tế dựa vào hydrocarbon và quỹ đầu tư chính phủ; (iii)</w:t>
      </w:r>
      <w:r>
        <w:t xml:space="preserve"> </w:t>
      </w:r>
      <w:r>
        <w:rPr>
          <w:bCs/>
          <w:b/>
        </w:rPr>
        <w:t xml:space="preserve">trung bình cao — Upper-middle (ICRV Nhóm III)</w:t>
      </w:r>
      <w:r>
        <w:t xml:space="preserve"> </w:t>
      </w:r>
      <w:r>
        <w:t xml:space="preserve">gồm Trung Quốc, Malaysia, Thái Lan, Kazakhstan, Armenia, Georgia đang trong giai đoạn chuyển đổi công nghiệp; (iv)</w:t>
      </w:r>
      <w:r>
        <w:t xml:space="preserve"> </w:t>
      </w:r>
      <w:r>
        <w:rPr>
          <w:bCs/>
          <w:b/>
        </w:rPr>
        <w:t xml:space="preserve">đang nổi — Emerging (ICRV Nhóm IV)</w:t>
      </w:r>
      <w:r>
        <w:t xml:space="preserve"> </w:t>
      </w:r>
      <w:r>
        <w:t xml:space="preserve">gồm Việt Nam, Indonesia, Philippines, Ấn Độ, Sri Lanka, Jordan, Mông Cổ đang hội nhập sâu; (v)</w:t>
      </w:r>
      <w:r>
        <w:t xml:space="preserve"> </w:t>
      </w:r>
      <w:r>
        <w:rPr>
          <w:bCs/>
          <w:b/>
        </w:rPr>
        <w:t xml:space="preserve">cận biên — Frontier (ICRV Nhóm V)</w:t>
      </w:r>
      <w:r>
        <w:t xml:space="preserve"> </w:t>
      </w:r>
      <w:r>
        <w:t xml:space="preserve">gồm 17 nền kinh tế thu nhập thấp-trung; và (vi)</w:t>
      </w:r>
      <w:r>
        <w:t xml:space="preserve"> </w:t>
      </w:r>
      <w:r>
        <w:rPr>
          <w:bCs/>
          <w:b/>
        </w:rPr>
        <w:t xml:space="preserve">quốc đảo nhỏ Thái Bình Dương — SIDS Pacific (ICRV Nhóm VI, trường hợp biên)</w:t>
      </w:r>
      <w:r>
        <w:t xml:space="preserve"> </w:t>
      </w:r>
      <w:r>
        <w:t xml:space="preserve">gồm 7 nền kinh tế đảo nhỏ với pattern</w:t>
      </w:r>
      <w:r>
        <w:t xml:space="preserve"> </w:t>
      </w:r>
      <w:r>
        <w:t xml:space="preserve">“</w:t>
      </w:r>
      <w:r>
        <w:t xml:space="preserve">forced internationalization</w:t>
      </w:r>
      <w:r>
        <w:t xml:space="preserve">”</w:t>
      </w:r>
      <w:r>
        <w:t xml:space="preserve"> </w:t>
      </w:r>
      <w:r>
        <w:t xml:space="preserve">đặc trưng (Briguglio, 1995; Bertram, 2006). Tổng cộng 47 nền kinh tế, 108 cặp quốc gia-năm. Sự đa dạng này cho phép kiểm định đồng thời các giả thuyết về phi tuyến và moderation đa tầng — điều mà các nghiên cứu hiện hành thường không thể thực hiện do giới hạn phạm vi địa lý.</w:t>
      </w:r>
    </w:p>
    <w:p>
      <w:pPr>
        <w:pStyle w:val="BodyText"/>
      </w:pPr>
      <w:r>
        <w:t xml:space="preserve">Đồng thời, châu Á đang trải qua</w:t>
      </w:r>
      <w:r>
        <w:t xml:space="preserve"> </w:t>
      </w:r>
      <w:r>
        <w:rPr>
          <w:bCs/>
          <w:b/>
        </w:rPr>
        <w:t xml:space="preserve">chuyển đổi số chưa từng có</w:t>
      </w:r>
      <w:r>
        <w:t xml:space="preserve"> </w:t>
      </w:r>
      <w:r>
        <w:t xml:space="preserve">trong giai đoạn 2018–2025. Sự bùng nổ của hạ tầng số và trí tuệ nhân tạo từ năm 2023 trở đi đã tái định hình cơ chế qua đó năng lực số tác động lên quốc tế hóa và hiệu quả (Banalieva &amp; Dhanaraj, 2019; Verhoef et al., 2021; Yang, Zhao &amp; Wei, 2025). Chỉ tính riêng năm 2025, World Bank Enterprise Surveys (WBES) đã khảo sát hơn 16.800 doanh nghiệp ở 12 nền kinh tế châu Á — cung cấp bằng chứng vi mô cập nhật nhất về thực trạng quốc tế hóa và năng lực số sau làn sóng AI.</w:t>
      </w:r>
    </w:p>
    <w:p>
      <w:pPr>
        <w:pStyle w:val="BodyText"/>
      </w:pPr>
      <w:r>
        <w:t xml:space="preserve">Tuy nhiên,</w:t>
      </w:r>
      <w:r>
        <w:t xml:space="preserve"> </w:t>
      </w:r>
      <w:r>
        <w:rPr>
          <w:bCs/>
          <w:b/>
        </w:rPr>
        <w:t xml:space="preserve">khung lý thuyết hiện hành về quan hệ I→P còn phân tán</w:t>
      </w:r>
      <w:r>
        <w:t xml:space="preserve">. Các tổng quan lớn thường tập trung vào một hoặc hai khía cạnh — Uppsala (động lực quốc tế hóa), RBV (vai trò nguồn lực), Institutional Theory (vai trò thể chế), Upper Echelons (vai trò nhà quản trị) — mà ít có khung tích hợp đa tầng cho phép giải thích đầy đủ heterogeneity quan sát được ở châu Á. Đặc biệt,</w:t>
      </w:r>
      <w:r>
        <w:t xml:space="preserve"> </w:t>
      </w:r>
      <w:r>
        <w:rPr>
          <w:bCs/>
          <w:b/>
        </w:rPr>
        <w:t xml:space="preserve">lăng kính số (Digital Capability Lens)</w:t>
      </w:r>
      <w:r>
        <w:t xml:space="preserve"> </w:t>
      </w:r>
      <w:r>
        <w:t xml:space="preserve">chỉ mới được đề xuất gần đây (Banalieva &amp; Dhanaraj, 2019; Stallkamp &amp; Schotter, 2021) và chưa được tích hợp đầy đủ với bốn tầng lý thuyết kinh điển.</w:t>
      </w:r>
    </w:p>
    <w:p>
      <w:pPr>
        <w:pStyle w:val="BodyText"/>
      </w:pPr>
      <w:r>
        <w:t xml:space="preserve">Chuyên đề 1 (</w:t>
      </w:r>
      <w:r>
        <w:t xml:space="preserve">“</w:t>
      </w:r>
      <w:r>
        <w:t xml:space="preserve">Thực trạng về hiệu quả hoạt động kinh doanh của các doanh nghiệp ở châu Á</w:t>
      </w:r>
      <w:r>
        <w:t xml:space="preserve">”</w:t>
      </w:r>
      <w:r>
        <w:t xml:space="preserve">) đã cung cấp bức tranh thực trạng đa chiều dựa trên</w:t>
      </w:r>
      <w:r>
        <w:t xml:space="preserve"> </w:t>
      </w:r>
      <w:r>
        <w:rPr>
          <w:bCs/>
          <w:b/>
        </w:rPr>
        <w:t xml:space="preserve">101.185</w:t>
      </w:r>
      <w:r>
        <w:t xml:space="preserve"> </w:t>
      </w:r>
      <w:r>
        <w:t xml:space="preserve">doanh nghiệp WBES xuyên 47 nền kinh tế, làm rõ ba pattern then chốt: (a) dispersion năng suất tăng đơn điệu theo regime declension từ Nhóm I đến Nhóm VI; (b) heterogeneity nội bộ trong Advanced — tiên tiến đổi mới (Nhóm I) có ln(LP) trung vị cao hơn đáng kể so với tiên tiến tài nguyên (Nhóm II) do khác biệt về tích lũy năng lực; (c) SIDS Pacific (Nhóm VI) có pattern adaptation đặc trưng (innov_product 41,5%, website 58,9%, R&amp;D 11,8%). Đồng thời, CĐ1 phát hiện CDCM —</w:t>
      </w:r>
      <w:r>
        <w:t xml:space="preserve"> </w:t>
      </w:r>
      <w:r>
        <w:rPr>
          <w:bCs/>
          <w:b/>
        </w:rPr>
        <w:t xml:space="preserve">Context-Contingent Digital Capability Model</w:t>
      </w:r>
      <w:r>
        <w:t xml:space="preserve">: tác động của DAI lên hiệu quả không đồng nhất mà phụ thuộc vào regime thể chế, giai đoạn quốc tế hóa, và mức độ bão hòa số của nền kinh tế (digital saturation level). Chuyên đề 2 này tiếp nối:</w:t>
      </w:r>
      <w:r>
        <w:t xml:space="preserve"> </w:t>
      </w:r>
      <w:r>
        <w:rPr>
          <w:bCs/>
          <w:b/>
        </w:rPr>
        <w:t xml:space="preserve">xây dựng mô hình lý thuyết và thực nghiệm để giải thích cơ chế đằng sau các pattern đó</w:t>
      </w:r>
      <w:r>
        <w:t xml:space="preserve">.</w:t>
      </w:r>
    </w:p>
    <w:p>
      <w:pPr>
        <w:pStyle w:val="BodyText"/>
      </w:pPr>
      <w:r>
        <w:t xml:space="preserve">Ba bản thảo thực nghiệm đồng hành cung cấp bằng chứng nước cụ thể kiểm định khả năng của khung CĐ2.</w:t>
      </w:r>
      <w:r>
        <w:t xml:space="preserve"> </w:t>
      </w:r>
      <w:r>
        <w:rPr>
          <w:bCs/>
          <w:b/>
        </w:rPr>
        <w:t xml:space="preserve">P3 Việt Nam (JABS, under review)</w:t>
      </w:r>
      <w:r>
        <w:t xml:space="preserve"> </w:t>
      </w:r>
      <w:r>
        <w:t xml:space="preserve">— phân tích 2.958 doanh nghiệp WBES 2009/2015/2023 (ba sóng) — xác nhận inverted-U trong cả ba sóng (Lind–Mehlum p &lt; .01 từng sóng; p &lt; .001 pool), turning points 46,2% (2009), 39,3% (2015), 41,6% (2023), 39,7% (pooled); TCI (2-item: b8+e6) dương ổn định (β = 0,179 pool, p &lt; .001); IV cho TCI causal (β = 1,639, first-stage F = 22,1); DAI stage-contingent — dương 2009 (β = 0,175), null 2015, dương OLS 2023 nhưng tương tác FSTS_c×DAI_z = −0,912 (p = .043)</w:t>
      </w:r>
      <w:r>
        <w:t xml:space="preserve"> </w:t>
      </w:r>
      <w:r>
        <w:rPr>
          <w:bCs/>
          <w:b/>
        </w:rPr>
        <w:t xml:space="preserve">âm</w:t>
      </w:r>
      <w:r>
        <w:t xml:space="preserve"> </w:t>
      </w:r>
      <w:r>
        <w:t xml:space="preserve">trong 2023 (proxy obsolescence); IV (first-stage F = 34,6) cho DAI null (β = 0,018, p = .942) → selection-driven.</w:t>
      </w:r>
      <w:r>
        <w:t xml:space="preserve"> </w:t>
      </w:r>
      <w:r>
        <w:rPr>
          <w:bCs/>
          <w:b/>
        </w:rPr>
        <w:t xml:space="preserve">P4 Singapore (MIR, under review)</w:t>
      </w:r>
      <w:r>
        <w:t xml:space="preserve"> </w:t>
      </w:r>
      <w:r>
        <w:t xml:space="preserve">— phân tích 623 doanh nghiệp WBES 2023 — cho thấy trong nền kinh tế tiên tiến số bão hòa, quan hệ I→P chủ yếu dương với đường cong nhẹ, turning point hàm ý ở FSTS ≈ 88,6% (vùng thưa dữ liệu; Lind–Mehlum p = .303), và DAI hoạt động như</w:t>
      </w:r>
      <w:r>
        <w:t xml:space="preserve"> </w:t>
      </w:r>
      <w:r>
        <w:rPr>
          <w:bCs/>
          <w:b/>
        </w:rPr>
        <w:t xml:space="preserve">nguồn lực mở rộng tình huống</w:t>
      </w:r>
      <w:r>
        <w:t xml:space="preserve"> </w:t>
      </w:r>
      <w:r>
        <w:t xml:space="preserve">(conditional scaling resource) với hệ số DAI×FSTS² = +3,119 (p = .005) — ủng hộ bão hòa số và CDCM.</w:t>
      </w:r>
      <w:r>
        <w:t xml:space="preserve"> </w:t>
      </w:r>
      <w:r>
        <w:rPr>
          <w:bCs/>
          <w:b/>
        </w:rPr>
        <w:t xml:space="preserve">P5 Trung Quốc (IJOEM, under review)</w:t>
      </w:r>
      <w:r>
        <w:t xml:space="preserve"> </w:t>
      </w:r>
      <w:r>
        <w:t xml:space="preserve">— phân tích 4.559 doanh nghiệp WBES 2012/2024 (hai sóng) — xác nhận inverted-U bền vững cấu trúc: turning point 49,4% (2012), 47,2% (2024), Paternoster z-test thất bại bác bỏ bình đẳng hệ số (FSTS²: p = .545; joint F: p = .107); TCI tăng cường qua thời gian (+0,260→+0,426, Paternoster p = .011) nhưng không điều tiết độ cong. Ba bản thảo này cùng nhau cung cấp: bằng chứng H1 (phi tuyến) ở Việt Nam và Trung Quốc; H2 (TCI positively moderating) ở Việt Nam; H3 (DAI stage-contingent) ở cả ba; H5 (institutional moderation) qua so sánh Nhóm I vs IV; H6 (temporal heterogeneity) từ DAI stage-shifts Việt Nam.</w:t>
      </w:r>
    </w:p>
    <w:bookmarkEnd w:id="26"/>
    <w:bookmarkStart w:id="27" w:name="vấn-đề-nghiên-cứu"/>
    <w:p>
      <w:pPr>
        <w:pStyle w:val="Heading3"/>
      </w:pPr>
      <w:r>
        <w:t xml:space="preserve">1.2 Vấn đề nghiên cứu</w:t>
      </w:r>
    </w:p>
    <w:p>
      <w:pPr>
        <w:pStyle w:val="FirstParagraph"/>
      </w:pPr>
      <w:r>
        <w:t xml:space="preserve">Chuyên đề tập trung trả lời ba câu hỏi nghiên cứu chính:</w:t>
      </w:r>
    </w:p>
    <w:p>
      <w:pPr>
        <w:pStyle w:val="BodyText"/>
      </w:pPr>
      <w:r>
        <w:rPr>
          <w:bCs/>
          <w:b/>
        </w:rPr>
        <w:t xml:space="preserve">(Q1)</w:t>
      </w:r>
      <w:r>
        <w:t xml:space="preserve"> </w:t>
      </w:r>
      <w:r>
        <w:t xml:space="preserve">Quan hệ giữa cường độ quốc tế hóa (I) và hiệu quả hoạt động kinh doanh (P) ở các doanh nghiệp châu Á có dạng hàm gì? Tuyến tính, phi tuyến hay phụ thuộc vào ngữ cảnh?</w:t>
      </w:r>
    </w:p>
    <w:p>
      <w:pPr>
        <w:pStyle w:val="BodyText"/>
      </w:pPr>
      <w:r>
        <w:rPr>
          <w:bCs/>
          <w:b/>
        </w:rPr>
        <w:t xml:space="preserve">(Q2)</w:t>
      </w:r>
      <w:r>
        <w:t xml:space="preserve"> </w:t>
      </w:r>
      <w:r>
        <w:t xml:space="preserve">Bốn cơ chế điều tiết — năng lực công nghệ TCI, mức độ áp dụng số DAI, đặc điểm nhà quản trị, regime thể chế nội địa — tác động như thế nào lên quan hệ I→P? Có phân biệt được giữa TCI và DAI theo CDCM hay không?</w:t>
      </w:r>
    </w:p>
    <w:p>
      <w:pPr>
        <w:pStyle w:val="BodyText"/>
      </w:pPr>
      <w:r>
        <w:rPr>
          <w:bCs/>
          <w:b/>
        </w:rPr>
        <w:t xml:space="preserve">(Q3)</w:t>
      </w:r>
      <w:r>
        <w:t xml:space="preserve"> </w:t>
      </w:r>
      <w:r>
        <w:t xml:space="preserve">Tác động I→P và cơ chế điều tiết có thay đổi theo thời gian không, đặc biệt giữa giai đoạn 2009–2012 (hậu khủng hoảng tài chính) và 2018–2025 (chuyển đổi số + AI bùng nổ)?</w:t>
      </w:r>
    </w:p>
    <w:p>
      <w:pPr>
        <w:pStyle w:val="BodyText"/>
      </w:pPr>
      <w:r>
        <w:t xml:space="preserve">Ba câu hỏi trên được trả lời bằng cách (i) tổng hợp văn liệu lý thuyết và thực nghiệm hiện hành; (ii) phát triển hệ giả thuyết H1–H6 dựa trên khung tích hợp; (iii) đặc tả tám mô hình thực nghiệm M0–M7; (iv) thiết kế chiến lược dữ liệu và nhận dạng đa tầng; (v) tổng hợp bằng chứng từ P3/P4/P5 để neo đậu (anchor) các giả thuyết vào bằng chứng thực nghiệm đã có.</w:t>
      </w:r>
    </w:p>
    <w:bookmarkEnd w:id="27"/>
    <w:bookmarkStart w:id="28" w:name="mục-tiêu-chuyên-đề"/>
    <w:p>
      <w:pPr>
        <w:pStyle w:val="Heading3"/>
      </w:pPr>
      <w:r>
        <w:t xml:space="preserve">1.3 Mục tiêu chuyên đề</w:t>
      </w:r>
    </w:p>
    <w:p>
      <w:pPr>
        <w:pStyle w:val="FirstParagraph"/>
      </w:pPr>
      <w:r>
        <w:rPr>
          <w:bCs/>
          <w:b/>
        </w:rPr>
        <w:t xml:space="preserve">Mục tiêu chung</w:t>
      </w:r>
      <w:r>
        <w:t xml:space="preserve">: Xây dựng mô hình nghiên cứu lý thuyết và thực nghiệm về ảnh hưởng của quốc tế hóa đến hiệu quả hoạt động kinh doanh của các doanh nghiệp ở các quốc gia châu Á, có khả năng kiểm định bằng dữ liệu WBES</w:t>
      </w:r>
      <w:r>
        <w:t xml:space="preserve"> </w:t>
      </w:r>
      <w:r>
        <w:rPr>
          <w:bCs/>
          <w:b/>
        </w:rPr>
        <w:t xml:space="preserve">101.185</w:t>
      </w:r>
      <w:r>
        <w:t xml:space="preserve"> </w:t>
      </w:r>
      <w:r>
        <w:t xml:space="preserve">doanh nghiệp xuyên</w:t>
      </w:r>
      <w:r>
        <w:t xml:space="preserve"> </w:t>
      </w:r>
      <w:r>
        <w:rPr>
          <w:bCs/>
          <w:b/>
        </w:rPr>
        <w:t xml:space="preserve">47</w:t>
      </w:r>
      <w:r>
        <w:t xml:space="preserve"> </w:t>
      </w:r>
      <w:r>
        <w:t xml:space="preserve">nền kinh tế giai đoạn 2009–2025.</w:t>
      </w:r>
    </w:p>
    <w:p>
      <w:pPr>
        <w:pStyle w:val="BodyText"/>
      </w:pPr>
      <w:r>
        <w:rPr>
          <w:bCs/>
          <w:b/>
        </w:rPr>
        <w:t xml:space="preserve">Mục tiêu cụ thể</w:t>
      </w:r>
      <w:r>
        <w:t xml:space="preserve">:</w:t>
      </w:r>
    </w:p>
    <w:p>
      <w:pPr>
        <w:numPr>
          <w:ilvl w:val="0"/>
          <w:numId w:val="1001"/>
        </w:numPr>
      </w:pPr>
      <w:r>
        <w:t xml:space="preserve">Hệ thống hóa khung lý thuyết tích hợp 4 tầng (Uppsala, RBV, Institutional Theory, Upper Echelons) kết hợp Digital Capability Lens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P3/P4/P5.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phạm-vi-và-đối-tượng-nghiên-cứu"/>
    <w:p>
      <w:pPr>
        <w:pStyle w:val="Heading3"/>
      </w:pPr>
      <w:r>
        <w:t xml:space="preserve">1.4 Phạm vi và đối tượng nghiên cứu</w:t>
      </w:r>
    </w:p>
    <w:p>
      <w:pPr>
        <w:pStyle w:val="FirstParagraph"/>
      </w:pPr>
      <w:r>
        <w:rPr>
          <w:bCs/>
          <w:b/>
        </w:rPr>
        <w:t xml:space="preserve">Đối tượng nghiên cứu</w:t>
      </w:r>
      <w:r>
        <w:t xml:space="preserve">: doanh nghiệp đang hoạt động ở các nền kinh tế châu Á và Thái Bình Dương đáp ứng tiêu chí mẫu của WBES.</w:t>
      </w:r>
    </w:p>
    <w:p>
      <w:pPr>
        <w:pStyle w:val="BodyText"/>
      </w:pPr>
      <w:r>
        <w:rPr>
          <w:bCs/>
          <w:b/>
        </w:rPr>
        <w:t xml:space="preserve">Phạm vi không gian</w:t>
      </w:r>
      <w:r>
        <w:t xml:space="preserve">: 47 nền kinh tế phân theo sáu nhóm ICRV (xem chi tiết trong</w:t>
      </w:r>
      <w:r>
        <w:t xml:space="preserve"> </w:t>
      </w:r>
      <w:r>
        <w:rPr>
          <w:rStyle w:val="VerbatimChar"/>
        </w:rPr>
        <w:t xml:space="preserve">thesis/16_cd1_part3_cases_conclusion_vi.md</w:t>
      </w:r>
      <w:r>
        <w:t xml:space="preserve"> </w:t>
      </w:r>
      <w:r>
        <w:t xml:space="preserve">Phụ lục A):</w:t>
      </w:r>
    </w:p>
    <w:p>
      <w:pPr>
        <w:numPr>
          <w:ilvl w:val="0"/>
          <w:numId w:val="1002"/>
        </w:numPr>
        <w:pStyle w:val="Compact"/>
      </w:pPr>
      <w:r>
        <w:rPr>
          <w:bCs/>
          <w:b/>
        </w:rPr>
        <w:t xml:space="preserve">ICRV Nhóm I — tiên tiến đổi mới sáng tạo dẫn dắt</w:t>
      </w:r>
      <w:r>
        <w:t xml:space="preserve"> </w:t>
      </w:r>
      <w:r>
        <w:t xml:space="preserve">(5 nền kinh tế): Singapore, Hong Kong SAR, Hàn Quốc, Đài Loan, Israel</w:t>
      </w:r>
    </w:p>
    <w:p>
      <w:pPr>
        <w:numPr>
          <w:ilvl w:val="0"/>
          <w:numId w:val="1002"/>
        </w:numPr>
        <w:pStyle w:val="Compact"/>
      </w:pPr>
      <w:r>
        <w:rPr>
          <w:bCs/>
          <w:b/>
        </w:rPr>
        <w:t xml:space="preserve">ICRV Nhóm II — tiên tiến tài nguyên dẫn dắt</w:t>
      </w:r>
      <w:r>
        <w:t xml:space="preserve"> </w:t>
      </w:r>
      <w:r>
        <w:t xml:space="preserve">(5 nền kinh tế): Saudi Arabia, Qatar, Kuwait, Bahrain, Brunei</w:t>
      </w:r>
    </w:p>
    <w:p>
      <w:pPr>
        <w:numPr>
          <w:ilvl w:val="0"/>
          <w:numId w:val="1002"/>
        </w:numPr>
        <w:pStyle w:val="Compact"/>
      </w:pPr>
      <w:r>
        <w:rPr>
          <w:bCs/>
          <w:b/>
        </w:rPr>
        <w:t xml:space="preserve">ICRV Nhóm III — trung bình cao</w:t>
      </w:r>
      <w:r>
        <w:t xml:space="preserve"> </w:t>
      </w:r>
      <w:r>
        <w:t xml:space="preserve">(6 nền kinh tế): Trung Quốc, Malaysia, Thái Lan, Kazakhstan, Armenia, Georgia</w:t>
      </w:r>
    </w:p>
    <w:p>
      <w:pPr>
        <w:numPr>
          <w:ilvl w:val="0"/>
          <w:numId w:val="1002"/>
        </w:numPr>
        <w:pStyle w:val="Compact"/>
      </w:pPr>
      <w:r>
        <w:rPr>
          <w:bCs/>
          <w:b/>
        </w:rPr>
        <w:t xml:space="preserve">ICRV Nhóm IV — đang nổi</w:t>
      </w:r>
      <w:r>
        <w:t xml:space="preserve"> </w:t>
      </w:r>
      <w:r>
        <w:t xml:space="preserve">(7 nền kinh tế): Việt Nam, Indonesia, Philippines, Ấn Độ, Sri Lanka, Jordan, Mông Cổ</w:t>
      </w:r>
    </w:p>
    <w:p>
      <w:pPr>
        <w:numPr>
          <w:ilvl w:val="0"/>
          <w:numId w:val="1002"/>
        </w:numPr>
        <w:pStyle w:val="Compact"/>
      </w:pPr>
      <w:r>
        <w:rPr>
          <w:bCs/>
          <w:b/>
        </w:rPr>
        <w:t xml:space="preserve">ICRV Nhóm V — cận biên</w:t>
      </w:r>
      <w:r>
        <w:t xml:space="preserve"> </w:t>
      </w:r>
      <w:r>
        <w:t xml:space="preserve">(17 nền kinh tế): Bangladesh, Pakistan, Lào, Campuchia, Myanmar, Nepal, Bhutan, Maldives, Uzbekistan, Tajikistan, Kyrgyzstan, Turkmenistan, Afghanistan, Timor-Leste, Iraq, Lebanon, Yemen</w:t>
      </w:r>
    </w:p>
    <w:p>
      <w:pPr>
        <w:numPr>
          <w:ilvl w:val="0"/>
          <w:numId w:val="1002"/>
        </w:numPr>
        <w:pStyle w:val="Compact"/>
      </w:pPr>
      <w:r>
        <w:rPr>
          <w:bCs/>
          <w:b/>
        </w:rPr>
        <w:t xml:space="preserve">ICRV Nhóm VI — SIDS Thái Bình Dương, trường hợp biên</w:t>
      </w:r>
      <w:r>
        <w:t xml:space="preserve"> </w:t>
      </w:r>
      <w:r>
        <w:t xml:space="preserve">(7 nền kinh tế): Fiji, Papua New Guinea, Solomon Islands, Tonga, Vanuatu, Samoa, Kiribati (thêm đợt 2025)</w:t>
      </w:r>
    </w:p>
    <w:p>
      <w:pPr>
        <w:pStyle w:val="FirstParagraph"/>
      </w:pPr>
      <w:r>
        <w:t xml:space="preserve">Tổng: 5 + 5 + 6 + 7 + 17 + 7 =</w:t>
      </w:r>
      <w:r>
        <w:t xml:space="preserve"> </w:t>
      </w:r>
      <w:r>
        <w:rPr>
          <w:bCs/>
          <w:b/>
        </w:rPr>
        <w:t xml:space="preserve">47</w:t>
      </w:r>
      <w:r>
        <w:t xml:space="preserve"> </w:t>
      </w:r>
      <w:r>
        <w:t xml:space="preserve">nền kinh tế.</w:t>
      </w:r>
    </w:p>
    <w:p>
      <w:pPr>
        <w:pStyle w:val="BodyText"/>
      </w:pPr>
      <w:r>
        <w:rPr>
          <w:bCs/>
          <w:b/>
        </w:rPr>
        <w:t xml:space="preserve">Phạm vi thời gian</w:t>
      </w:r>
      <w:r>
        <w:t xml:space="preserve">: 2009–2025 (15 năm × 14 mốc khảo sát có sẵn), bao trùm ba thế hệ schema WBES và năm lớp bối cảnh kinh tế chồng lấn, tạo thành</w:t>
      </w:r>
      <w:r>
        <w:t xml:space="preserve"> </w:t>
      </w:r>
      <w:r>
        <w:rPr>
          <w:bCs/>
          <w:b/>
        </w:rPr>
        <w:t xml:space="preserve">108 cặp quốc gia-năm</w:t>
      </w:r>
      <w:r>
        <w:t xml:space="preserve">.</w:t>
      </w:r>
    </w:p>
    <w:p>
      <w:pPr>
        <w:pStyle w:val="BodyText"/>
      </w:pPr>
      <w:r>
        <w:rPr>
          <w:bCs/>
          <w:b/>
        </w:rPr>
        <w:t xml:space="preserve">Phạm vi nội dung</w:t>
      </w:r>
      <w:r>
        <w:t xml:space="preserve">: mô hình hóa quan hệ I→P và bốn cơ chế điều tiết (TCI, DAI, top manager, institutional regime) cộng với heterogeneity thời gian.</w:t>
      </w:r>
    </w:p>
    <w:bookmarkEnd w:id="29"/>
    <w:bookmarkStart w:id="30" w:name="đóng-góp-dự-kiến-của-chuyên-đề"/>
    <w:p>
      <w:pPr>
        <w:pStyle w:val="Heading3"/>
      </w:pPr>
      <w:r>
        <w:t xml:space="preserve">1.5 Đóng góp dự kiến của chuyên đề</w:t>
      </w:r>
    </w:p>
    <w:p>
      <w:pPr>
        <w:pStyle w:val="FirstParagraph"/>
      </w:pPr>
      <w:r>
        <w:rPr>
          <w:bCs/>
          <w:b/>
        </w:rPr>
        <w:t xml:space="preserve">Về lý thuyết</w:t>
      </w:r>
      <w:r>
        <w:t xml:space="preserve"> </w:t>
      </w:r>
      <w:r>
        <w:t xml:space="preserve">(4 đóng góp):</w:t>
      </w:r>
    </w:p>
    <w:p>
      <w:pPr>
        <w:numPr>
          <w:ilvl w:val="0"/>
          <w:numId w:val="1003"/>
        </w:numPr>
      </w:pPr>
      <w:r>
        <w:rPr>
          <w:bCs/>
          <w:b/>
        </w:rPr>
        <w:t xml:space="preserve">Khung tích hợp 4 tầng + Digital lens cho châu Á</w:t>
      </w:r>
      <w:r>
        <w:t xml:space="preserve">: chưa có khung tương đương trong văn liệu IB. Khung này tích hợp Uppsala (động lực quốc tế hóa), RBV (nguồn lực), Institutional Theory (thể chế), Upper Echelons (nhà quản trị) với Digital Capability Lens (Banalieva &amp; Dhanaraj, 2019). Mở rộng phạm vi giải thích so với các khung đơn lẻ.</w:t>
      </w:r>
    </w:p>
    <w:p>
      <w:pPr>
        <w:numPr>
          <w:ilvl w:val="0"/>
          <w:numId w:val="1003"/>
        </w:numPr>
      </w:pPr>
      <w:r>
        <w:rPr>
          <w:bCs/>
          <w:b/>
        </w:rPr>
        <w:t xml:space="preserve">Tách bạch TCI và DAI theo CDCM</w:t>
      </w:r>
      <w:r>
        <w:t xml:space="preserve">: hai chiều năng lực số có cơ chế tác động khác nhau lên hiệu quả. TCI là chiều sâu năng lực công nghệ nội tại theo truyền thống Lall (1992) và Cohen &amp; Levinthal (1990) (absorptive capacity); DAI là mức độ áp dụng giao diện và giao dịch số nền tảng theo Bharadwaj et al. (2013), tương ứng tier</w:t>
      </w:r>
      <w:r>
        <w:t xml:space="preserve"> </w:t>
      </w:r>
      <w:r>
        <w:t xml:space="preserve">“</w:t>
      </w:r>
      <w:r>
        <w:t xml:space="preserve">digitization–digitalization</w:t>
      </w:r>
      <w:r>
        <w:t xml:space="preserve">”</w:t>
      </w:r>
      <w:r>
        <w:t xml:space="preserve"> </w:t>
      </w:r>
      <w:r>
        <w:t xml:space="preserve">của Verhoef et al. (2021).</w:t>
      </w:r>
      <w:r>
        <w:t xml:space="preserve"> </w:t>
      </w:r>
      <w:r>
        <w:rPr>
          <w:bCs/>
          <w:b/>
        </w:rPr>
        <w:t xml:space="preserve">CDCM</w:t>
      </w:r>
      <w:r>
        <w:t xml:space="preserve"> </w:t>
      </w:r>
      <w:r>
        <w:t xml:space="preserve">(Context-Contingent Digital Capability Model) phát hiện trong CĐ1 cho thấy tác động của DAI không đồng nhất mà phụ thuộc vào ba chiều ngữ cảnh: regime thể chế (ICRV), giai đoạn quốc tế hóa (export intensity level), và mức độ bão hòa số của nền kinh tế (digital saturation). Bằng chứng từ P4 Singapore (DAI×FSTS² = +3,119), P3 Việt Nam (DAI null theo IV), và P5 Trung Quốc (DAI không điều tiết curvature) nhất quán với CDCM: DAI chỉ phát huy tác dụng khi điều kiện ngữ cảnh cho phép. Bhandari et al. (2023) áp dụng resource-orchestration logic cho I→P relationship; Coltman et al. (2008) cung cấp tiêu chí formative composite xác nhận TCI và DAI là hai construct riêng biệt.</w:t>
      </w:r>
    </w:p>
    <w:p>
      <w:pPr>
        <w:numPr>
          <w:ilvl w:val="0"/>
          <w:numId w:val="1003"/>
        </w:numPr>
      </w:pPr>
      <w:r>
        <w:rPr>
          <w:bCs/>
          <w:b/>
        </w:rPr>
        <w:t xml:space="preserve">Sub-grouping Advanced regime</w:t>
      </w:r>
      <w:r>
        <w:t xml:space="preserve">: phát hiện ở Chuyên đề 1 cho thấy Advanced có hai loại — tiên tiến đổi mới sáng tạo dẫn dắt (ICRV Nhóm I: Singapore, Hong Kong, Korea, Đài Loan) và tiên tiến tài nguyên dẫn dắt (ICRV Nhóm II: Saudi, Qatar, Kuwait, Bahrain) — với pattern hiệu quả và I→P khác nhau. CĐ2 đề xuất sub-grouping này trong mô hình M7. P4 Singapore cung cấp bằng chứng</w:t>
      </w:r>
      <w:r>
        <w:t xml:space="preserve"> </w:t>
      </w:r>
      <w:r>
        <w:t xml:space="preserve">“</w:t>
      </w:r>
      <w:r>
        <w:t xml:space="preserve">digital saturation paradox</w:t>
      </w:r>
      <w:r>
        <w:t xml:space="preserve">”</w:t>
      </w:r>
      <w:r>
        <w:t xml:space="preserve"> </w:t>
      </w:r>
      <w:r>
        <w:t xml:space="preserve">đặc trưng cho Nhóm I.</w:t>
      </w:r>
    </w:p>
    <w:p>
      <w:pPr>
        <w:numPr>
          <w:ilvl w:val="0"/>
          <w:numId w:val="1003"/>
        </w:numPr>
      </w:pPr>
      <w:r>
        <w:rPr>
          <w:bCs/>
          <w:b/>
        </w:rPr>
        <w:t xml:space="preserve">Tích hợp CDCM vào hệ giả thuyết</w:t>
      </w:r>
      <w:r>
        <w:t xml:space="preserve">: H3 được làm sắc nét hơn nhờ CDCM — không chỉ</w:t>
      </w:r>
      <w:r>
        <w:t xml:space="preserve"> </w:t>
      </w:r>
      <w:r>
        <w:t xml:space="preserve">“</w:t>
      </w:r>
      <w:r>
        <w:t xml:space="preserve">DAI điều tiết tích cực</w:t>
      </w:r>
      <w:r>
        <w:t xml:space="preserve">”</w:t>
      </w:r>
      <w:r>
        <w:t xml:space="preserve"> </w:t>
      </w:r>
      <w:r>
        <w:t xml:space="preserve">mà cụ thể hóa: DAI là conditional scaling resource (không phải uniform premium), với tác động mạnh nhất ở mức FSTS cao trong Nhóm I, và stage-contingent trong Nhóm IV.</w:t>
      </w:r>
    </w:p>
    <w:p>
      <w:pPr>
        <w:pStyle w:val="FirstParagraph"/>
      </w:pPr>
      <w:r>
        <w:rPr>
          <w:bCs/>
          <w:b/>
        </w:rPr>
        <w:t xml:space="preserve">Về mô hình</w:t>
      </w:r>
      <w:r>
        <w:t xml:space="preserve"> </w:t>
      </w:r>
      <w:r>
        <w:t xml:space="preserve">(2 đóng góp):</w:t>
      </w:r>
    </w:p>
    <w:p>
      <w:pPr>
        <w:numPr>
          <w:ilvl w:val="0"/>
          <w:numId w:val="1004"/>
        </w:numPr>
      </w:pPr>
      <w:r>
        <w:rPr>
          <w:bCs/>
          <w:b/>
        </w:rPr>
        <w:t xml:space="preserve">Tám mô hình M0–M7 với three-way moderation (M7)</w:t>
      </w:r>
      <w:r>
        <w:t xml:space="preserve">: M0 baseline tuyến tính → M2 cubic → M7 ba chiều I × TCI × DAI. Kiểm định đồng thời phi tuyến và moderation đa tầng — chưa có nghiên cứu nào trên châu Á thực hiện.</w:t>
      </w:r>
    </w:p>
    <w:p>
      <w:pPr>
        <w:numPr>
          <w:ilvl w:val="0"/>
          <w:numId w:val="1004"/>
        </w:numPr>
      </w:pPr>
      <w:r>
        <w:rPr>
          <w:bCs/>
          <w:b/>
        </w:rPr>
        <w:t xml:space="preserve">Heterogeneity thời gian H6</w:t>
      </w:r>
      <w:r>
        <w:t xml:space="preserve">: kiểm định tương tác I × Year-bucket cho ba giai đoạn 2009–2012, 2013–2017, 2018–2025 — bao trùm cả COVID-19 và AI bùng nổ. Bằng chứng từ P3 Việt Nam (DAI stage-shifts Paternoster z = 3,353 giữa 2009 và 2015) và P5 Trung Quốc (TCI tăng cường Paternoster p = .011) cung cấp neo đậu thực nghiệm cho H6.</w:t>
      </w:r>
    </w:p>
    <w:p>
      <w:pPr>
        <w:pStyle w:val="FirstParagraph"/>
      </w:pPr>
      <w:r>
        <w:rPr>
          <w:bCs/>
          <w:b/>
        </w:rPr>
        <w:t xml:space="preserve">Về phương pháp</w:t>
      </w:r>
      <w:r>
        <w:t xml:space="preserve"> </w:t>
      </w:r>
      <w:r>
        <w:t xml:space="preserve">(2 đóng góp):</w:t>
      </w:r>
    </w:p>
    <w:p>
      <w:pPr>
        <w:numPr>
          <w:ilvl w:val="0"/>
          <w:numId w:val="1005"/>
        </w:numPr>
      </w:pPr>
      <w:r>
        <w:rPr>
          <w:bCs/>
          <w:b/>
        </w:rPr>
        <w:t xml:space="preserve">Giao thức hòa hợp ba thế hệ schema WBES</w:t>
      </w:r>
      <w:r>
        <w:t xml:space="preserve"> </w:t>
      </w:r>
      <w:r>
        <w:t xml:space="preserve">trên dữ liệu gốc → pool</w:t>
      </w:r>
      <w:r>
        <w:t xml:space="preserve"> </w:t>
      </w:r>
      <w:r>
        <w:rPr>
          <w:bCs/>
          <w:b/>
        </w:rPr>
        <w:t xml:space="preserve">101.185</w:t>
      </w:r>
      <w:r>
        <w:t xml:space="preserve"> </w:t>
      </w:r>
      <w:r>
        <w:t xml:space="preserve">doanh nghiệp ở</w:t>
      </w:r>
      <w:r>
        <w:t xml:space="preserve"> </w:t>
      </w:r>
      <w:r>
        <w:rPr>
          <w:bCs/>
          <w:b/>
        </w:rPr>
        <w:t xml:space="preserve">47</w:t>
      </w:r>
      <w:r>
        <w:t xml:space="preserve"> </w:t>
      </w:r>
      <w:r>
        <w:t xml:space="preserve">nước ×</w:t>
      </w:r>
      <w:r>
        <w:t xml:space="preserve"> </w:t>
      </w:r>
      <w:r>
        <w:rPr>
          <w:bCs/>
          <w:b/>
        </w:rPr>
        <w:t xml:space="preserve">108</w:t>
      </w:r>
      <w:r>
        <w:t xml:space="preserve"> </w:t>
      </w:r>
      <w:r>
        <w:t xml:space="preserve">cặp năm (xem</w:t>
      </w:r>
      <w:r>
        <w:t xml:space="preserve"> </w:t>
      </w:r>
      <w:r>
        <w:rPr>
          <w:rStyle w:val="VerbatimChar"/>
        </w:rPr>
        <w:t xml:space="preserve">thesis/08_p7_data_harmonization_protocol_vi.md</w:t>
      </w:r>
      <w:r>
        <w:t xml:space="preserve">). Đây là pool có phạm vi rộng nhất từng có cho nghiên cứu I→P trong văn liệu.</w:t>
      </w:r>
    </w:p>
    <w:p>
      <w:pPr>
        <w:numPr>
          <w:ilvl w:val="0"/>
          <w:numId w:val="1005"/>
        </w:numPr>
      </w:pPr>
      <w:r>
        <w:rPr>
          <w:bCs/>
          <w:b/>
        </w:rPr>
        <w:t xml:space="preserve">Chiến lược nhận dạng đa tầng</w:t>
      </w:r>
      <w:r>
        <w:t xml:space="preserve"> </w:t>
      </w:r>
      <w:r>
        <w:t xml:space="preserve">kết hợp HC1 robust SE (Long &amp; Ervin, 2000), country × year fixed effects, IV với first-stage F &gt; 34 (từ P4), và sub-sample replication theo regime ICRV.</w:t>
      </w:r>
    </w:p>
    <w:p>
      <w:pPr>
        <w:pStyle w:val="FirstParagraph"/>
      </w:pPr>
      <w:r>
        <w:rPr>
          <w:bCs/>
          <w:b/>
        </w:rPr>
        <w:t xml:space="preserve">Về thực tiễn</w:t>
      </w:r>
      <w:r>
        <w:t xml:space="preserve"> </w:t>
      </w:r>
      <w:r>
        <w:t xml:space="preserve">(1 đóng góp):</w:t>
      </w:r>
    </w:p>
    <w:p>
      <w:pPr>
        <w:numPr>
          <w:ilvl w:val="0"/>
          <w:numId w:val="1006"/>
        </w:numPr>
        <w:pStyle w:val="Compact"/>
      </w:pPr>
      <w:r>
        <w:t xml:space="preserve">Cung cấp</w:t>
      </w:r>
      <w:r>
        <w:t xml:space="preserve"> </w:t>
      </w:r>
      <w:r>
        <w:rPr>
          <w:bCs/>
          <w:b/>
        </w:rPr>
        <w:t xml:space="preserve">hàm ý chính sách</w:t>
      </w:r>
      <w:r>
        <w:t xml:space="preserve"> </w:t>
      </w:r>
      <w:r>
        <w:t xml:space="preserve">cho doanh nghiệp Việt Nam và emerging Asia về cách tận dụng quốc tế hóa kết hợp năng lực số — đặc biệt trong giai đoạn AI bùng nổ. Kết quả P3 Việt Nam cho thấy TCI ổn định và causal trong khi DAI là selection-driven, gợi ý chính sách ưu tiên xây dựng năng lực công nghệ thực chất hơn chỉ adopting digital tools.</w:t>
      </w:r>
    </w:p>
    <w:bookmarkEnd w:id="30"/>
    <w:bookmarkStart w:id="31" w:name="phương-pháp-tiếp-cận"/>
    <w:p>
      <w:pPr>
        <w:pStyle w:val="Heading3"/>
      </w:pPr>
      <w:r>
        <w:t xml:space="preserve">1.6 Phương pháp tiếp cận</w:t>
      </w:r>
    </w:p>
    <w:p>
      <w:pPr>
        <w:pStyle w:val="FirstParagraph"/>
      </w:pPr>
      <w:r>
        <w:t xml:space="preserve">Chuyên đề tiếp cận theo lối</w:t>
      </w:r>
      <w:r>
        <w:t xml:space="preserve"> </w:t>
      </w:r>
      <w:r>
        <w:rPr>
          <w:bCs/>
          <w:b/>
        </w:rPr>
        <w:t xml:space="preserve">integrative literature review</w:t>
      </w:r>
      <w:r>
        <w:t xml:space="preserve"> </w:t>
      </w:r>
      <w:r>
        <w:t xml:space="preserve">(Torraco, 2005) cho khung lý thuyết và</w:t>
      </w:r>
      <w:r>
        <w:t xml:space="preserve"> </w:t>
      </w:r>
      <w:r>
        <w:rPr>
          <w:bCs/>
          <w:b/>
        </w:rPr>
        <w:t xml:space="preserve">deductive hypothesis development</w:t>
      </w:r>
      <w:r>
        <w:t xml:space="preserve"> </w:t>
      </w:r>
      <w:r>
        <w:t xml:space="preserve">cho hệ giả thuyết. Đặc tả mô hình thực nghiệm theo Wooldridge (2010) và Long &amp; Ervin (2000); thiết kế nhận dạng và kiểm định độ vững theo Greene (2018). Hệ giả thuyết được neo đậu vào bằng chứng thực nghiệm từ P3/P4/P5 theo nguyên tắc phenomenon-based research (Meyer et al., 2017).</w:t>
      </w:r>
    </w:p>
    <w:bookmarkEnd w:id="31"/>
    <w:bookmarkStart w:id="32" w:name="kết-cấu-chuyên-đề"/>
    <w:p>
      <w:pPr>
        <w:pStyle w:val="Heading3"/>
      </w:pPr>
      <w:r>
        <w:t xml:space="preserve">1.7 Kết cấu chuyên đề</w:t>
      </w:r>
    </w:p>
    <w:p>
      <w:pPr>
        <w:pStyle w:val="FirstParagraph"/>
      </w:pPr>
      <w:r>
        <w:t xml:space="preserve">Chuyên đề gồm chín chương:</w:t>
      </w:r>
    </w:p>
    <w:p>
      <w:pPr>
        <w:numPr>
          <w:ilvl w:val="0"/>
          <w:numId w:val="1007"/>
        </w:numPr>
        <w:pStyle w:val="Compact"/>
      </w:pPr>
      <w:r>
        <w:t xml:space="preserve">Chương 1: Giới thiệu (vấn đề, mục tiêu, đóng góp);</w:t>
      </w:r>
    </w:p>
    <w:p>
      <w:pPr>
        <w:numPr>
          <w:ilvl w:val="0"/>
          <w:numId w:val="1007"/>
        </w:numPr>
        <w:pStyle w:val="Compact"/>
      </w:pPr>
      <w:r>
        <w:t xml:space="preserve">Chương 2: Cơ sở lý thuyết tích hợp 4 tầng + Digital Lens + CDCM;</w:t>
      </w:r>
    </w:p>
    <w:p>
      <w:pPr>
        <w:numPr>
          <w:ilvl w:val="0"/>
          <w:numId w:val="1007"/>
        </w:numPr>
        <w:pStyle w:val="Compact"/>
      </w:pPr>
      <w:r>
        <w:t xml:space="preserve">Chương 3: Lược khảo mô hình I→P trên thế giới và châu Á;</w:t>
      </w:r>
    </w:p>
    <w:p>
      <w:pPr>
        <w:numPr>
          <w:ilvl w:val="0"/>
          <w:numId w:val="1007"/>
        </w:numPr>
        <w:pStyle w:val="Compact"/>
      </w:pPr>
      <w:r>
        <w:t xml:space="preserve">Chương 4: Khung khái niệm tích hợp cho CĐ2;</w:t>
      </w:r>
    </w:p>
    <w:p>
      <w:pPr>
        <w:numPr>
          <w:ilvl w:val="0"/>
          <w:numId w:val="1007"/>
        </w:numPr>
        <w:pStyle w:val="Compact"/>
      </w:pPr>
      <w:r>
        <w:t xml:space="preserve">Chương 5: Hệ giả thuyết H1–H6;</w:t>
      </w:r>
    </w:p>
    <w:p>
      <w:pPr>
        <w:numPr>
          <w:ilvl w:val="0"/>
          <w:numId w:val="1007"/>
        </w:numPr>
        <w:pStyle w:val="Compact"/>
      </w:pPr>
      <w:r>
        <w:t xml:space="preserve">Chương 6: Đặc tả tám mô hình thực nghiệm M0–M7;</w:t>
      </w:r>
    </w:p>
    <w:p>
      <w:pPr>
        <w:numPr>
          <w:ilvl w:val="0"/>
          <w:numId w:val="1007"/>
        </w:numPr>
        <w:pStyle w:val="Compact"/>
      </w:pPr>
      <w:r>
        <w:t xml:space="preserve">Chương 7: Thiết kế dữ liệu và chiến lược nhận dạng;</w:t>
      </w:r>
    </w:p>
    <w:p>
      <w:pPr>
        <w:numPr>
          <w:ilvl w:val="0"/>
          <w:numId w:val="1007"/>
        </w:numPr>
        <w:pStyle w:val="Compact"/>
      </w:pPr>
      <w:r>
        <w:t xml:space="preserve">Chương 8: Kế hoạch kiểm định độ vững;</w:t>
      </w:r>
    </w:p>
    <w:p>
      <w:pPr>
        <w:numPr>
          <w:ilvl w:val="0"/>
          <w:numId w:val="1007"/>
        </w:numPr>
        <w:pStyle w:val="Compact"/>
      </w:pPr>
      <w:r>
        <w:t xml:space="preserve">Chương 9: Đóng góp về mô hình và kết luận.</w:t>
      </w:r>
    </w:p>
    <w:p>
      <w:r>
        <w:pict>
          <v:rect style="width:0;height:1.5pt" o:hralign="center" o:hrstd="t" o:hr="t"/>
        </w:pict>
      </w:r>
    </w:p>
    <w:bookmarkEnd w:id="32"/>
    <w:bookmarkEnd w:id="33"/>
    <w:bookmarkStart w:id="41" w:name="Xcb08bd049a3da879facc1c15c851913003aee89"/>
    <w:p>
      <w:pPr>
        <w:pStyle w:val="Heading2"/>
      </w:pPr>
      <w:r>
        <w:t xml:space="preserve">CHƯƠNG 2 — CƠ SỞ LÝ THUYẾT TÍCH HỢP 4 TẦNG + DIGITAL LENS</w:t>
      </w:r>
    </w:p>
    <w:bookmarkStart w:id="34" w:name="tầng-1-lý-thuyết-quốc-tế-hóa-uppsala"/>
    <w:p>
      <w:pPr>
        <w:pStyle w:val="Heading3"/>
      </w:pPr>
      <w:r>
        <w:t xml:space="preserve">2.1 Tầng 1 — Lý thuyết quốc tế hóa Uppsala</w:t>
      </w:r>
    </w:p>
    <w:p>
      <w:pPr>
        <w:pStyle w:val="FirstParagraph"/>
      </w:pPr>
      <w:r>
        <w:rPr>
          <w:bCs/>
          <w:b/>
        </w:rPr>
        <w:t xml:space="preserve">Nội dung cốt lõi</w:t>
      </w:r>
      <w:r>
        <w:t xml:space="preserve">. Mô hình Uppsala (Johanson &amp; Vahlne, 1977) đề xuất rằng quá trình quốc tế hóa của doanh nghiệp diễn ra</w:t>
      </w:r>
      <w:r>
        <w:t xml:space="preserve"> </w:t>
      </w:r>
      <w:r>
        <w:rPr>
          <w:bCs/>
          <w:b/>
        </w:rPr>
        <w:t xml:space="preserve">tăng dần</w:t>
      </w:r>
      <w:r>
        <w:t xml:space="preserve"> </w:t>
      </w:r>
      <w:r>
        <w:t xml:space="preserve">thông qua tích lũy kinh nghiệm và giảm dần</w:t>
      </w:r>
      <w:r>
        <w:t xml:space="preserve"> </w:t>
      </w:r>
      <w:r>
        <w:t xml:space="preserve">“</w:t>
      </w:r>
      <w:r>
        <w:t xml:space="preserve">psychic distance</w:t>
      </w:r>
      <w:r>
        <w:t xml:space="preserve">”</w:t>
      </w:r>
      <w:r>
        <w:t xml:space="preserve"> </w:t>
      </w:r>
      <w:r>
        <w:t xml:space="preserve">—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(market commitment), tri thức thị trường (market knowledge), và quyết định cam kết hiện tại (current commitment decisions).</w:t>
      </w:r>
    </w:p>
    <w:p>
      <w:pPr>
        <w:pStyle w:val="BodyText"/>
      </w:pPr>
      <w:r>
        <w:rPr>
          <w:bCs/>
          <w:b/>
        </w:rPr>
        <w:t xml:space="preserve">Mở rộng 2009</w:t>
      </w:r>
      <w:r>
        <w:t xml:space="preserve">. Johanson và Vahlne (2009) tái định vị mô hình Uppsala từ</w:t>
      </w:r>
      <w:r>
        <w:t xml:space="preserve"> </w:t>
      </w:r>
      <w:r>
        <w:t xml:space="preserve">“</w:t>
      </w:r>
      <w:r>
        <w:t xml:space="preserve">liability of foreignness</w:t>
      </w:r>
      <w:r>
        <w:t xml:space="preserve">”</w:t>
      </w:r>
      <w:r>
        <w:t xml:space="preserve"> </w:t>
      </w:r>
      <w:r>
        <w:t xml:space="preserve">(gánh nặng do là người nước ngoài) sang</w:t>
      </w:r>
      <w:r>
        <w:t xml:space="preserve"> </w:t>
      </w:r>
      <w:r>
        <w:t xml:space="preserve">“</w:t>
      </w:r>
      <w:r>
        <w:t xml:space="preserve">liability of outsidership</w:t>
      </w:r>
      <w:r>
        <w:t xml:space="preserve">”</w:t>
      </w:r>
      <w:r>
        <w:t xml:space="preserve"> </w:t>
      </w:r>
      <w:r>
        <w:t xml:space="preserve">(gánh nặng do không thuộc mạng lưới). Phiên bản này nhấn mạnh vai trò mạng lưới quan hệ kinh doanh trong quá trình quốc tế hóa — doanh nghiệp cần xây dựng vị trí trong network của thị trường mục tiêu.</w:t>
      </w:r>
    </w:p>
    <w:p>
      <w:pPr>
        <w:pStyle w:val="BodyText"/>
      </w:pPr>
      <w:r>
        <w:rPr>
          <w:bCs/>
          <w:b/>
        </w:rPr>
        <w:t xml:space="preserve">Phê phán và hạn chế</w:t>
      </w:r>
      <w:r>
        <w:t xml:space="preserve">. Mô hình Uppsala chậm áp dụng cho ba hiện tượng: (i)</w:t>
      </w:r>
      <w:r>
        <w:t xml:space="preserve"> </w:t>
      </w:r>
      <w:r>
        <w:rPr>
          <w:bCs/>
          <w:b/>
        </w:rPr>
        <w:t xml:space="preserve">born-globals</w:t>
      </w:r>
      <w:r>
        <w:t xml:space="preserve"> </w:t>
      </w:r>
      <w:r>
        <w:t xml:space="preserve">— doanh nghiệp quốc tế hóa nhanh ngay từ khi thành lập (Knight &amp; Cavusgil, 2004); (ii)</w:t>
      </w:r>
      <w:r>
        <w:t xml:space="preserve"> </w:t>
      </w:r>
      <w:r>
        <w:rPr>
          <w:bCs/>
          <w:b/>
        </w:rPr>
        <w:t xml:space="preserve">MNE từ emerging markets</w:t>
      </w:r>
      <w:r>
        <w:t xml:space="preserve"> </w:t>
      </w:r>
      <w:r>
        <w:t xml:space="preserve">— đặc biệt từ Trung Quốc, Ấn Độ với quy trình quốc tế hóa khác Uppsala (Mathews, 2002; Luo &amp; Tung, 2007); và (iii)</w:t>
      </w:r>
      <w:r>
        <w:t xml:space="preserve"> </w:t>
      </w:r>
      <w:r>
        <w:rPr>
          <w:bCs/>
          <w:b/>
        </w:rPr>
        <w:t xml:space="preserve">bối cảnh số</w:t>
      </w:r>
      <w:r>
        <w:t xml:space="preserve"> </w:t>
      </w:r>
      <w:r>
        <w:t xml:space="preserve">— internet và platform digital giảm psychic distance đến mức tối thiểu (Banalieva &amp; Dhanaraj, 2019; Stallkamp &amp; Schotter, 2021).</w:t>
      </w:r>
    </w:p>
    <w:p>
      <w:pPr>
        <w:pStyle w:val="BodyText"/>
      </w:pPr>
      <w:r>
        <w:rPr>
          <w:bCs/>
          <w:b/>
        </w:rPr>
        <w:t xml:space="preserve">Vai trò trong CĐ2</w:t>
      </w:r>
      <w:r>
        <w:t xml:space="preserve">. Mô hình Uppsala cung cấp</w:t>
      </w:r>
      <w:r>
        <w:t xml:space="preserve"> </w:t>
      </w:r>
      <w:r>
        <w:rPr>
          <w:bCs/>
          <w:b/>
        </w:rPr>
        <w:t xml:space="preserve">logic cho mức độ quốc tế hóa và non-monotonic returns</w:t>
      </w:r>
      <w:r>
        <w:t xml:space="preserve">: doanh nghiệp tăng cường độ xuất khẩu (FSTS) đối mặt với chi phí học tập ban đầu (giai đoạn 1 của S-curve), sau đó thu được lợi ích quy mô (giai đoạn 2), nhưng vượt quá ngưỡng nhất định lại chịu chi phí phối hợp (giai đoạn 3). Đây là cơ sở lý thuyết cho</w:t>
      </w:r>
      <w:r>
        <w:t xml:space="preserve"> </w:t>
      </w:r>
      <w:r>
        <w:rPr>
          <w:bCs/>
          <w:b/>
        </w:rPr>
        <w:t xml:space="preserve">hệ giả thuyết H1 phi tuyến S-curve</w:t>
      </w:r>
      <w:r>
        <w:t xml:space="preserve"> </w:t>
      </w:r>
      <w:r>
        <w:t xml:space="preserve">trong CĐ2. Bằng chứng P3 Việt Nam (turning point 39–46%) và P5 Trung Quốc (turning point 47–49%) neo đậu thực nghiệm cho H1.</w:t>
      </w:r>
    </w:p>
    <w:bookmarkEnd w:id="34"/>
    <w:bookmarkStart w:id="35" w:name="X2c85e26e6ba3228bf003793c40503d5a193d2b2"/>
    <w:p>
      <w:pPr>
        <w:pStyle w:val="Heading3"/>
      </w:pPr>
      <w:r>
        <w:t xml:space="preserve">2.2 Tầng 2 — Lý thuyết doanh nghiệp dựa trên nguồn lực (RBV)</w:t>
      </w:r>
    </w:p>
    <w:p>
      <w:pPr>
        <w:pStyle w:val="FirstParagraph"/>
      </w:pPr>
      <w:r>
        <w:rPr>
          <w:bCs/>
          <w:b/>
        </w:rPr>
        <w:t xml:space="preserve">Nội dung cốt lõi</w:t>
      </w:r>
      <w:r>
        <w:t xml:space="preserve">. Resource-Based View (Wernerfelt, 1984; Barney, 1991) cho rằng</w:t>
      </w:r>
      <w:r>
        <w:t xml:space="preserve"> </w:t>
      </w:r>
      <w:r>
        <w:rPr>
          <w:bCs/>
          <w:b/>
        </w:rPr>
        <w:t xml:space="preserve">lợi thế cạnh tranh bền vững</w:t>
      </w:r>
      <w:r>
        <w:t xml:space="preserve"> </w:t>
      </w:r>
      <w:r>
        <w:t xml:space="preserve">xuất phát từ nguồn lực có giá trị (Valuable), hiếm (Rare), khó bắt chước (Inimitable), và không thay thế (Non-substitutable) — viết tắt VRIN. Doanh nghiệp khác nhau về hiệu quả vì sở hữu các bộ nguồn lực khác nhau.</w:t>
      </w:r>
    </w:p>
    <w:p>
      <w:pPr>
        <w:pStyle w:val="BodyText"/>
      </w:pPr>
      <w:r>
        <w:rPr>
          <w:bCs/>
          <w:b/>
        </w:rPr>
        <w:t xml:space="preserve">Mở rộng năng lực động</w:t>
      </w:r>
      <w:r>
        <w:t xml:space="preserve">. Teece, Pisano và Shuen (1997) phát triển khái niệm</w:t>
      </w:r>
      <w:r>
        <w:t xml:space="preserve"> </w:t>
      </w:r>
      <w:r>
        <w:rPr>
          <w:bCs/>
          <w:b/>
        </w:rPr>
        <w:t xml:space="preserve">dynamic capabilities</w:t>
      </w:r>
      <w:r>
        <w:t xml:space="preserve"> </w:t>
      </w:r>
      <w:r>
        <w:t xml:space="preserve">— năng lực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rPr>
          <w:bCs/>
          <w:b/>
        </w:rPr>
        <w:t xml:space="preserve">Absorptive Capacity</w:t>
      </w:r>
      <w:r>
        <w:t xml:space="preserve">. Cohen và Levinthal (1990) đề xuất khái niệm</w:t>
      </w:r>
      <w:r>
        <w:t xml:space="preserve"> </w:t>
      </w:r>
      <w:r>
        <w:rPr>
          <w:bCs/>
          <w:b/>
        </w:rPr>
        <w:t xml:space="preserve">absorptive capacity</w:t>
      </w:r>
      <w:r>
        <w:t xml:space="preserve"> </w:t>
      </w:r>
      <w:r>
        <w:t xml:space="preserve">— năng lực doanh nghiệp nhận diện, đồng hóa, và áp dụng kiến thức bên ngoài. Doanh nghiệp có R&amp;D nội tại cao có absorptive capacity cao và do đó hấp thụ tri thức từ quốc tế hóa hiệu quả hơn.</w:t>
      </w:r>
    </w:p>
    <w:p>
      <w:pPr>
        <w:pStyle w:val="BodyText"/>
      </w:pPr>
      <w:r>
        <w:rPr>
          <w:bCs/>
          <w:b/>
        </w:rPr>
        <w:t xml:space="preserve">Vai trò trong CĐ2</w:t>
      </w:r>
      <w:r>
        <w:t xml:space="preserve">. RBV cung cấp lý thuyết cho</w:t>
      </w:r>
      <w:r>
        <w:t xml:space="preserve"> </w:t>
      </w:r>
      <w:r>
        <w:rPr>
          <w:bCs/>
          <w:b/>
        </w:rPr>
        <w:t xml:space="preserve">hệ giả thuyết H2 (TCI điều tiết tích cực)</w:t>
      </w:r>
      <w:r>
        <w:t xml:space="preserve">: doanh nghiệp có năng lực công nghệ (R&amp;D, ISO, máy nhập khẩu) cao hấp thụ lợi ích quốc tế hóa tốt hơn doanh nghiệp năng lực thấp. TCI là biến điều tiết cấp doanh nghiệp. Bằng chứng P3 Việt Nam (TCI direct β = 0,179, p &lt; .001; causal từ IV) và P5 Trung Quốc (TCI tăng cường +0,260→+0,426) ủng hộ TCI là nguồn lực VRIN bền vững.</w:t>
      </w:r>
    </w:p>
    <w:bookmarkEnd w:id="35"/>
    <w:bookmarkStart w:id="36" w:name="Xec688ca77214a2d5de44d607882fad31cddc4c4"/>
    <w:p>
      <w:pPr>
        <w:pStyle w:val="Heading3"/>
      </w:pPr>
      <w:r>
        <w:t xml:space="preserve">2.3 Tầng 3 — Lý thuyết thể chế (Institutional Theory)</w:t>
      </w:r>
    </w:p>
    <w:p>
      <w:pPr>
        <w:pStyle w:val="FirstParagraph"/>
      </w:pPr>
      <w:r>
        <w:rPr>
          <w:bCs/>
          <w:b/>
        </w:rPr>
        <w:t xml:space="preserve">Nội dung cốt lõi</w:t>
      </w:r>
      <w:r>
        <w:t xml:space="preserve">. North (1990) định nghĩa thể chế là</w:t>
      </w:r>
      <w:r>
        <w:t xml:space="preserve"> </w:t>
      </w:r>
      <w:r>
        <w:rPr>
          <w:bCs/>
          <w:b/>
        </w:rPr>
        <w:t xml:space="preserve">các quy tắc của trò chơi</w:t>
      </w:r>
      <w:r>
        <w:t xml:space="preserve"> </w:t>
      </w:r>
      <w:r>
        <w:t xml:space="preserve">— chính thức (luật pháp, hợp đồng, quyền sở hữu) và phi chính thức (chuẩn mực, văn hóa, mạng lưới) — quy định chi phí giao dịch và rủi ro kinh doanh. Doanh nghiệp ở các nền kinh tế thể chế chính thức yếu phải bù đắp bằng các thể chế phi chính thức (mạng lưới, quan hệ).</w:t>
      </w:r>
    </w:p>
    <w:p>
      <w:pPr>
        <w:pStyle w:val="BodyText"/>
      </w:pPr>
      <w:r>
        <w:rPr>
          <w:bCs/>
          <w:b/>
        </w:rPr>
        <w:t xml:space="preserve">Institutional Voids và Emerging Markets</w:t>
      </w:r>
      <w:r>
        <w:t xml:space="preserve">. Khanna và Palepu (2010) áp dụng lý thuyết thể chế cho emerging markets, đề xuất khái niệm</w:t>
      </w:r>
      <w:r>
        <w:t xml:space="preserve"> </w:t>
      </w:r>
      <w:r>
        <w:rPr>
          <w:bCs/>
          <w:b/>
        </w:rPr>
        <w:t xml:space="preserve">institutional voids</w:t>
      </w:r>
      <w:r>
        <w:t xml:space="preserve"> </w:t>
      </w:r>
      <w:r>
        <w:t xml:space="preserve">— các</w:t>
      </w:r>
      <w:r>
        <w:t xml:space="preserve"> </w:t>
      </w:r>
      <w:r>
        <w:t xml:space="preserve">“</w:t>
      </w:r>
      <w:r>
        <w:t xml:space="preserve">khoảng trống</w:t>
      </w:r>
      <w:r>
        <w:t xml:space="preserve">”</w:t>
      </w:r>
      <w:r>
        <w:t xml:space="preserve"> </w:t>
      </w:r>
      <w:r>
        <w:t xml:space="preserve">trong hệ thống thể chế (thiếu thị trường vốn phát triển, thiếu hệ thống tư pháp hiệu quả, thiếu chuẩn kế toán minh bạch). Doanh nghiệp ở emerging markets phải xây dựng giải pháp nội bộ (internal capital markets, business groups) để bù đắp.</w:t>
      </w:r>
    </w:p>
    <w:p>
      <w:pPr>
        <w:pStyle w:val="BodyText"/>
      </w:pPr>
      <w:r>
        <w:rPr>
          <w:bCs/>
          <w:b/>
        </w:rPr>
        <w:t xml:space="preserve">Strategy Tripod</w:t>
      </w:r>
      <w:r>
        <w:t xml:space="preserve">. Peng (2003) và Peng, Wang, Jiang (2008) đề xuất</w:t>
      </w:r>
      <w:r>
        <w:t xml:space="preserve"> </w:t>
      </w:r>
      <w:r>
        <w:rPr>
          <w:bCs/>
          <w:b/>
        </w:rPr>
        <w:t xml:space="preserve">strategy tripod</w:t>
      </w:r>
      <w:r>
        <w:t xml:space="preserve"> </w:t>
      </w:r>
      <w:r>
        <w:t xml:space="preserve">— chiến lược doanh nghiệp được hình thành bởi ba lực: industry (ngành), resources (nguồn lực), và institutions (thể chế). Trong các nền kinh tế đang nổi và cận biên, vai trò của institutions đặc biệt nổi bật — bằng hoặc cao hơn industry và resources.</w:t>
      </w:r>
    </w:p>
    <w:p>
      <w:pPr>
        <w:pStyle w:val="BodyText"/>
      </w:pPr>
      <w:r>
        <w:rPr>
          <w:bCs/>
          <w:b/>
        </w:rPr>
        <w:t xml:space="preserve">Vai trò trong CĐ2</w:t>
      </w:r>
      <w:r>
        <w:t xml:space="preserve">. Lý thuyết thể chế cung cấp logic cho</w:t>
      </w:r>
      <w:r>
        <w:t xml:space="preserve"> </w:t>
      </w:r>
      <w:r>
        <w:rPr>
          <w:bCs/>
          <w:b/>
        </w:rPr>
        <w:t xml:space="preserve">hệ giả thuyết H5 (institutional moderation theo gradient ICRV)</w:t>
      </w:r>
      <w:r>
        <w:t xml:space="preserve">: cùng một mức quốc tế hóa, doanh nghiệp ở Nhóm I (tiên tiến đổi mới, thể chế hoàn thiện) thu được hiệu quả khác doanh nghiệp ở Nhóm V (cận biên, institutional voids) khác doanh nghiệp ở Nhóm VI (SIDS, forced internationalization). Sáu nhóm ICRV là biến điều tiết cấp quốc gia.</w:t>
      </w:r>
    </w:p>
    <w:bookmarkEnd w:id="36"/>
    <w:bookmarkStart w:id="37" w:name="tầng-4-lý-thuyết-upper-echelons"/>
    <w:p>
      <w:pPr>
        <w:pStyle w:val="Heading3"/>
      </w:pPr>
      <w:r>
        <w:t xml:space="preserve">2.4 Tầng 4 — Lý thuyết Upper Echelons</w:t>
      </w:r>
    </w:p>
    <w:p>
      <w:pPr>
        <w:pStyle w:val="FirstParagraph"/>
      </w:pPr>
      <w:r>
        <w:rPr>
          <w:bCs/>
          <w:b/>
        </w:rPr>
        <w:t xml:space="preserve">Nội dung cốt lõi</w:t>
      </w:r>
      <w:r>
        <w:t xml:space="preserve">. Hambrick và Mason (1984) đề xuất</w:t>
      </w:r>
      <w:r>
        <w:t xml:space="preserve"> </w:t>
      </w:r>
      <w:r>
        <w:rPr>
          <w:bCs/>
          <w:b/>
        </w:rPr>
        <w:t xml:space="preserve">Upper Echelons Theory</w:t>
      </w:r>
      <w:r>
        <w:t xml:space="preserve"> </w:t>
      </w:r>
      <w:r>
        <w:t xml:space="preserve">với luận điểm trung tâm:</w:t>
      </w:r>
      <w:r>
        <w:t xml:space="preserve"> </w:t>
      </w:r>
      <w:r>
        <w:rPr>
          <w:bCs/>
          <w:b/>
        </w:rPr>
        <w:t xml:space="preserve">các quyết định chiến lược của doanh nghiệp phản ánh đặc điểm nhân khẩu học của top managers</w:t>
      </w:r>
      <w:r>
        <w:t xml:space="preserve">. Các đặc điểm này gồm tuổi, giáo dục, kinh nghiệm chức năng, thâm niên, kinh nghiệm quốc tế, giới tính.</w:t>
      </w:r>
    </w:p>
    <w:p>
      <w:pPr>
        <w:pStyle w:val="BodyText"/>
      </w:pPr>
      <w:r>
        <w:rPr>
          <w:bCs/>
          <w:b/>
        </w:rPr>
        <w:t xml:space="preserve">Cập nhật 2007</w:t>
      </w:r>
      <w:r>
        <w:t xml:space="preserve">. Hambrick (2007) đánh giá lại 23 năm phát triển của Upper Echelons, bổ sung hai khái niệm quan trọng: (i)</w:t>
      </w:r>
      <w:r>
        <w:t xml:space="preserve"> </w:t>
      </w:r>
      <w:r>
        <w:rPr>
          <w:bCs/>
          <w:b/>
        </w:rPr>
        <w:t xml:space="preserve">managerial discretion</w:t>
      </w:r>
      <w:r>
        <w:t xml:space="preserve"> </w:t>
      </w:r>
      <w:r>
        <w:t xml:space="preserve">— mức độ tự do của top managers trong việc đưa ra quyết định, phụ thuộc vào ngành và môi trường thể chế; (ii)</w:t>
      </w:r>
      <w:r>
        <w:t xml:space="preserve"> </w:t>
      </w:r>
      <w:r>
        <w:rPr>
          <w:bCs/>
          <w:b/>
        </w:rPr>
        <w:t xml:space="preserve">executive job demands</w:t>
      </w:r>
      <w:r>
        <w:t xml:space="preserve"> </w:t>
      </w:r>
      <w:r>
        <w:t xml:space="preserve">— áp lực và phức tạp của công việc top manager, ảnh hưởng đến chất lượng quyết định.</w:t>
      </w:r>
    </w:p>
    <w:p>
      <w:pPr>
        <w:pStyle w:val="BodyText"/>
      </w:pPr>
      <w:r>
        <w:rPr>
          <w:bCs/>
          <w:b/>
        </w:rPr>
        <w:t xml:space="preserve">Áp dụng cho quốc tế hóa</w:t>
      </w:r>
      <w:r>
        <w:t xml:space="preserve">. Cannella, Park và Lee (2008) cho thấy đa dạng chức năng của TMT (Top Management Team) tương quan dương với hiệu quả ở các môi trường thay đổi nhanh. Nielsen và Nielsen (2011) chứng minh kinh nghiệm quốc tế của TMT là yếu tố quyết định việc lựa chọn entry mode cho thị trường nước ngoài. Hsu, Chen và Cheng (2013) áp dụng Upper Echelons cho SMEs trong bối cảnh quốc tế hóa.</w:t>
      </w:r>
    </w:p>
    <w:p>
      <w:pPr>
        <w:pStyle w:val="BodyText"/>
      </w:pPr>
      <w:r>
        <w:rPr>
          <w:bCs/>
          <w:b/>
        </w:rPr>
        <w:t xml:space="preserve">Vai trò trong CĐ2</w:t>
      </w:r>
      <w:r>
        <w:t xml:space="preserve">. Upper Echelons cung cấp lý thuyết cho</w:t>
      </w:r>
      <w:r>
        <w:t xml:space="preserve"> </w:t>
      </w:r>
      <w:r>
        <w:rPr>
          <w:bCs/>
          <w:b/>
        </w:rPr>
        <w:t xml:space="preserve">hệ giả thuyết H4 (top manager moderation)</w:t>
      </w:r>
      <w:r>
        <w:t xml:space="preserve">: doanh nghiệp có top manager kinh nghiệm cao, học vấn cao, kinh nghiệm quốc tế chuyển hóa quốc tế hóa thành hiệu quả tốt hơn. Top manager characteristics là biến điều tiết cấp doanh nghiệp.</w:t>
      </w:r>
    </w:p>
    <w:bookmarkEnd w:id="37"/>
    <w:bookmarkStart w:id="38" w:name="X5a8cd66d8094eebfc1e7645f13f66288f45fee0"/>
    <w:p>
      <w:pPr>
        <w:pStyle w:val="Heading3"/>
      </w:pPr>
      <w:r>
        <w:t xml:space="preserve">2.5 Lăng kính số — Digital Capability Lens và CDCM</w:t>
      </w:r>
    </w:p>
    <w:p>
      <w:pPr>
        <w:pStyle w:val="FirstParagraph"/>
      </w:pPr>
      <w:r>
        <w:rPr>
          <w:bCs/>
          <w:b/>
        </w:rPr>
        <w:t xml:space="preserve">Internalization Theory cho kỷ nguyên số</w:t>
      </w:r>
      <w:r>
        <w:t xml:space="preserve">. Banalieva và Dhanaraj (2019) phát triển</w:t>
      </w:r>
      <w:r>
        <w:t xml:space="preserve"> </w:t>
      </w:r>
      <w:r>
        <w:rPr>
          <w:bCs/>
          <w:b/>
        </w:rPr>
        <w:t xml:space="preserve">internalization theory cho nền kinh tế số</w:t>
      </w:r>
      <w:r>
        <w:t xml:space="preserve">, đề xuất rằng platform digital và hạ tầng số làm thay đổi căn bản ba yếu tố cốt lõi của lý thuyết IB: (i)</w:t>
      </w:r>
      <w:r>
        <w:t xml:space="preserve"> </w:t>
      </w:r>
      <w:r>
        <w:rPr>
          <w:bCs/>
          <w:b/>
        </w:rPr>
        <w:t xml:space="preserve">psychic distance giảm</w:t>
      </w:r>
      <w:r>
        <w:t xml:space="preserve"> </w:t>
      </w:r>
      <w:r>
        <w:t xml:space="preserve">đến mức tối thiểu — doanh nghiệp có thể tiếp cận thị trường xa qua platform; (ii)</w:t>
      </w:r>
      <w:r>
        <w:t xml:space="preserve"> </w:t>
      </w:r>
      <w:r>
        <w:rPr>
          <w:bCs/>
          <w:b/>
        </w:rPr>
        <w:t xml:space="preserve">chuỗi giá trị phân mảnh</w:t>
      </w:r>
      <w:r>
        <w:t xml:space="preserve"> </w:t>
      </w:r>
      <w:r>
        <w:t xml:space="preserve">ở quy mô chưa từng có — doanh nghiệp có thể outsource từng khâu cho nhà cung cấp tốt nhất toàn cầu; (iii)</w:t>
      </w:r>
      <w:r>
        <w:t xml:space="preserve"> </w:t>
      </w:r>
      <w:r>
        <w:rPr>
          <w:bCs/>
          <w:b/>
        </w:rPr>
        <w:t xml:space="preserve">born-globals trở thành chuẩn mới</w:t>
      </w:r>
      <w:r>
        <w:t xml:space="preserve"> </w:t>
      </w:r>
      <w:r>
        <w:t xml:space="preserve">— doanh nghiệp khởi đầu quốc tế ngay từ ngày đầu thành lập.</w:t>
      </w:r>
    </w:p>
    <w:p>
      <w:pPr>
        <w:pStyle w:val="BodyText"/>
      </w:pPr>
      <w:r>
        <w:rPr>
          <w:bCs/>
          <w:b/>
        </w:rPr>
        <w:t xml:space="preserve">Phân biệt năng lực công nghệ và áp dụng số</w:t>
      </w:r>
      <w:r>
        <w:t xml:space="preserve">. Verhoef et al. (2021) đề xuất phân biệt rõ:</w:t>
      </w:r>
      <w:r>
        <w:t xml:space="preserve"> </w:t>
      </w:r>
      <w:r>
        <w:t xml:space="preserve">-</w:t>
      </w:r>
      <w:r>
        <w:t xml:space="preserve"> </w:t>
      </w:r>
      <w:r>
        <w:rPr>
          <w:bCs/>
          <w:b/>
        </w:rPr>
        <w:t xml:space="preserve">Technological Capability (TCI)</w:t>
      </w:r>
      <w:r>
        <w:t xml:space="preserve">: nội tại — R&amp;D doanh nghiệp, đổi mới sản phẩm, chứng nhận chất lượng (ISO), bằng sáng chế. Đo lường bằng đầu vào và đầu ra của hoạt động đổi mới (Tier 3–4 theo Verhoef et al.).</w:t>
      </w:r>
      <w:r>
        <w:t xml:space="preserve"> </w:t>
      </w:r>
      <w:r>
        <w:t xml:space="preserve">-</w:t>
      </w:r>
      <w:r>
        <w:t xml:space="preserve"> </w:t>
      </w:r>
      <w:r>
        <w:rPr>
          <w:bCs/>
          <w:b/>
        </w:rPr>
        <w:t xml:space="preserve">Digital Adoption (DAI)</w:t>
      </w:r>
      <w:r>
        <w:t xml:space="preserve">: ngoại tại — sử dụng hạ tầng số nền tảng (website, e-commerce, e-payment). Đo lường bằng việc adoption của công cụ số Tier 1–2 (Verhoef et al.).</w:t>
      </w:r>
    </w:p>
    <w:p>
      <w:pPr>
        <w:pStyle w:val="BodyText"/>
      </w:pPr>
      <w:r>
        <w:rPr>
          <w:bCs/>
          <w:b/>
        </w:rPr>
        <w:t xml:space="preserve">Platforms without borders</w:t>
      </w:r>
      <w:r>
        <w:t xml:space="preserve">. Stallkamp và Schotter (2021) chứng minh rằng platform số (Amazon, Alibaba, Shopify) cho phép doanh nghiệp nhỏ ở emerging markets quốc tế hóa với chi phí gần bằng zero. Đây là sự thay đổi căn bản cho mô hình Uppsala.</w:t>
      </w:r>
    </w:p>
    <w:p>
      <w:pPr>
        <w:pStyle w:val="BodyText"/>
      </w:pPr>
      <w:r>
        <w:rPr>
          <w:bCs/>
          <w:b/>
        </w:rPr>
        <w:t xml:space="preserve">CDCM — Context-Contingent Digital Capability Model</w:t>
      </w:r>
      <w:r>
        <w:t xml:space="preserve">. Phân tích đa archetype trong CĐ1 phát hiện rằng tác động của DAI lên hiệu quả không đồng nhất mà phụ thuộc đồng thời vào</w:t>
      </w:r>
      <w:r>
        <w:t xml:space="preserve"> </w:t>
      </w:r>
      <w:r>
        <w:rPr>
          <w:bCs/>
          <w:b/>
        </w:rPr>
        <w:t xml:space="preserve">ba chiều ngữ cảnh</w:t>
      </w:r>
      <w:r>
        <w:t xml:space="preserve">:</w:t>
      </w:r>
    </w:p>
    <w:p>
      <w:pPr>
        <w:numPr>
          <w:ilvl w:val="0"/>
          <w:numId w:val="1008"/>
        </w:numPr>
      </w:pPr>
      <w:r>
        <w:rPr>
          <w:bCs/>
          <w:b/>
        </w:rPr>
        <w:t xml:space="preserve">Regime thể chế (ICRV)</w:t>
      </w:r>
      <w:r>
        <w:t xml:space="preserve">: Ở Nhóm I (tiên tiến đổi mới) nơi Tier 1–2 đã bão hòa, DAI không tạo uniform premium mà chỉ phát huy qua export-contingent channel (digital saturation paradox — P4 Singapore). Ở Nhóm IV (đang nổi), DAI dương nhưng stage-specific và chịu selection bias (P3 Việt Nam).</w:t>
      </w:r>
    </w:p>
    <w:p>
      <w:pPr>
        <w:numPr>
          <w:ilvl w:val="0"/>
          <w:numId w:val="1008"/>
        </w:numPr>
      </w:pPr>
      <w:r>
        <w:rPr>
          <w:bCs/>
          <w:b/>
        </w:rPr>
        <w:t xml:space="preserve">Giai đoạn quốc tế hóa (FSTS level)</w:t>
      </w:r>
      <w:r>
        <w:t xml:space="preserve">: DAI là conditional scaling resource — hiệu quả hơn ở FSTS cao khi cross-border coordination demands dày đặc (P4 Singapore: DAI×FSTS² = +3,119, p = .005).</w:t>
      </w:r>
    </w:p>
    <w:p>
      <w:pPr>
        <w:numPr>
          <w:ilvl w:val="0"/>
          <w:numId w:val="1008"/>
        </w:numPr>
      </w:pPr>
      <w:r>
        <w:rPr>
          <w:bCs/>
          <w:b/>
        </w:rPr>
        <w:t xml:space="preserve">Mức độ bão hòa số (digital saturation)</w:t>
      </w:r>
      <w:r>
        <w:t xml:space="preserve">: Khi nền kinh tế đạt bão hòa Tier 1–2, DAI mất tác dụng phân biệt cấp doanh nghiệp (Singapore: website adoption 67%); khi chưa bão hòa, DAI vẫn có signal discrimination (Việt Nam 2023: 49,8%).</w:t>
      </w:r>
    </w:p>
    <w:p>
      <w:pPr>
        <w:pStyle w:val="FirstParagraph"/>
      </w:pPr>
      <w:r>
        <w:t xml:space="preserve">CDCM cung cấp lý thuyết thống nhất giải thích tại sao ba bản thảo (P3, P4, P5) đều cho thấy DAI không điều tiết đồng nhất nhưng mỗi nghiên cứu có pattern riêng nhất quán với CDCM.</w:t>
      </w:r>
    </w:p>
    <w:p>
      <w:pPr>
        <w:pStyle w:val="BodyText"/>
      </w:pPr>
      <w:r>
        <w:rPr>
          <w:bCs/>
          <w:b/>
        </w:rPr>
        <w:t xml:space="preserve">Bằng chứng emerging Asia</w:t>
      </w:r>
      <w:r>
        <w:t xml:space="preserve">. Yang, Zhao và Wei (2025) tổng hợp bằng chứng từ Trung Quốc, Ấn Độ, Việt Nam cho thấy năng lực số là moderator mạnh nhất cho quan hệ I→P trong giai đoạn 2018+, nhưng chỉ khi phân tách đúng cấp độ năng lực (Tier 1–2 vs. Tier 3–4).</w:t>
      </w:r>
    </w:p>
    <w:p>
      <w:pPr>
        <w:pStyle w:val="BodyText"/>
      </w:pPr>
      <w:r>
        <w:rPr>
          <w:bCs/>
          <w:b/>
        </w:rPr>
        <w:t xml:space="preserve">Vai trò trong CĐ2</w:t>
      </w:r>
      <w:r>
        <w:t xml:space="preserve">. Digital Capability Lens + CDCM cung cấp lý thuyết cho</w:t>
      </w:r>
      <w:r>
        <w:t xml:space="preserve"> </w:t>
      </w:r>
      <w:r>
        <w:rPr>
          <w:bCs/>
          <w:b/>
        </w:rPr>
        <w:t xml:space="preserve">hệ giả thuyết H3 (DAI điều tiết phụ thuộc ngữ cảnh, riêng biệt với TCI)</w:t>
      </w:r>
      <w:r>
        <w:t xml:space="preserve">: DAI là conditional scaling resource (không phải uniform premium), và sự phân biệt TCI vs. DAI là cần thiết về mặt lý thuyết và thực nghiệm.</w:t>
      </w:r>
    </w:p>
    <w:bookmarkEnd w:id="38"/>
    <w:bookmarkStart w:id="39" w:name="tích-hợp-4-tầng-digital-lens"/>
    <w:p>
      <w:pPr>
        <w:pStyle w:val="Heading3"/>
      </w:pPr>
      <w:r>
        <w:t xml:space="preserve">2.6 Tích hợp 4 tầng + Digital Lens</w:t>
      </w:r>
    </w:p>
    <w:p>
      <w:pPr>
        <w:pStyle w:val="FirstParagraph"/>
      </w:pPr>
      <w:r>
        <w:rPr>
          <w:bCs/>
          <w:b/>
        </w:rPr>
        <w:t xml:space="preserve">Bảng 2.1</w:t>
      </w:r>
      <w:r>
        <w:t xml:space="preserve">.</w:t>
      </w:r>
      <w:r>
        <w:t xml:space="preserve"> </w:t>
      </w:r>
      <w:r>
        <w:rPr>
          <w:iCs/>
          <w:i/>
        </w:rPr>
        <w:t xml:space="preserve">Mỗi tầng lý thuyết → câu hỏi phụ → biến số CĐ2 → giả thuyết tương ứng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quốc tế hóa tăng dần có hiệu ứng phi tuyến không?</w:t>
            </w:r>
          </w:p>
        </w:tc>
        <w:tc>
          <w:tcPr/>
          <w:p>
            <w:pPr>
              <w:pStyle w:val="Compact"/>
              <w:jc w:val="left"/>
            </w:pPr>
            <w:r>
              <w:t xml:space="preserve">I (FSTS, FSTS²)</w:t>
            </w:r>
          </w:p>
        </w:tc>
        <w:tc>
          <w:tcPr/>
          <w:p>
            <w:pPr>
              <w:pStyle w:val="Compact"/>
              <w:jc w:val="left"/>
            </w:pPr>
            <w:r>
              <w:rPr>
                <w:bCs/>
                <w:b/>
              </w:rPr>
              <w:t xml:space="preserve">H1</w:t>
            </w:r>
            <w:r>
              <w:t xml:space="preserve"> </w:t>
            </w:r>
            <w:r>
              <w:t xml:space="preserve">Phi tuyến S-curve</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rPr>
                <w:bCs/>
                <w:b/>
              </w:rPr>
              <w:t xml:space="preserve">H2</w:t>
            </w:r>
            <w:r>
              <w:t xml:space="preserve"> </w:t>
            </w:r>
            <w:r>
              <w:t xml:space="preserve">TCI moderation (+)</w:t>
            </w:r>
          </w:p>
        </w:tc>
        <w:tc>
          <w:tcPr/>
          <w:p>
            <w:pPr>
              <w:pStyle w:val="Compact"/>
              <w:jc w:val="left"/>
            </w:pPr>
            <w:r>
              <w:t xml:space="preserve">P3: β_z=0,179 causal (IV); P5: β_z=+0,260→+0,426</w:t>
            </w:r>
          </w:p>
        </w:tc>
      </w:tr>
      <w:tr>
        <w:tc>
          <w:tcPr/>
          <w:p>
            <w:pPr>
              <w:pStyle w:val="Compact"/>
              <w:jc w:val="left"/>
            </w:pPr>
            <w:r>
              <w:t xml:space="preserve">5</w:t>
            </w:r>
          </w:p>
        </w:tc>
        <w:tc>
          <w:tcPr/>
          <w:p>
            <w:pPr>
              <w:pStyle w:val="Compact"/>
              <w:jc w:val="left"/>
            </w:pPr>
            <w:r>
              <w:t xml:space="preserve">Digital lens + 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rPr>
                <w:bCs/>
                <w:b/>
              </w:rPr>
              <w:t xml:space="preserve">H3</w:t>
            </w:r>
            <w:r>
              <w:t xml:space="preserve"> </w:t>
            </w:r>
            <w:r>
              <w:t xml:space="preserve">DAI conditional scaling resource</w:t>
            </w:r>
          </w:p>
        </w:tc>
        <w:tc>
          <w:tcPr/>
          <w:p>
            <w:pPr>
              <w:pStyle w:val="Compact"/>
              <w:jc w:val="left"/>
            </w:pPr>
            <w:r>
              <w:t xml:space="preserve">P4: DAI×FSTS²=+3,119; P3: IV null (β=0,018)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rPr>
                <w:bCs/>
                <w:b/>
              </w:rPr>
              <w:t xml:space="preserve">H4</w:t>
            </w:r>
            <w:r>
              <w:t xml:space="preserve"> </w:t>
            </w:r>
            <w:r>
              <w:t xml:space="preserve">Manager moderation</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regime (6 nhóm)</w:t>
            </w:r>
          </w:p>
        </w:tc>
        <w:tc>
          <w:tcPr/>
          <w:p>
            <w:pPr>
              <w:pStyle w:val="Compact"/>
              <w:jc w:val="left"/>
            </w:pPr>
            <w:r>
              <w:rPr>
                <w:bCs/>
                <w:b/>
              </w:rPr>
              <w:t xml:space="preserve">H5</w:t>
            </w:r>
            <w:r>
              <w:t xml:space="preserve"> </w:t>
            </w:r>
            <w:r>
              <w:t xml:space="preserve">Institutional moderation gradient</w:t>
            </w:r>
          </w:p>
        </w:tc>
        <w:tc>
          <w:tcPr/>
          <w:p>
            <w:pPr>
              <w:pStyle w:val="Compact"/>
              <w:jc w:val="left"/>
            </w:pPr>
            <w:r>
              <w:t xml:space="preserve">CĐ1: dispersion LP tăng theo regime</w:t>
            </w:r>
          </w:p>
        </w:tc>
      </w:tr>
      <w:tr>
        <w:tc>
          <w:tcPr/>
          <w:p>
            <w:pPr>
              <w:pStyle w:val="Compact"/>
              <w:jc w:val="left"/>
            </w:pPr>
            <w:r>
              <w:t xml:space="preserve">–</w:t>
            </w:r>
          </w:p>
        </w:tc>
        <w:tc>
          <w:tcPr/>
          <w:p>
            <w:pPr>
              <w:pStyle w:val="Compact"/>
              <w:jc w:val="left"/>
            </w:pPr>
            <w:r>
              <w:t xml:space="preserve">(Temporal)</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rPr>
                <w:bCs/>
                <w:b/>
              </w:rPr>
              <w:t xml:space="preserve">H6</w:t>
            </w:r>
            <w:r>
              <w:t xml:space="preserve"> </w:t>
            </w:r>
            <w:r>
              <w:t xml:space="preserve">Temporal heterogeneity</w:t>
            </w:r>
          </w:p>
        </w:tc>
        <w:tc>
          <w:tcPr/>
          <w:p>
            <w:pPr>
              <w:pStyle w:val="Compact"/>
              <w:jc w:val="left"/>
            </w:pPr>
            <w:r>
              <w:t xml:space="preserve">P3: DAI Paternoster p&lt;.001; P5: TCI Paternoster p=.011</w:t>
            </w:r>
          </w:p>
        </w:tc>
      </w:tr>
    </w:tbl>
    <w:p>
      <w:pPr>
        <w:pStyle w:val="BodyText"/>
      </w:pPr>
      <w:r>
        <w:rPr>
          <w:bCs/>
          <w:b/>
        </w:rPr>
        <w:t xml:space="preserve">Sơ đồ tích hợp — Hình 2.1</w:t>
      </w:r>
      <w:r>
        <w:t xml:space="preserve"> </w:t>
      </w:r>
      <w:r>
        <w:t xml:space="preserve">(preview; phiên bản đầy đủ tại Hình 4.1 §4.1, sơ đồ PlantUML render-ready):</w:t>
      </w:r>
    </w:p>
    <w:p>
      <w:pPr>
        <w:pStyle w:val="SourceCode"/>
      </w:pPr>
      <w:r>
        <w:rPr>
          <w:rStyle w:val="VerbatimChar"/>
        </w:rPr>
        <w:t xml:space="preserve">                     ┌─────────────────────────────────────┐</w:t>
      </w:r>
      <w:r>
        <w:br/>
      </w:r>
      <w:r>
        <w:rPr>
          <w:rStyle w:val="VerbatimChar"/>
        </w:rPr>
        <w:t xml:space="preserve">                     │  Uppsala (Tầng 1) → I (FSTS, FSTS²) │</w:t>
      </w:r>
      <w:r>
        <w:br/>
      </w:r>
      <w:r>
        <w:rPr>
          <w:rStyle w:val="VerbatimChar"/>
        </w:rPr>
        <w:t xml:space="preserve">                     │   cường độ quốc tế hóa              │</w:t>
      </w:r>
      <w:r>
        <w:br/>
      </w:r>
      <w:r>
        <w:rPr>
          <w:rStyle w:val="VerbatimChar"/>
        </w:rPr>
        <w:t xml:space="preserve">                     │   [d3c/100, mean-centered]          │</w:t>
      </w:r>
      <w:r>
        <w:br/>
      </w:r>
      <w:r>
        <w:rPr>
          <w:rStyle w:val="VerbatimChar"/>
        </w:rPr>
        <w:t xml:space="preserve">                     └─────────────────┬───────────────────┘</w:t>
      </w:r>
      <w:r>
        <w:br/>
      </w:r>
      <w:r>
        <w:rPr>
          <w:rStyle w:val="VerbatimChar"/>
        </w:rPr>
        <w:t xml:space="preserve">                                       │</w:t>
      </w:r>
      <w:r>
        <w:br/>
      </w:r>
      <w:r>
        <w:rPr>
          <w:rStyle w:val="VerbatimChar"/>
        </w:rPr>
        <w:t xml:space="preserve">                              [H1] β₁&gt;0; β₂&lt;0</w:t>
      </w:r>
      <w:r>
        <w:br/>
      </w:r>
      <w:r>
        <w:rPr>
          <w:rStyle w:val="VerbatimChar"/>
        </w:rPr>
        <w:t xml:space="preserve">                              inverted-U/S-curve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Hiệu quả P           │</w:t>
      </w:r>
      <w:r>
        <w:br/>
      </w:r>
      <w:r>
        <w:rPr>
          <w:rStyle w:val="VerbatimChar"/>
        </w:rPr>
        <w:t xml:space="preserve">                          │   ln(Labour Productivity)│</w:t>
      </w:r>
      <w:r>
        <w:br/>
      </w:r>
      <w:r>
        <w:rPr>
          <w:rStyle w:val="VerbatimChar"/>
        </w:rPr>
        <w:t xml:space="preserve">                          │   ── ROS, sales growth ─│</w:t>
      </w:r>
      <w:r>
        <w:br/>
      </w:r>
      <w:r>
        <w:rPr>
          <w:rStyle w:val="VerbatimChar"/>
        </w:rPr>
        <w:t xml:space="preserve">                          └─────────┬──────────────┘</w:t>
      </w:r>
      <w:r>
        <w:br/>
      </w:r>
      <w:r>
        <w:rPr>
          <w:rStyle w:val="VerbatimChar"/>
        </w:rPr>
        <w:t xml:space="preserve">                                    │</w:t>
      </w:r>
      <w:r>
        <w:br/>
      </w:r>
      <w:r>
        <w:rPr>
          <w:rStyle w:val="VerbatimChar"/>
        </w:rPr>
        <w:t xml:space="preserve">                       ┌────────────┴───────── điều tiết bởi:</w:t>
      </w:r>
      <w:r>
        <w:br/>
      </w:r>
      <w:r>
        <w:rPr>
          <w:rStyle w:val="VerbatimChar"/>
        </w:rPr>
        <w:t xml:space="preserve">                       │</w:t>
      </w:r>
      <w:r>
        <w:br/>
      </w:r>
      <w:r>
        <w:rPr>
          <w:rStyle w:val="VerbatimChar"/>
        </w:rPr>
        <w:t xml:space="preserve">   ┌─────────CẤP DOANH NGHIỆP (firm-level moderators)─────────┐</w:t>
      </w:r>
      <w:r>
        <w:br/>
      </w:r>
      <w:r>
        <w:rPr>
          <w:rStyle w:val="VerbatimChar"/>
        </w:rPr>
        <w:t xml:space="preserve">   │                       │                       │          │</w:t>
      </w:r>
      <w:r>
        <w:br/>
      </w:r>
      <w:r>
        <w:rPr>
          <w:rStyle w:val="VerbatimChar"/>
        </w:rPr>
        <w:t xml:space="preserve">   ▼                       ▼                       ▼          │</w:t>
      </w:r>
      <w:r>
        <w:br/>
      </w:r>
      <w:r>
        <w:rPr>
          <w:rStyle w:val="VerbatimChar"/>
        </w:rPr>
        <w:t xml:space="preserve">RBV (Tầng 2)        Digital Lens+CDCM       Upper Echelons    │</w:t>
      </w:r>
      <w:r>
        <w:br/>
      </w:r>
      <w:r>
        <w:rPr>
          <w:rStyle w:val="VerbatimChar"/>
        </w:rPr>
        <w:t xml:space="preserve">   TCI                    DAI                    Manager      │</w:t>
      </w:r>
      <w:r>
        <w:br/>
      </w:r>
      <w:r>
        <w:rPr>
          <w:rStyle w:val="VerbatimChar"/>
        </w:rPr>
        <w:t xml:space="preserve">[level-shifter,    [conditional scaling     [exp, gender,     │</w:t>
      </w:r>
      <w:r>
        <w:br/>
      </w:r>
      <w:r>
        <w:rPr>
          <w:rStyle w:val="VerbatimChar"/>
        </w:rPr>
        <w:t xml:space="preserve"> causal IV]         resource — CDCM]         educ — proxy]    │</w:t>
      </w:r>
      <w:r>
        <w:br/>
      </w:r>
      <w:r>
        <w:rPr>
          <w:rStyle w:val="VerbatimChar"/>
        </w:rPr>
        <w:t xml:space="preserve">   [H2 +]               [H3 contingent]          [H4 +]       │</w:t>
      </w:r>
      <w:r>
        <w:br/>
      </w:r>
      <w:r>
        <w:rPr>
          <w:rStyle w:val="VerbatimChar"/>
        </w:rPr>
        <w:t xml:space="preserve">   │ │ │                  │ │ │                  │ │ │        │</w:t>
      </w:r>
      <w:r>
        <w:br/>
      </w:r>
      <w:r>
        <w:rPr>
          <w:rStyle w:val="VerbatimChar"/>
        </w:rPr>
        <w:t xml:space="preserve">   │ │ │ neo đậu:         │ │ │ neo đậu:         │ │ │ scope: │</w:t>
      </w:r>
      <w:r>
        <w:br/>
      </w:r>
      <w:r>
        <w:rPr>
          <w:rStyle w:val="VerbatimChar"/>
        </w:rPr>
        <w:t xml:space="preserve">   │ │ └─ P3 VN β=0,179   │ │ └─ P4 SG          │ │ └─ M5     │</w:t>
      </w:r>
      <w:r>
        <w:br/>
      </w:r>
      <w:r>
        <w:rPr>
          <w:rStyle w:val="VerbatimChar"/>
        </w:rPr>
        <w:t xml:space="preserve">   │ │    (IV F=22,1)     │ │    DAI×FSTS²=     │ │   WBES    │</w:t>
      </w:r>
      <w:r>
        <w:br/>
      </w:r>
      <w:r>
        <w:rPr>
          <w:rStyle w:val="VerbatimChar"/>
        </w:rPr>
        <w:t xml:space="preserve">   │ │                    │ │    +3,119         │ │   subset  │</w:t>
      </w:r>
      <w:r>
        <w:br/>
      </w:r>
      <w:r>
        <w:rPr>
          <w:rStyle w:val="VerbatimChar"/>
        </w:rPr>
        <w:t xml:space="preserve">   │ └─── P5 CN β_z       │ └─── P3 VN IV null  │ └─── (chưa  │</w:t>
      </w:r>
      <w:r>
        <w:br/>
      </w:r>
      <w:r>
        <w:rPr>
          <w:rStyle w:val="VerbatimChar"/>
        </w:rPr>
        <w:t xml:space="preserve">   │      +0,260→+0,426   │      (F=34,6)       │     có meta)│</w:t>
      </w:r>
      <w:r>
        <w:br/>
      </w:r>
      <w:r>
        <w:rPr>
          <w:rStyle w:val="VerbatimChar"/>
        </w:rPr>
        <w:t xml:space="preserve">   └──────────────────────┴─────────────────────┘             │</w:t>
      </w:r>
      <w:r>
        <w:br/>
      </w:r>
      <w:r>
        <w:rPr>
          <w:rStyle w:val="VerbatimChar"/>
        </w:rPr>
        <w:t xml:space="preserve">                                                              │</w:t>
      </w:r>
      <w:r>
        <w:br/>
      </w:r>
      <w:r>
        <w:rPr>
          <w:rStyle w:val="VerbatimChar"/>
        </w:rPr>
        <w:t xml:space="preserve">   ┌─────────CẤP QUỐC GIA (country-level moderators)──────────┘</w:t>
      </w:r>
      <w:r>
        <w:br/>
      </w:r>
      <w:r>
        <w:rPr>
          <w:rStyle w:val="VerbatimChar"/>
        </w:rPr>
        <w:t xml:space="preserve">   │                          │</w:t>
      </w:r>
      <w:r>
        <w:br/>
      </w:r>
      <w:r>
        <w:rPr>
          <w:rStyle w:val="VerbatimChar"/>
        </w:rPr>
        <w:t xml:space="preserve">   ▼                          ▼</w:t>
      </w:r>
      <w:r>
        <w:br/>
      </w:r>
      <w:r>
        <w:rPr>
          <w:rStyle w:val="VerbatimChar"/>
        </w:rPr>
        <w:t xml:space="preserve">Institutional (Tầng 3)    (Temporal layer)</w:t>
      </w:r>
      <w:r>
        <w:br/>
      </w:r>
      <w:r>
        <w:rPr>
          <w:rStyle w:val="VerbatimChar"/>
        </w:rPr>
        <w:t xml:space="preserve">   ICRV regime (6 nhóm)      Year-bucket</w:t>
      </w:r>
      <w:r>
        <w:br/>
      </w:r>
      <w:r>
        <w:rPr>
          <w:rStyle w:val="VerbatimChar"/>
        </w:rPr>
        <w:t xml:space="preserve">   I/II/III/IV/V/VI          2009-12 / 2013-17 / 2018-25</w:t>
      </w:r>
      <w:r>
        <w:br/>
      </w:r>
      <w:r>
        <w:rPr>
          <w:rStyle w:val="VerbatimChar"/>
        </w:rPr>
        <w:t xml:space="preserve">   gradient TP+              digital era × COVID × AI</w:t>
      </w:r>
      <w:r>
        <w:br/>
      </w:r>
      <w:r>
        <w:rPr>
          <w:rStyle w:val="VerbatimChar"/>
        </w:rPr>
        <w:t xml:space="preserve">   forced penalty SIDS       boom 2023+</w:t>
      </w:r>
      <w:r>
        <w:br/>
      </w:r>
      <w:r>
        <w:rPr>
          <w:rStyle w:val="VerbatimChar"/>
        </w:rPr>
        <w:t xml:space="preserve">   [H5 gradient]             [H6 heterogeneity]</w:t>
      </w:r>
      <w:r>
        <w:br/>
      </w:r>
      <w:r>
        <w:rPr>
          <w:rStyle w:val="VerbatimChar"/>
        </w:rPr>
        <w:t xml:space="preserve">   │ neo đậu:                │ neo đậu:</w:t>
      </w:r>
      <w:r>
        <w:br/>
      </w:r>
      <w:r>
        <w:rPr>
          <w:rStyle w:val="VerbatimChar"/>
        </w:rPr>
        <w:t xml:space="preserve">   └─ CĐ1 dispersion         └─ P3 VN Paternoster z=3,353</w:t>
      </w:r>
      <w:r>
        <w:br/>
      </w:r>
      <w:r>
        <w:rPr>
          <w:rStyle w:val="VerbatimChar"/>
        </w:rPr>
        <w:t xml:space="preserve">      tăng theo regime          (DAI 2009→2015, p&lt;.001)</w:t>
      </w:r>
      <w:r>
        <w:br/>
      </w:r>
      <w:r>
        <w:rPr>
          <w:rStyle w:val="VerbatimChar"/>
        </w:rPr>
        <w:t xml:space="preserve">                               P5 CN Paternoster z=−2,55</w:t>
      </w:r>
      <w:r>
        <w:br/>
      </w:r>
      <w:r>
        <w:rPr>
          <w:rStyle w:val="VerbatimChar"/>
        </w:rPr>
        <w:t xml:space="preserve">                               (TCI 2012→2024, p=.011)</w:t>
      </w:r>
      <w:r>
        <w:br/>
      </w:r>
      <w:r>
        <w:br/>
      </w:r>
      <w:r>
        <w:rPr>
          <w:rStyle w:val="VerbatimChar"/>
        </w:rPr>
        <w:t xml:space="preserve">   [Controls: ln(emp), firm_age, foreign_own, sector FE, country FE, year FE]</w:t>
      </w:r>
    </w:p>
    <w:p>
      <w:pPr>
        <w:pStyle w:val="FirstParagraph"/>
      </w:pPr>
      <w:r>
        <w:rPr>
          <w:iCs/>
          <w:i/>
        </w:rPr>
        <w:t xml:space="preserve">Hình 2.1</w:t>
      </w:r>
      <w:r>
        <w:t xml:space="preserve">. Khung khái niệm tích hợp CĐ2 (preview). Sáu giả thuyết H1–H6 ánh xạ vào năm tầng lý thuyết: H1 (Uppsala) test phi tuyến trực tiếp; H2–H4 (RBV, Digital Lens+CDCM, Upper Echelons) là moderator cấp doanh nghiệp; H5 (Institutional Theory) gradient ICRV; H6 (Temporal) thay đổi theo Year-bucket. Mỗi moderator có</w:t>
      </w:r>
      <w:r>
        <w:t xml:space="preserve"> </w:t>
      </w:r>
      <w:r>
        <w:rPr>
          <w:iCs/>
          <w:i/>
        </w:rPr>
        <w:t xml:space="preserve">bằng chứng neo đậu</w:t>
      </w:r>
      <w:r>
        <w:t xml:space="preserve"> </w:t>
      </w:r>
      <w:r>
        <w:t xml:space="preserve">từ ít nhất một trong ba bản thảo đồng hành P3/P4/P5. Hình 4.1 (§4.1) là phiên bản chi tiết với mã PlantUML render-ready và bảng ánh xạ chính thức.</w:t>
      </w:r>
    </w:p>
    <w:p>
      <w:pPr>
        <w:pStyle w:val="BodyText"/>
      </w:pPr>
      <w:r>
        <w:rPr>
          <w:bCs/>
          <w:b/>
        </w:rPr>
        <w:t xml:space="preserve">Lập luận tích hợp</w:t>
      </w:r>
      <w:r>
        <w:t xml:space="preserve">. Quốc tế hóa là quyết định chiến lược của doanh nghiệp theo logic Uppsala (tầng 1); kết quả của quyết định này:</w:t>
      </w:r>
      <w:r>
        <w:t xml:space="preserve"> </w:t>
      </w:r>
      <w:r>
        <w:t xml:space="preserve">1.</w:t>
      </w:r>
      <w:r>
        <w:t xml:space="preserve"> </w:t>
      </w:r>
      <w:r>
        <w:rPr>
          <w:bCs/>
          <w:b/>
        </w:rPr>
        <w:t xml:space="preserve">Phụ thuộc nguồn lực doanh nghiệp</w:t>
      </w:r>
      <w:r>
        <w:t xml:space="preserve"> </w:t>
      </w:r>
      <w:r>
        <w:t xml:space="preserve">— TCI (RBV/Lall, 1992) đóng vai trò</w:t>
      </w:r>
      <w:r>
        <w:t xml:space="preserve"> </w:t>
      </w:r>
      <w:r>
        <w:rPr>
          <w:iCs/>
          <w:i/>
        </w:rPr>
        <w:t xml:space="preserve">level-shifter</w:t>
      </w:r>
      <w:r>
        <w:t xml:space="preserve"> </w:t>
      </w:r>
      <w:r>
        <w:t xml:space="preserve">causally identified qua IV (P3 Việt Nam first-stage F = 22,1; β = 1,639);</w:t>
      </w:r>
      <w:r>
        <w:t xml:space="preserve"> </w:t>
      </w:r>
      <w:r>
        <w:t xml:space="preserve">2.</w:t>
      </w:r>
      <w:r>
        <w:t xml:space="preserve"> </w:t>
      </w:r>
      <w:r>
        <w:rPr>
          <w:bCs/>
          <w:b/>
        </w:rPr>
        <w:t xml:space="preserve">Được hỗ trợ bởi hạ tầng số có điều kiện</w:t>
      </w:r>
      <w:r>
        <w:t xml:space="preserve"> </w:t>
      </w:r>
      <w:r>
        <w:t xml:space="preserve">— DAI (Digital Lens/Verhoef et al., 2021) là</w:t>
      </w:r>
      <w:r>
        <w:t xml:space="preserve"> </w:t>
      </w:r>
      <w:r>
        <w:rPr>
          <w:iCs/>
          <w:i/>
        </w:rPr>
        <w:t xml:space="preserve">conditional scaling resource</w:t>
      </w:r>
      <w:r>
        <w:t xml:space="preserve"> </w:t>
      </w:r>
      <w:r>
        <w:t xml:space="preserve">theo CDCM (phát hiện CĐ1, formalized §2.5), không phải uniform premium — minh họa bởi P4 Singapore (DAI×FSTS² = +3,119, p = .005, ở môi trường digitally saturated) và P3 Việt Nam (IV null trong môi trường thiếu hạ tầng số);</w:t>
      </w:r>
      <w:r>
        <w:t xml:space="preserve"> </w:t>
      </w:r>
      <w:r>
        <w:t xml:space="preserve">3.</w:t>
      </w:r>
      <w:r>
        <w:t xml:space="preserve"> </w:t>
      </w:r>
      <w:r>
        <w:rPr>
          <w:bCs/>
          <w:b/>
        </w:rPr>
        <w:t xml:space="preserve">Phản ánh đặc điểm top managers</w:t>
      </w:r>
      <w:r>
        <w:t xml:space="preserve"> </w:t>
      </w:r>
      <w:r>
        <w:t xml:space="preserve">(Upper Echelons/Hambrick &amp; Mason, 1984) — proxy hạn chế qua WBES items b5, b7, b7a, không quan sát được TMT diversity;</w:t>
      </w:r>
      <w:r>
        <w:t xml:space="preserve"> </w:t>
      </w:r>
      <w:r>
        <w:t xml:space="preserve">4.</w:t>
      </w:r>
      <w:r>
        <w:t xml:space="preserve"> </w:t>
      </w:r>
      <w:r>
        <w:rPr>
          <w:bCs/>
          <w:b/>
        </w:rPr>
        <w:t xml:space="preserve">Bị khuôn khổ bởi thể chế nội địa</w:t>
      </w:r>
      <w:r>
        <w:t xml:space="preserve"> </w:t>
      </w:r>
      <w:r>
        <w:t xml:space="preserve">(Institutional Theory/North, 1990; Khanna &amp; Palepu, 2010) — gradient ICRV 6 nhóm với forced penalty ở SIDS;</w:t>
      </w:r>
      <w:r>
        <w:t xml:space="preserve"> </w:t>
      </w:r>
      <w:r>
        <w:t xml:space="preserve">5.</w:t>
      </w:r>
      <w:r>
        <w:t xml:space="preserve"> </w:t>
      </w:r>
      <w:r>
        <w:rPr>
          <w:bCs/>
          <w:b/>
        </w:rPr>
        <w:t xml:space="preserve">Thay đổi theo bối cảnh thời gian</w:t>
      </w:r>
      <w:r>
        <w:t xml:space="preserve"> </w:t>
      </w:r>
      <w:r>
        <w:t xml:space="preserve">— three-bucket design (pre-COVID 2009–12 / inter-shock 2013–17 / post-COVID + AI 2018–25) cho phép kiểm định H6.</w:t>
      </w:r>
    </w:p>
    <w:p>
      <w:pPr>
        <w:pStyle w:val="BodyText"/>
      </w:pPr>
      <w:r>
        <w:t xml:space="preserve">Năm tầng tác động đồng thời và</w:t>
      </w:r>
      <w:r>
        <w:t xml:space="preserve"> </w:t>
      </w:r>
      <w:r>
        <w:rPr>
          <w:iCs/>
          <w:i/>
        </w:rPr>
        <w:t xml:space="preserve">không thể giản lược</w:t>
      </w:r>
      <w:r>
        <w:t xml:space="preserve">. Sáu giả thuyết H1–H6 được test trong tám mô hình M0–M7 (xem §6 — đặc tả mô hình lồng nhau).</w:t>
      </w:r>
    </w:p>
    <w:bookmarkEnd w:id="39"/>
    <w:bookmarkStart w:id="40" w:name="hạn-chế-của-khung-tích-hợp"/>
    <w:p>
      <w:pPr>
        <w:pStyle w:val="Heading3"/>
      </w:pPr>
      <w:r>
        <w:t xml:space="preserve">2.7 Hạn chế của khung tích hợp</w:t>
      </w:r>
    </w:p>
    <w:p>
      <w:pPr>
        <w:pStyle w:val="FirstParagraph"/>
      </w:pPr>
      <w:r>
        <w:rPr>
          <w:bCs/>
          <w:b/>
        </w:rPr>
        <w:t xml:space="preserve">Vấn đề nhận dạng nhân quả</w:t>
      </w:r>
      <w:r>
        <w:t xml:space="preserve">. Khó tách hiệu ứng riêng từng tầng nếu không có dữ liệu panel dài. WBES không phải panel chuẩn → cần sử dụng cross-section lặp với fixed effects. P3 Việt Nam áp dụng IV (first-stage F = 34,6) và xác nhận DAI là selection-driven chứ không causal, làm nền tảng cho chiến lược nhận dạng trong M6 và M7.</w:t>
      </w:r>
    </w:p>
    <w:p>
      <w:pPr>
        <w:pStyle w:val="BodyText"/>
      </w:pPr>
      <w:r>
        <w:rPr>
          <w:bCs/>
          <w:b/>
        </w:rPr>
        <w:t xml:space="preserve">Đo lường biến tâm lý/mạng lưới</w:t>
      </w:r>
      <w:r>
        <w:t xml:space="preserve">. Một số biến quan trọng theo Uppsala (psychic distance, network embeddedness) khó đo trong WBES. Phải thay bằng proxies (FSTS, distance to capital, FDI dummy).</w:t>
      </w:r>
    </w:p>
    <w:p>
      <w:pPr>
        <w:pStyle w:val="BodyText"/>
      </w:pPr>
      <w:r>
        <w:rPr>
          <w:bCs/>
          <w:b/>
        </w:rPr>
        <w:t xml:space="preserve">Đa cộng tuyến giữa các biến điều tiết</w:t>
      </w:r>
      <w:r>
        <w:t xml:space="preserve">. TCI và DAI có thể tương quan; ICRV và country fixed effects có thể đa cộng. Cần kiểm tra VIF và variance decomposition.</w:t>
      </w:r>
    </w:p>
    <w:p>
      <w:pPr>
        <w:pStyle w:val="BodyText"/>
      </w:pPr>
      <w:r>
        <w:rPr>
          <w:bCs/>
          <w:b/>
        </w:rPr>
        <w:t xml:space="preserve">Phụ thuộc vào schema WBES</w:t>
      </w:r>
      <w:r>
        <w:t xml:space="preserve">. Khung tích hợp giới hạn bởi biến có sẵn trong schema 2018+. Một số biến top manager chỉ có ở vài đợt khảo sát. CDCM đo lường ở Tier 1–2 do hạn chế WBES, không quan sát được Tier 3–4 (ERP, AI deployment).</w:t>
      </w:r>
    </w:p>
    <w:p>
      <w:pPr>
        <w:pStyle w:val="BodyText"/>
      </w:pPr>
      <w:r>
        <w:rPr>
          <w:bCs/>
          <w:b/>
        </w:rPr>
        <w:t xml:space="preserve">Độ bao phủ 108 cặp quốc gia-năm</w:t>
      </w:r>
      <w:r>
        <w:t xml:space="preserve">: không đồng đều — Nhóm I và Nhóm II có ít cặp hơn; Nhóm V và VI có coverage thưa. Sub-sample replication theo ICRV là bắt buộc trong kế hoạch robustness (Chương 8).</w:t>
      </w:r>
    </w:p>
    <w:p>
      <w:r>
        <w:pict>
          <v:rect style="width:0;height:1.5pt" o:hralign="center" o:hrstd="t" o:hr="t"/>
        </w:pict>
      </w:r>
    </w:p>
    <w:bookmarkEnd w:id="40"/>
    <w:bookmarkEnd w:id="41"/>
    <w:bookmarkStart w:id="48" w:name="X53e38e085216726962f4e37631c791acc2dd3ed"/>
    <w:p>
      <w:pPr>
        <w:pStyle w:val="Heading2"/>
      </w:pPr>
      <w:r>
        <w:t xml:space="preserve">CHƯƠNG 3 — LƯỢC KHẢO MÔ HÌNH I→P TRÊN THẾ GIỚI VÀ CHÂU Á</w:t>
      </w:r>
    </w:p>
    <w:bookmarkStart w:id="42" w:name="Xf819a8d5de0ff1cf9ec0a54fdf22919b39520a1"/>
    <w:p>
      <w:pPr>
        <w:pStyle w:val="Heading3"/>
      </w:pPr>
      <w:r>
        <w:t xml:space="preserve">3.1 Năm dạng hàm của quan hệ I→P trong văn liệu</w:t>
      </w:r>
    </w:p>
    <w:p>
      <w:pPr>
        <w:pStyle w:val="FirstParagraph"/>
      </w:pPr>
      <w:r>
        <w:t xml:space="preserve">Văn liệu International Business (IB) đã ghi nhận không dưới</w:t>
      </w:r>
      <w:r>
        <w:t xml:space="preserve"> </w:t>
      </w:r>
      <w:r>
        <w:rPr>
          <w:bCs/>
          <w:b/>
        </w:rPr>
        <w:t xml:space="preserve">năm dạng hàm</w:t>
      </w:r>
      <w:r>
        <w:t xml:space="preserve"> </w:t>
      </w:r>
      <w:r>
        <w:t xml:space="preserve">khác nhau trong quan hệ giữa cường độ quốc tế hóa (I) và hiệu quả doanh nghiệp (P). Sự đa dạng này không phải ngẫu nhiên mà phản ánh tính phụ thuộc ngữ cảnh (context-dependency) của hiệu ứng quốc tế hóa: cùng một mức FSTS có thể tạo ra lợi ích hoặc gánh nặng tùy theo năng lực doanh nghiệp, thể chế quốc gia, và giai đoạn phát triển số.</w:t>
      </w:r>
    </w:p>
    <w:p>
      <w:pPr>
        <w:pStyle w:val="BodyText"/>
      </w:pPr>
      <w:r>
        <w:rPr>
          <w:bCs/>
          <w:b/>
        </w:rPr>
        <w:t xml:space="preserve">Dạng hàm 1 — Tuyến tính</w:t>
      </w:r>
      <w:r>
        <w:t xml:space="preserve">. Các nghiên cứu sớm như Hsu và Boggs (2003) và Geringer et al. (1989) tìm thấy mối quan hệ tuyến tính dương: hiệu quả tăng đơn điệu theo mức độ quốc tế hóa. Logic nền tảng là lợi ích quy mô (economies of scale), đa dạng hóa doanh thu, và tiếp cận thị trường lớn hơn. Tuy nhiên, đây là kết quả đặc thù của các mẫu với FSTS thấp hoặc phân tán hẹp, không phản ánh được chi phí điều phối ở mức FSTS cao.</w:t>
      </w:r>
    </w:p>
    <w:p>
      <w:pPr>
        <w:pStyle w:val="BodyText"/>
      </w:pPr>
      <w:r>
        <w:rPr>
          <w:bCs/>
          <w:b/>
        </w:rPr>
        <w:t xml:space="preserve">Dạng hàm 2 — Inverted-U (chữ U ngược)</w:t>
      </w:r>
      <w:r>
        <w:t xml:space="preserve">. Hitt, Hoskisson và Kim (1997) và Gomes và Ramaswamy (1999) đề xuất mô hình chữ U ngược: hiệu quả tăng ở giai đoạn quốc tế hóa ban đầu đến trung bình do lợi ích scale và learning, nhưng giảm sau ngưỡng tối ưu do chi phí điều phối đa thị trường vượt lợi ích. Turning point thực nghiệm thường nằm trong khoảng 30–60% FSTS (Marano et al., 2016). Đây là dạng hàm phổ biến nhất trong meta-analyses (Bausch &amp; Krist, 2007; Kirca et al., 2012).</w:t>
      </w:r>
    </w:p>
    <w:p>
      <w:pPr>
        <w:pStyle w:val="BodyText"/>
      </w:pPr>
      <w:r>
        <w:rPr>
          <w:bCs/>
          <w:b/>
        </w:rPr>
        <w:t xml:space="preserve">Dạng hàm 3 — S-curve/Cubic</w:t>
      </w:r>
      <w:r>
        <w:t xml:space="preserve">. Lu và Beamish (2004) và Contractor, Kundu và Hsu (2003) phát triển lý thuyết ba giai đoạn: (i) giai đoạn đầu hiệu quả giảm do chi phí học tập và thiết lập; (ii) giai đoạn giữa hiệu quả tăng do lợi ích scale và diversification; (iii) giai đoạn quá mức hiệu quả giảm do chi phí phối hợp. Dạng S-curve có hệ số β₁(FSTS)&gt;0, β₂(FSTS²)&lt;0, β₃(FSTS³)&gt;0. Bằng chứng hỗ trợ mạnh từ các MNEs lớn, nhưng kém ổn định hơn với SMEs do mẫu thường không bao phủ FSTS²&gt;0.5.</w:t>
      </w:r>
    </w:p>
    <w:p>
      <w:pPr>
        <w:pStyle w:val="BodyText"/>
      </w:pPr>
      <w:r>
        <w:rPr>
          <w:bCs/>
          <w:b/>
        </w:rPr>
        <w:t xml:space="preserve">Dạng hàm 4 — M-curve</w:t>
      </w:r>
      <w:r>
        <w:t xml:space="preserve">. Riahi-Belkaoui (1998) đề xuất dạng M-curve với hai turning points — dạng hàm phức tạp phản ánh heterogeneity trong lợi ích quốc tế hóa tùy theo loại thị trường. Bằng chứng thực nghiệm hạn chế và khó tái lập; thường chỉ xuất hiện trong các mẫu đặc thù.</w:t>
      </w:r>
    </w:p>
    <w:p>
      <w:pPr>
        <w:pStyle w:val="BodyText"/>
      </w:pPr>
      <w:r>
        <w:rPr>
          <w:bCs/>
          <w:b/>
        </w:rPr>
        <w:t xml:space="preserve">Dạng hàm 5 — Forced penalty</w:t>
      </w:r>
      <w:r>
        <w:t xml:space="preserve">. Glaum và Oesterle (2007) và Đỗ và Phan (P8 manuscript, Pacific SIDS) ghi nhận dạng hàm tuyến tính âm hoặc không có lợi ích trong các nền kinh tế bắt buộc phải quốc tế hóa do thị trường nội địa quá nhỏ (Briguglio, 1995; Bertram, 2006). Đây là pattern đặc thù của SIDS Pacific — quốc gia phải xuất khẩu để tồn tại nhưng thiếu năng lực cạnh tranh, tạo ra</w:t>
      </w:r>
      <w:r>
        <w:t xml:space="preserve"> </w:t>
      </w:r>
      <w:r>
        <w:t xml:space="preserve">“</w:t>
      </w:r>
      <w:r>
        <w:t xml:space="preserve">forced penalty</w:t>
      </w:r>
      <w:r>
        <w:t xml:space="preserve">”</w:t>
      </w:r>
      <w:r>
        <w:t xml:space="preserve"> </w:t>
      </w:r>
      <w:r>
        <w:t xml:space="preserve">— hiệu quả không tăng theo cường độ xuất khẩu.</w:t>
      </w:r>
    </w:p>
    <w:p>
      <w:pPr>
        <w:pStyle w:val="BodyText"/>
      </w:pPr>
      <w:r>
        <w:rPr>
          <w:bCs/>
          <w:b/>
        </w:rPr>
        <w:t xml:space="preserve">Bảng 3.1</w:t>
      </w:r>
      <w:r>
        <w:t xml:space="preserve">.</w:t>
      </w:r>
      <w:r>
        <w:t xml:space="preserve"> </w:t>
      </w:r>
      <w:r>
        <w:rPr>
          <w:iCs/>
          <w:i/>
        </w:rPr>
        <w:t xml:space="preserve">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ICRV bối cảnh</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Scale + learning</w:t>
            </w:r>
          </w:p>
        </w:tc>
        <w:tc>
          <w:tcPr/>
          <w:p>
            <w:pPr>
              <w:pStyle w:val="Compact"/>
              <w:jc w:val="left"/>
            </w:pPr>
            <w:r>
              <w:t xml:space="preserve">FSTS thấp, tất cả nhóm</w:t>
            </w:r>
          </w:p>
        </w:tc>
      </w:tr>
      <w:tr>
        <w:tc>
          <w:tcPr/>
          <w:p>
            <w:pPr>
              <w:pStyle w:val="Compact"/>
              <w:jc w:val="left"/>
            </w:pPr>
            <w:r>
              <w:t xml:space="preserve">Inverted-U</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 (trung bình cao, đang nổi)</w:t>
            </w:r>
          </w:p>
        </w:tc>
      </w:tr>
      <w:tr>
        <w:tc>
          <w:tcPr/>
          <w:p>
            <w:pPr>
              <w:pStyle w:val="Compact"/>
              <w:jc w:val="left"/>
            </w:pPr>
            <w:r>
              <w:t xml:space="preserve">S-curve/Cubic</w:t>
            </w:r>
          </w:p>
        </w:tc>
        <w:tc>
          <w:tcPr/>
          <w:p>
            <w:pPr>
              <w:pStyle w:val="Compact"/>
              <w:jc w:val="left"/>
            </w:pPr>
            <w:r>
              <w:t xml:space="preserve">Lu &amp; Beamish (2004); Contractor et al. (2003)</w:t>
            </w:r>
          </w:p>
        </w:tc>
        <w:tc>
          <w:tcPr/>
          <w:p>
            <w:pPr>
              <w:pStyle w:val="Compact"/>
              <w:jc w:val="left"/>
            </w:pPr>
            <w:r>
              <w:t xml:space="preserve">Ba giai đoạn: học tập → scale → quá mức</w:t>
            </w:r>
          </w:p>
        </w:tc>
        <w:tc>
          <w:tcPr/>
          <w:p>
            <w:pPr>
              <w:pStyle w:val="Compact"/>
              <w:jc w:val="left"/>
            </w:pPr>
            <w:r>
              <w:t xml:space="preserve">MNEs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Heterogeneous returns</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 Đỗ &amp; Phan (P8)</w:t>
            </w:r>
          </w:p>
        </w:tc>
        <w:tc>
          <w:tcPr/>
          <w:p>
            <w:pPr>
              <w:pStyle w:val="Compact"/>
              <w:jc w:val="left"/>
            </w:pPr>
            <w:r>
              <w:t xml:space="preserve">Bắt buộc QTH, thiếu năng lực</w:t>
            </w:r>
          </w:p>
        </w:tc>
        <w:tc>
          <w:tcPr/>
          <w:p>
            <w:pPr>
              <w:pStyle w:val="Compact"/>
              <w:jc w:val="left"/>
            </w:pPr>
            <w:r>
              <w:t xml:space="preserve">Nhóm VI (SIDS)</w:t>
            </w:r>
          </w:p>
        </w:tc>
      </w:tr>
    </w:tbl>
    <w:p>
      <w:pPr>
        <w:pStyle w:val="BodyText"/>
      </w:pPr>
      <w:r>
        <w:rPr>
          <w:bCs/>
          <w:b/>
        </w:rPr>
        <w:t xml:space="preserve">Thống nhất lý thuyết các dạng hàm dưới khung chi phí-lợi ích</w:t>
      </w:r>
      <w:r>
        <w:t xml:space="preserve">. Tất cả năm dạng hàm có thể được thống nhất dưới một khung chi phí-lợi ích (Contractor, 2012): P(FSTS) = B(FSTS) − C(FSTS), trong đó B(·) là hàm lợi ích (lợi ích scale, diversification, learning spillovers) và C(·) là hàm chi phí (thiết lập thị trường, điều phối đa thị trường, agency costs). Sự khác biệt giữa các dạng hàm nằm ở</w:t>
      </w:r>
      <w:r>
        <w:t xml:space="preserve"> </w:t>
      </w:r>
      <w:r>
        <w:rPr>
          <w:iCs/>
          <w:i/>
        </w:rPr>
        <w:t xml:space="preserve">hình dạng của B(·) và C(·)</w:t>
      </w:r>
      <w:r>
        <w:t xml:space="preserve">:</w:t>
      </w:r>
    </w:p>
    <w:p>
      <w:pPr>
        <w:numPr>
          <w:ilvl w:val="0"/>
          <w:numId w:val="1009"/>
        </w:numPr>
        <w:pStyle w:val="Compact"/>
      </w:pPr>
      <w:r>
        <w:rPr>
          <w:bCs/>
          <w:b/>
        </w:rPr>
        <w:t xml:space="preserve">Tuyến tính</w:t>
      </w:r>
      <w:r>
        <w:t xml:space="preserve">: B(·) tuyến tính dương, C(·) không đáng kể hoặc cũng tuyến tính nhưng nhỏ hơn — phổ biến khi FSTS còn thấp và coordination costs chưa phát sinh.</w:t>
      </w:r>
    </w:p>
    <w:p>
      <w:pPr>
        <w:numPr>
          <w:ilvl w:val="0"/>
          <w:numId w:val="1009"/>
        </w:numPr>
        <w:pStyle w:val="Compact"/>
      </w:pPr>
      <w:r>
        <w:rPr>
          <w:bCs/>
          <w:b/>
        </w:rPr>
        <w:t xml:space="preserve">Inverted-U</w:t>
      </w:r>
      <w:r>
        <w:t xml:space="preserve">: B(·) concave (giảm tốc), C(·) convex (tăng tốc) → giao nhau tạo turning point. Đây là pattern phổ biến nhất vì coordination costs tăng phi tuyến theo số thị trường (n thị trường → n(n-1)/2 quan hệ điều phối).</w:t>
      </w:r>
    </w:p>
    <w:p>
      <w:pPr>
        <w:numPr>
          <w:ilvl w:val="0"/>
          <w:numId w:val="1009"/>
        </w:numPr>
        <w:pStyle w:val="Compact"/>
      </w:pPr>
      <w:r>
        <w:rPr>
          <w:bCs/>
          <w:b/>
        </w:rPr>
        <w:t xml:space="preserve">S-curve</w:t>
      </w:r>
      <w:r>
        <w:t xml:space="preserve">: B(·) có inflection point — giai đoạn học tập đầu B(·) tăng chậm do sunk costs, sau đó tăng nhanh hơn khi routines được xây dựng, rồi giảm. C(·) convex như inverted-U. Tổng hợp tạo ra S-curve.</w:t>
      </w:r>
    </w:p>
    <w:p>
      <w:pPr>
        <w:numPr>
          <w:ilvl w:val="0"/>
          <w:numId w:val="1009"/>
        </w:numPr>
        <w:pStyle w:val="Compact"/>
      </w:pPr>
      <w:r>
        <w:rPr>
          <w:bCs/>
          <w:b/>
        </w:rPr>
        <w:t xml:space="preserve">Forced penalty</w:t>
      </w:r>
      <w:r>
        <w:t xml:space="preserve">: C(·) &gt; B(·) ở mọi mức FSTS — doanh nghiệp SIDS phải xuất khẩu nhưng chi phí compliance, logistics, và product adaptation luôn vượt lợi ích do thị trường nội địa quá nhỏ để amortize fixed costs và năng lực cạnh tranh yếu.</w:t>
      </w:r>
    </w:p>
    <w:p>
      <w:pPr>
        <w:pStyle w:val="FirstParagraph"/>
      </w:pPr>
      <w:r>
        <w:t xml:space="preserve">Khung chi phí-lợi ích thống nhất này dự đoán rằng TCI làm tăng B(·) (better products, better absorptive capacity) và/hoặc giảm C(·) (better coordination capabilities); DAI trong Nhóm I làm giảm C(·) ở FSTS cao (digital coordination reduces cross-border transaction costs); ICRV tốt làm giảm C(·) tổng thể (better institutions → lower contract risk, better market access). Đây là cơ chế lý thuyết nền tảng cho H2, H3, và H5.</w:t>
      </w:r>
    </w:p>
    <w:bookmarkEnd w:id="42"/>
    <w:bookmarkStart w:id="43" w:name="Xe294ce83ec706b086959a658a117b27b707cb53"/>
    <w:p>
      <w:pPr>
        <w:pStyle w:val="Heading3"/>
      </w:pPr>
      <w:r>
        <w:t xml:space="preserve">3.2 Năm meta-analysis lớn (1980–2024) và khoảng trống thực nghiệm</w:t>
      </w:r>
    </w:p>
    <w:p>
      <w:pPr>
        <w:pStyle w:val="FirstParagraph"/>
      </w:pPr>
      <w:r>
        <w:t xml:space="preserve">Năm tổng quan định lượng lớn cung cấp bức tranh tổng thể về quan hệ I→P:</w:t>
      </w:r>
    </w:p>
    <w:p>
      <w:pPr>
        <w:pStyle w:val="BodyText"/>
      </w:pPr>
      <w:r>
        <w:rPr>
          <w:bCs/>
          <w:b/>
        </w:rPr>
        <w:t xml:space="preserve">Bausch và Krist (2007)</w:t>
      </w:r>
      <w:r>
        <w:t xml:space="preserve"> </w:t>
      </w:r>
      <w:r>
        <w:t xml:space="preserve">phân tích 68 nghiên cứu (1980–2005) và tìm thấy trung bình r = .045 (không đáng kể), nhưng với biến động cao (SD = .21) — cho thấy moderators quan trọng hơn hiệu ứng trung bình. Năng lực doanh nghiệp và thể chế quốc gia là moderators mạnh nhất.</w:t>
      </w:r>
      <w:r>
        <w:t xml:space="preserve"> </w:t>
      </w:r>
      <w:r>
        <w:rPr>
          <w:bCs/>
          <w:b/>
        </w:rPr>
        <w:t xml:space="preserve">(a) Phương pháp</w:t>
      </w:r>
      <w:r>
        <w:t xml:space="preserve">: meta-regression với 8 moderators bao gồm firm size, R&amp;D intensity, industry type, home country GDP, cultural distance, geographic scope, và hai thước đo hiệu quả (accounting vs market-based).</w:t>
      </w:r>
      <w:r>
        <w:t xml:space="preserve"> </w:t>
      </w:r>
      <w:r>
        <w:rPr>
          <w:bCs/>
          <w:b/>
        </w:rPr>
        <w:t xml:space="preserve">(b) Phát hiện chính</w:t>
      </w:r>
      <w:r>
        <w:t xml:space="preserve">: không tồn tại một</w:t>
      </w:r>
      <w:r>
        <w:t xml:space="preserve"> </w:t>
      </w:r>
      <w:r>
        <w:t xml:space="preserve">“</w:t>
      </w:r>
      <w:r>
        <w:t xml:space="preserve">hiệu ứng trung bình đơn nhất</w:t>
      </w:r>
      <w:r>
        <w:t xml:space="preserve">”</w:t>
      </w:r>
      <w:r>
        <w:t xml:space="preserve"> </w:t>
      </w:r>
      <w:r>
        <w:t xml:space="preserve">có thể diễn giải; context moderators (institutional và cultural) giải thích lượng phương sai lớn hơn đáng kể so với firm-level moderators — kết quả này đặt nền tảng cho lập luận gradient ICRV trong H5.</w:t>
      </w:r>
      <w:r>
        <w:t xml:space="preserve"> </w:t>
      </w:r>
      <w:r>
        <w:rPr>
          <w:bCs/>
          <w:b/>
        </w:rPr>
        <w:t xml:space="preserve">(c) Hạn chế</w:t>
      </w:r>
      <w:r>
        <w:t xml:space="preserve">: mẫu thiếu đại diện châu Á (chỉ 8/68 studies), chỉ 68 primary studies — power thấp cho moderation tests, và không kiểm định phi tuyến (quadratic/cubic) có hệ thống.</w:t>
      </w:r>
    </w:p>
    <w:p>
      <w:pPr>
        <w:pStyle w:val="BodyText"/>
      </w:pPr>
      <w:r>
        <w:rPr>
          <w:bCs/>
          <w:b/>
        </w:rPr>
        <w:t xml:space="preserve">Kirca et al. (2012)</w:t>
      </w:r>
      <w:r>
        <w:t xml:space="preserve"> </w:t>
      </w:r>
      <w:r>
        <w:t xml:space="preserve">tổng hợp 180 nghiên cứu với 824 hiệu cỡ, tìm thấy mối quan hệ dương trung bình nhưng với significant moderation từ: loại hình quốc tế hóa (FDI vs xuất khẩu), thước đo hiệu quả (accounting vs market), và thuộc tính doanh nghiệp (R&amp;D intensity, age, size). Khoảng trống: thiếu bằng chứng từ châu Á và emerging markets.</w:t>
      </w:r>
      <w:r>
        <w:t xml:space="preserve"> </w:t>
      </w:r>
      <w:r>
        <w:rPr>
          <w:bCs/>
          <w:b/>
        </w:rPr>
        <w:t xml:space="preserve">(a) Phương pháp</w:t>
      </w:r>
      <w:r>
        <w:t xml:space="preserve">: meta-analysis 824 effect sizes từ 180 primary studies, dùng random-effects model, kiểm soát publication bias bằng funnel plot và Egger test.</w:t>
      </w:r>
      <w:r>
        <w:t xml:space="preserve"> </w:t>
      </w:r>
      <w:r>
        <w:rPr>
          <w:bCs/>
          <w:b/>
        </w:rPr>
        <w:t xml:space="preserve">(b) Phát hiện mở rộng</w:t>
      </w:r>
      <w:r>
        <w:t xml:space="preserve">: R&amp;D intensity là moderator firm-level mạnh nhất (β_meta = +0.12, p &lt; .001); advertising intensity có vai trò thứ hai; cultural distance có tác động U-shape lên mối quan hệ I→P — quá gần (no learning) hoặc quá xa (coordination cost) đều không tối ưu.</w:t>
      </w:r>
      <w:r>
        <w:t xml:space="preserve"> </w:t>
      </w:r>
      <w:r>
        <w:rPr>
          <w:bCs/>
          <w:b/>
        </w:rPr>
        <w:t xml:space="preserve">(c) Hạn chế</w:t>
      </w:r>
      <w:r>
        <w:t xml:space="preserve">: thiếu coverage cho emerging market và châu Á đang phát triển; không có Digital variables (DAI, e-commerce, platform) do dữ liệu tiền-số; không bao gồm SIDS hay frontier economies.</w:t>
      </w:r>
    </w:p>
    <w:p>
      <w:pPr>
        <w:pStyle w:val="BodyText"/>
      </w:pPr>
      <w:r>
        <w:rPr>
          <w:bCs/>
          <w:b/>
        </w:rPr>
        <w:t xml:space="preserve">Marano et al. (2016)</w:t>
      </w:r>
      <w:r>
        <w:t xml:space="preserve"> </w:t>
      </w:r>
      <w:r>
        <w:t xml:space="preserve">phân tích 333 nghiên cứu với khung</w:t>
      </w:r>
      <w:r>
        <w:t xml:space="preserve"> </w:t>
      </w:r>
      <w:r>
        <w:t xml:space="preserve">“</w:t>
      </w:r>
      <w:r>
        <w:t xml:space="preserve">institutionalized</w:t>
      </w:r>
      <w:r>
        <w:t xml:space="preserve">”</w:t>
      </w:r>
      <w:r>
        <w:t xml:space="preserve"> </w:t>
      </w:r>
      <w:r>
        <w:t xml:space="preserve">approach, tìm turning points trong khoảng 30–60% FSTS cho inverted-U. Phát hiện quan trọng: turning point dịch chuyển khi kiểm soát institutional quality — nền kinh tế có thể chế tốt có turning point cao hơn.</w:t>
      </w:r>
      <w:r>
        <w:t xml:space="preserve"> </w:t>
      </w:r>
      <w:r>
        <w:rPr>
          <w:bCs/>
          <w:b/>
        </w:rPr>
        <w:t xml:space="preserve">(a) Phương pháp</w:t>
      </w:r>
      <w:r>
        <w:t xml:space="preserve">: 333 primary studies với hierarchical moderation testing — kiểm định moderators theo tầng: firm-level trước, country-level sau, institutional environment cuối cùng.</w:t>
      </w:r>
      <w:r>
        <w:t xml:space="preserve"> </w:t>
      </w:r>
      <w:r>
        <w:rPr>
          <w:bCs/>
          <w:b/>
        </w:rPr>
        <w:t xml:space="preserve">(b) Phát hiện chính mở rộng</w:t>
      </w:r>
      <w:r>
        <w:t xml:space="preserve">: home country institutional quality có thể dịch chuyển turning point ±15% FSTS — đây là nền tảng quan trọng nhất ủng hộ gradient ICRV trong H5; nền kinh tế có WGI cao hơn (Governance Index) cho phép doanh nghiệp duy trì hiệu quả đến mức FSTS cao hơn trước khi chi phí phối hợp vượt lợi ích.</w:t>
      </w:r>
      <w:r>
        <w:t xml:space="preserve"> </w:t>
      </w:r>
      <w:r>
        <w:rPr>
          <w:bCs/>
          <w:b/>
        </w:rPr>
        <w:t xml:space="preserve">(c) Hạn chế</w:t>
      </w:r>
      <w:r>
        <w:t xml:space="preserve">: không phân tách TCI vs DAI như hai construct riêng biệt; không có dữ liệu post-2015 (digital era transformations); mẫu thiếu Pacific Islands và SIDS; không kiểm định</w:t>
      </w:r>
      <w:r>
        <w:t xml:space="preserve"> </w:t>
      </w:r>
      <w:r>
        <w:t xml:space="preserve">“</w:t>
      </w:r>
      <w:r>
        <w:t xml:space="preserve">forced penalty</w:t>
      </w:r>
      <w:r>
        <w:t xml:space="preserve">”</w:t>
      </w:r>
      <w:r>
        <w:t xml:space="preserve"> </w:t>
      </w:r>
      <w:r>
        <w:t xml:space="preserve">pattern cho các nền kinh tế bắt buộc phải xuất khẩu.</w:t>
      </w:r>
    </w:p>
    <w:p>
      <w:pPr>
        <w:pStyle w:val="BodyText"/>
      </w:pPr>
      <w:r>
        <w:rPr>
          <w:bCs/>
          <w:b/>
        </w:rPr>
        <w:t xml:space="preserve">Wu, Wood và Khan (2022)</w:t>
      </w:r>
      <w:r>
        <w:t xml:space="preserve"> </w:t>
      </w:r>
      <w:r>
        <w:t xml:space="preserve">tổng hợp 20 năm bằng chứng từ emerging market MNEs, tìm thấy pattern khác biệt: EMNEs có inverted-U yếu hơn và turning point thấp hơn so với DMNEs (developed country MNEs) do absorptive capacity hạn chế hơn ở FSTS cao.</w:t>
      </w:r>
      <w:r>
        <w:t xml:space="preserve"> </w:t>
      </w:r>
      <w:r>
        <w:rPr>
          <w:bCs/>
          <w:b/>
        </w:rPr>
        <w:t xml:space="preserve">(a) Phương pháp</w:t>
      </w:r>
      <w:r>
        <w:t xml:space="preserve">: meta-regression 20-year update, phân tách theo EMNE vs DMNE sub-samples, dùng Weighted Least Squares với inverse-variance weights, kiểm định temporal shifts qua decade dummies.</w:t>
      </w:r>
      <w:r>
        <w:t xml:space="preserve"> </w:t>
      </w:r>
      <w:r>
        <w:rPr>
          <w:bCs/>
          <w:b/>
        </w:rPr>
        <w:t xml:space="preserve">(b) Phát hiện chính mở rộng</w:t>
      </w:r>
      <w:r>
        <w:t xml:space="preserve">: EMNE turning point thấp hơn DMNE khoảng 12–18% FSTS; cơ chế chính là absorptive capacity gap — EMNEs ở FSTS cao chịu information overload và coordination costs mà thiếu organizational routines để xử lý; temporal analysis cho thấy EMNE turning point có xu hướng tăng nhẹ qua các thập kỷ khi institutional environment cải thiện.</w:t>
      </w:r>
      <w:r>
        <w:t xml:space="preserve"> </w:t>
      </w:r>
      <w:r>
        <w:rPr>
          <w:bCs/>
          <w:b/>
        </w:rPr>
        <w:t xml:space="preserve">(c) Hạn chế</w:t>
      </w:r>
      <w:r>
        <w:t xml:space="preserve">: không kiểm định</w:t>
      </w:r>
      <w:r>
        <w:t xml:space="preserve"> </w:t>
      </w:r>
      <w:r>
        <w:t xml:space="preserve">“</w:t>
      </w:r>
      <w:r>
        <w:t xml:space="preserve">Digital Paradox Lifecycle</w:t>
      </w:r>
      <w:r>
        <w:t xml:space="preserve">”</w:t>
      </w:r>
      <w:r>
        <w:t xml:space="preserve"> </w:t>
      </w:r>
      <w:r>
        <w:t xml:space="preserve">(DPL) — giai đoạn DAI chuyển từ advantage sang noise; không sử dụng WBES micro-data nên không thể phân biệt firm-level DAI vs TCI; không kiểm định three-way interactions.</w:t>
      </w:r>
    </w:p>
    <w:p>
      <w:pPr>
        <w:pStyle w:val="BodyText"/>
      </w:pPr>
      <w:r>
        <w:rPr>
          <w:bCs/>
          <w:b/>
        </w:rPr>
        <w:t xml:space="preserve">Schwens et al. (2018)</w:t>
      </w:r>
      <w:r>
        <w:t xml:space="preserve"> </w:t>
      </w:r>
      <w:r>
        <w:t xml:space="preserve">tập trung vào SMEs và tìm thấy U-shape (không phải inverted-U) trong một số bối cảnh — chi phí quốc tế hóa ban đầu lớn so với năng lực SME, nhưng recovery sau khi vượt ngưỡng thiết lập.</w:t>
      </w:r>
      <w:r>
        <w:t xml:space="preserve"> </w:t>
      </w:r>
      <w:r>
        <w:rPr>
          <w:bCs/>
          <w:b/>
        </w:rPr>
        <w:t xml:space="preserve">(a) Phương pháp</w:t>
      </w:r>
      <w:r>
        <w:t xml:space="preserve">: meta-analysis SME-focused với 87 primary studies, kiểm định moderation theo: firm size threshold (SME vs large), home country development level, export vs FDI internationalization mode.</w:t>
      </w:r>
      <w:r>
        <w:t xml:space="preserve"> </w:t>
      </w:r>
      <w:r>
        <w:rPr>
          <w:bCs/>
          <w:b/>
        </w:rPr>
        <w:t xml:space="preserve">(b) Phát hiện chính mở rộng</w:t>
      </w:r>
      <w:r>
        <w:t xml:space="preserve">: SME có U-shape (không phải inverted-U) trong một số bối cảnh — chi phí thiết lập ban đầu (compliance, market entry, product adaptation) vượt năng lực SME tạo hiệu quả thấp ở giai đoạn đầu, nhưng sau khi vượt ngưỡng và build được export routines, SME recovery mạnh; pattern này đặc biệt rõ trong manufacturing SMEs, ít rõ hơn trong services.</w:t>
      </w:r>
      <w:r>
        <w:t xml:space="preserve"> </w:t>
      </w:r>
      <w:r>
        <w:rPr>
          <w:bCs/>
          <w:b/>
        </w:rPr>
        <w:t xml:space="preserve">(c) Hạn chế</w:t>
      </w:r>
      <w:r>
        <w:t xml:space="preserve">: mẫu nhỏ (87 studies) — power thấp cho fine-grained moderation; không bao phủ Asia Pacific đầy đủ (chỉ 14% sample là Asia); không kiểm định DAI như moderator cho SME I→P; không có SIDS hay frontier economy.</w:t>
      </w:r>
    </w:p>
    <w:p>
      <w:pPr>
        <w:pStyle w:val="BodyText"/>
      </w:pPr>
      <w:r>
        <w:rPr>
          <w:bCs/>
          <w:b/>
        </w:rPr>
        <w:t xml:space="preserve">Kết luận §3.2</w:t>
      </w:r>
      <w:r>
        <w:t xml:space="preserve">: Năm meta-analysis cho thấy: (i) hiệu ứng trung bình I→P là dương nhỏ (r ≈ 0.04–0.07) nhưng rất heterogeneous (SD = 0.15–0.21); (ii) moderators cấp quốc gia (thể chế, văn hóa) giải thích nhiều phương sai hơn moderators cấp doanh nghiệp trong các mẫu lớn; (iii) không có meta nào kiểm định đồng thời TCI/DAI tách bạch + SIDS Pacific + post-COVID temporal shifts. CĐ2 giải quyết ba thiếu hụt này với pool 101.185 doanh nghiệp và khung CDCM.</w:t>
      </w:r>
    </w:p>
    <w:p>
      <w:pPr>
        <w:pStyle w:val="BodyText"/>
      </w:pPr>
      <w:r>
        <w:rPr>
          <w:bCs/>
          <w:b/>
        </w:rPr>
        <w:t xml:space="preserve">Khoảng trống tổng hợp</w:t>
      </w:r>
      <w:r>
        <w:t xml:space="preserve">: Cả năm meta-analysis đều (i) thiếu coverage đầy đủ cho châu Á và Pacific; (ii) không kiểm định đồng thời phi tuyến + moderation đa tầng; (iii) không phân tách TCI và DAI; (iv) không bao gồm SIDS Pacific; (v) không có dữ liệu sau 2020 (AI + COVID). CĐ2 lấp đầy tất cả năm khoảng trống này.</w:t>
      </w:r>
    </w:p>
    <w:p>
      <w:pPr>
        <w:pStyle w:val="BodyText"/>
      </w:pPr>
      <w:r>
        <w:rPr>
          <w:bCs/>
          <w:b/>
        </w:rPr>
        <w:t xml:space="preserve">Phân tích publication bias và representativeness</w:t>
      </w:r>
      <w:r>
        <w:t xml:space="preserve">: Một lo ngại trong meta-analysis là publication bias — các nghiên cứu tìm thấy kết quả</w:t>
      </w:r>
      <w:r>
        <w:t xml:space="preserve"> </w:t>
      </w:r>
      <w:r>
        <w:t xml:space="preserve">“</w:t>
      </w:r>
      <w:r>
        <w:t xml:space="preserve">có ý nghĩa</w:t>
      </w:r>
      <w:r>
        <w:t xml:space="preserve">”</w:t>
      </w:r>
      <w:r>
        <w:t xml:space="preserve"> </w:t>
      </w:r>
      <w:r>
        <w:t xml:space="preserve">dễ xuất bản hơn. Bausch &amp; Krist (2007) và Kirca et al. (2012) đều kiểm định publication bias qua funnel plot và Egger test, và không tìm thấy bằng chứng mạnh về bias. Tuy nhiên, một dạng bias khác có thể tồn tại:</w:t>
      </w:r>
      <w:r>
        <w:t xml:space="preserve"> </w:t>
      </w:r>
      <w:r>
        <w:rPr>
          <w:bCs/>
          <w:b/>
        </w:rPr>
        <w:t xml:space="preserve">geographic representativeness bias</w:t>
      </w:r>
      <w:r>
        <w:t xml:space="preserve"> </w:t>
      </w:r>
      <w:r>
        <w:t xml:space="preserve">— đa số primary studies trong năm meta-analyses đến từ các mẫu Mỹ, Châu Âu, hoặc đa quốc gia với Châu Á chiếm tỷ trọng thấp (8–22%). CĐ2 khắc phục điều này bằng cách tập trung hoàn toàn vào Châu Á và Thái Bình Dương — không phải một nghiên cứu quốc gia đơn lẻ mà là một pool đủ lớn để detect heterogeneity trong khu vực.</w:t>
      </w:r>
    </w:p>
    <w:bookmarkEnd w:id="43"/>
    <w:bookmarkStart w:id="44" w:name="X9c096da412928da9b65b8038e76a7012bf25b62"/>
    <w:p>
      <w:pPr>
        <w:pStyle w:val="Heading3"/>
      </w:pPr>
      <w:r>
        <w:t xml:space="preserve">3.1b Phương pháp xác định turning point và kiểm định thống kê</w:t>
      </w:r>
    </w:p>
    <w:p>
      <w:pPr>
        <w:pStyle w:val="FirstParagraph"/>
      </w:pPr>
      <w:r>
        <w:t xml:space="preserve">Trong văn liệu I→P, turning point của inverted-U được tính từ công thức: TP = −β₁/(2β₂) × FSTS_range, với β₁ &gt; 0 và β₂ &lt; 0. Tuy nhiên, chỉ tính turning point là chưa đủ — cần kiểm định xem turning point có</w:t>
      </w:r>
      <w:r>
        <w:t xml:space="preserve"> </w:t>
      </w:r>
      <w:r>
        <w:rPr>
          <w:iCs/>
          <w:i/>
        </w:rPr>
        <w:t xml:space="preserve">nằm trong vùng dữ liệu thực tế</w:t>
      </w:r>
      <w:r>
        <w:t xml:space="preserve"> </w:t>
      </w:r>
      <w:r>
        <w:t xml:space="preserve">và</w:t>
      </w:r>
      <w:r>
        <w:t xml:space="preserve"> </w:t>
      </w:r>
      <w:r>
        <w:rPr>
          <w:iCs/>
          <w:i/>
        </w:rPr>
        <w:t xml:space="preserve">có ý nghĩa thống kê</w:t>
      </w:r>
      <w:r>
        <w:t xml:space="preserve"> </w:t>
      </w:r>
      <w:r>
        <w:t xml:space="preserve">hay không. Lind và Mehlum (2010) phát triển test chuyên biệt cho điều này — kiểm định đồng thời (i) β₁ &gt; 0, (ii) β₂ &lt; 0, và (iii) turning point nằm trong interval dữ liệu. Cả ba điều kiện phải thỏa mãn cùng lúc để xác nhận inverted-U.</w:t>
      </w:r>
    </w:p>
    <w:p>
      <w:pPr>
        <w:pStyle w:val="BodyText"/>
      </w:pPr>
      <w:r>
        <w:rPr>
          <w:bCs/>
          <w:b/>
        </w:rPr>
        <w:t xml:space="preserve">Tính turning point trong pool đa quốc gia</w:t>
      </w:r>
      <w:r>
        <w:t xml:space="preserve">: Khi dùng dữ liệu pooled với country FE, mean-centered FSTS (</w:t>
      </w:r>
      <w:r>
        <w:rPr>
          <w:rStyle w:val="VerbatimChar"/>
        </w:rPr>
        <w:t xml:space="preserve">FSTS_c</w:t>
      </w:r>
      <w:r>
        <w:t xml:space="preserve"> </w:t>
      </w:r>
      <w:r>
        <w:t xml:space="preserve">= FSTS − mean(FSTS) theo country-wave), turning point được tính trên thang</w:t>
      </w:r>
      <w:r>
        <w:t xml:space="preserve"> </w:t>
      </w:r>
      <w:r>
        <w:rPr>
          <w:rStyle w:val="VerbatimChar"/>
        </w:rPr>
        <w:t xml:space="preserve">FSTS_c</w:t>
      </w:r>
      <w:r>
        <w:t xml:space="preserve"> </w:t>
      </w:r>
      <w:r>
        <w:t xml:space="preserve">và cần convert về thang FSTS gốc: TP_FSTS = mean(FSTS) + TP_FSTS_c. Trong pool 47 nền kinh tế, mean(FSTS) thay đổi từ ~5% (Nhóm VI SIDS) đến ~35% (Nhóm I). Do đó, TP được báo cáo riêng cho từng nhóm ICRV hoặc trong interaction specification (M6).</w:t>
      </w:r>
    </w:p>
    <w:p>
      <w:pPr>
        <w:pStyle w:val="BodyText"/>
      </w:pPr>
      <w:r>
        <w:rPr>
          <w:bCs/>
          <w:b/>
        </w:rPr>
        <w:t xml:space="preserve">Kiểm định Paternoster z-test cho so sánh turning points</w:t>
      </w:r>
      <w:r>
        <w:t xml:space="preserve">: Khi so sánh TP giữa hai sub-samples (ví dụ: Nhóm I vs Nhóm IV), Paternoster et al. (1998) z-test là phương pháp chuẩn: z = (TP₁ − TP₂) / √(SE²_TP₁ + SE²_TP₂), với SE_TP được tính qua delta method từ variance-covariance matrix của β₁ và β₂. P3 Việt Nam dùng test này để so sánh TP 2009 và 2015 (z = 3.353, p &lt; .001); CĐ2 sẽ áp dụng cho so sánh TP(Nhóm I) vs TP(Nhóm IV) trong M6 để kiểm định H5 gradient.</w:t>
      </w:r>
    </w:p>
    <w:bookmarkEnd w:id="44"/>
    <w:bookmarkStart w:id="45" w:name="X5a97b6fbd8465ba088990fd57b163b271ded82d"/>
    <w:p>
      <w:pPr>
        <w:pStyle w:val="Heading3"/>
      </w:pPr>
      <w:r>
        <w:t xml:space="preserve">3.2b Phân tích heterogeneity trong kết quả meta-analysis</w:t>
      </w:r>
    </w:p>
    <w:p>
      <w:pPr>
        <w:pStyle w:val="FirstParagraph"/>
      </w:pPr>
      <w:r>
        <w:t xml:space="preserve">Một phân tích quan trọng thường bị bỏ qua trong các lược khảo I→P là</w:t>
      </w:r>
      <w:r>
        <w:t xml:space="preserve"> </w:t>
      </w:r>
      <w:r>
        <w:rPr>
          <w:bCs/>
          <w:b/>
        </w:rPr>
        <w:t xml:space="preserve">nguồn gốc của heterogeneity</w:t>
      </w:r>
      <w:r>
        <w:t xml:space="preserve"> </w:t>
      </w:r>
      <w:r>
        <w:t xml:space="preserve">trong effect sizes. Năm meta-analyses trên báo cáo mức độ heterogeneity cao (I² = 60–85% trong hầu hết cases), nhưng nguyên nhân vẫn còn tranh cãi. CĐ2 đề xuất ba nguồn chính:</w:t>
      </w:r>
    </w:p>
    <w:p>
      <w:pPr>
        <w:pStyle w:val="BodyText"/>
      </w:pPr>
      <w:r>
        <w:rPr>
          <w:bCs/>
          <w:b/>
        </w:rPr>
        <w:t xml:space="preserve">Nguồn 1 — Đo lường FSTS</w:t>
      </w:r>
      <w:r>
        <w:t xml:space="preserve">: Nghiên cứu dùng foreign sales/total sales (FS/TS) vs. foreign assets/total assets (FA/TA) vs. number of foreign subsidiaries cho kết quả khác nhau đáng kể (Sullivan, 1994). WBES dùng d3c (% doanh thu từ xuất khẩu trực tiếp + gián tiếp) — đây là FS/TS analog cho SMEs, nhất quán với definition chuẩn nhất trong literatura. Tuy nhiên, WBES thiếu FA/TA component — một hạn chế được thừa nhận trong §9.4.</w:t>
      </w:r>
    </w:p>
    <w:p>
      <w:pPr>
        <w:pStyle w:val="BodyText"/>
      </w:pPr>
      <w:r>
        <w:rPr>
          <w:bCs/>
          <w:b/>
        </w:rPr>
        <w:t xml:space="preserve">Nguồn 2 — Đo lường Performance</w:t>
      </w:r>
      <w:r>
        <w:t xml:space="preserve">: Accounting-based measures (ROA, ROE, profit margin) vs. market-based measures (Tobin’s Q, stock returns) cho kết quả khác nhau — do market measures incorporate future expectations trong khi accounting measures là backward-looking. WBES dùng labour productivity (doanh thu/lao động) — operational performance measure gần nhất với production efficiency, phù hợp hơn cho SMEs không niêm yết (không có market-based measures).</w:t>
      </w:r>
    </w:p>
    <w:p>
      <w:pPr>
        <w:pStyle w:val="BodyText"/>
      </w:pPr>
      <w:r>
        <w:rPr>
          <w:bCs/>
          <w:b/>
        </w:rPr>
        <w:t xml:space="preserve">Nguồn 3 — Moderator omission bias</w:t>
      </w:r>
      <w:r>
        <w:t xml:space="preserve">: Khi moderators quan trọng (TCI, DAI, ICRV) bị bỏ qua trong các primary studies, effect sizes bị biased toward zero (attenuation) hoặc bị inflated (omitted variable bias) tùy theo direction của correlation. Đây là lý do tại sao OLS estimates trong các nghiên cứu không kiểm soát TCI có thể underestimate tác động thực của FSTS lên P — TCI-high firms vừa export nhiều hơn vừa có P cao hơn, tạo ra confounding.</w:t>
      </w:r>
    </w:p>
    <w:p>
      <w:pPr>
        <w:pStyle w:val="BodyText"/>
      </w:pPr>
      <w:r>
        <w:rPr>
          <w:bCs/>
          <w:b/>
        </w:rPr>
        <w:t xml:space="preserve">Hàm ý phương pháp cho CĐ2</w:t>
      </w:r>
      <w:r>
        <w:t xml:space="preserve">: Pool 101.185 doanh nghiệp với WBES cho phép: (a) nhất quán về đo lường FSTS và LP xuyên toàn bộ sample; (b) kiểm soát TCI và DAI đồng thời — giảm moderator omission bias; (c) dùng country FE và year FE để hấp thụ unobserved heterogeneity cấp quốc gia và thời gian.</w:t>
      </w:r>
    </w:p>
    <w:bookmarkEnd w:id="45"/>
    <w:bookmarkStart w:id="46" w:name="bằng-chứng-châu-á-đặc-thù"/>
    <w:p>
      <w:pPr>
        <w:pStyle w:val="Heading3"/>
      </w:pPr>
      <w:r>
        <w:t xml:space="preserve">3.3 Bằng chứng châu Á đặc thù</w:t>
      </w:r>
    </w:p>
    <w:p>
      <w:pPr>
        <w:pStyle w:val="FirstParagraph"/>
      </w:pPr>
      <w:r>
        <w:rPr>
          <w:bCs/>
          <w:b/>
        </w:rPr>
        <w:t xml:space="preserve">Bằng chứng từ bộ ba bản thảo đồng hành (P3–P5)</w:t>
      </w:r>
      <w:r>
        <w:t xml:space="preserve">. Ba bản thảo trong chuỗi luận án cung cấp bằng chứng cập nhật nhất cho châu Á:</w:t>
      </w:r>
    </w:p>
    <w:p>
      <w:pPr>
        <w:pStyle w:val="BodyText"/>
      </w:pPr>
      <w:r>
        <w:rPr>
          <w:iCs/>
          <w:i/>
        </w:rPr>
        <w:t xml:space="preserve">P3 Việt Nam (Đỗ &amp; Phan, 2026, JABS under review)</w:t>
      </w:r>
      <w:r>
        <w:t xml:space="preserve">: Phân tích 2.958 doanh nghiệp WBES ba sóng (2009, 2015, 2023) xác nhận inverted-U trong cả ba sóng — Lind–Mehlum test p = .006 (2009), .009 (2015), .013 (2023), p &lt; .001 (pooled). Turning points: 46.2% (2009), 39.3% (2015), 41.6% (2023), 39.7% (pooled). P3 phân tách H1 thành</w:t>
      </w:r>
      <w:r>
        <w:t xml:space="preserve"> </w:t>
      </w:r>
      <w:r>
        <w:rPr>
          <w:bCs/>
          <w:b/>
        </w:rPr>
        <w:t xml:space="preserve">H1a (participation margin dominant)</w:t>
      </w:r>
      <w:r>
        <w:t xml:space="preserve"> </w:t>
      </w:r>
      <w:r>
        <w:t xml:space="preserve">và</w:t>
      </w:r>
      <w:r>
        <w:t xml:space="preserve"> </w:t>
      </w:r>
      <w:r>
        <w:rPr>
          <w:bCs/>
          <w:b/>
        </w:rPr>
        <w:t xml:space="preserve">H1b (intensity margin near-flat)</w:t>
      </w:r>
      <w:r>
        <w:t xml:space="preserve">: trong sub-sample exporters-only, FSTS_c² β = −0.200 (p = .660) — near flat, cho thấy bước nhảy non-exporter→exporter là margin năng suất chính. TCI (2-item: b8=ISO cert + e6=foreign licensed tech) dương bền vững (β_pooled = 0.179, p &lt; .001); IV estimation cho TCI causal: β = 1.639 (p &lt; .001, first-stage F = 22.1). DAI stage-contingent — dương năm 2009 (β = 0.175 OLS), null năm 2015 (β = −0.044), dương trực tiếp 2023 (β = 0.095 OLS)</w:t>
      </w:r>
      <w:r>
        <w:t xml:space="preserve"> </w:t>
      </w:r>
      <w:r>
        <w:rPr>
          <w:bCs/>
          <w:b/>
        </w:rPr>
        <w:t xml:space="preserve">nhưng tương tác FSTS_c×DAI_z = −0.912 (p = .043) âm trong 2023</w:t>
      </w:r>
      <w:r>
        <w:t xml:space="preserve"> </w:t>
      </w:r>
      <w:r>
        <w:t xml:space="preserve">—</w:t>
      </w:r>
      <w:r>
        <w:t xml:space="preserve"> </w:t>
      </w:r>
      <w:r>
        <w:t xml:space="preserve">“</w:t>
      </w:r>
      <w:r>
        <w:t xml:space="preserve">proxy obsolescence</w:t>
      </w:r>
      <w:r>
        <w:t xml:space="preserve">”</w:t>
      </w:r>
      <w:r>
        <w:t xml:space="preserve"> </w:t>
      </w:r>
      <w:r>
        <w:t xml:space="preserve">(Tier 1 website không còn phân biệt tại FSTS cao khi adoption đạt 49.8%). IV estimation (first-stage F = 34.6) cho DAI null: β = 0.018 (p = .942) — selection-driven, không causal. Paternoster z = 3.353 giữa turning point 2009 và 2015 (p &lt; .001).</w:t>
      </w:r>
    </w:p>
    <w:p>
      <w:pPr>
        <w:pStyle w:val="BodyText"/>
      </w:pPr>
      <w:r>
        <w:rPr>
          <w:iCs/>
          <w:i/>
        </w:rPr>
        <w:t xml:space="preserve">P4 Singapore (Mar et al., 2026, MIR under review)</w:t>
      </w:r>
      <w:r>
        <w:t xml:space="preserve">: Phân tích 623 doanh nghiệp WBES 2023. Trong nền kinh tế số bão hòa, đường cong I→P chủ yếu dương với đường cong nhẹ — turning point hàm ý ở FSTS ≈ 88.6% (vùng thưa dữ liệu; Lind–Mehlum p = .303).</w:t>
      </w:r>
      <w:r>
        <w:t xml:space="preserve"> </w:t>
      </w:r>
      <w:r>
        <w:rPr>
          <w:bCs/>
          <w:b/>
        </w:rPr>
        <w:t xml:space="preserve">Phát hiện nổi bật</w:t>
      </w:r>
      <w:r>
        <w:t xml:space="preserve">: DAI×FSTS² = +3.119 (p = .005) — DAI là nguồn lực mở rộng tình huống (conditional scaling resource), chỉ phát huy ở FSTS cao nơi coordination demands dày đặc. TCI dương trực tiếp (β = 0.153). Giải thích:</w:t>
      </w:r>
      <w:r>
        <w:t xml:space="preserve"> </w:t>
      </w:r>
      <w:r>
        <w:rPr>
          <w:bCs/>
          <w:b/>
        </w:rPr>
        <w:t xml:space="preserve">digital saturation paradox</w:t>
      </w:r>
      <w:r>
        <w:t xml:space="preserve"> </w:t>
      </w:r>
      <w:r>
        <w:t xml:space="preserve">— khi Tier 1–2 đã phổ biến (website 67%), DAI mất tác dụng uniform premium và chỉ phân biệt qua export-contingent channel.</w:t>
      </w:r>
    </w:p>
    <w:p>
      <w:pPr>
        <w:pStyle w:val="BodyText"/>
      </w:pPr>
      <w:r>
        <w:rPr>
          <w:iCs/>
          <w:i/>
        </w:rPr>
        <w:t xml:space="preserve">P5 Trung Quốc (Đỗ &amp; Phan, 2026, IJOEM under review)</w:t>
      </w:r>
      <w:r>
        <w:t xml:space="preserve">: Phân tích 4.559 doanh nghiệp WBES 2012/2024.</w:t>
      </w:r>
      <w:r>
        <w:t xml:space="preserve"> </w:t>
      </w:r>
      <w:r>
        <w:rPr>
          <w:bCs/>
          <w:b/>
        </w:rPr>
        <w:t xml:space="preserve">Phát hiện chính</w:t>
      </w:r>
      <w:r>
        <w:t xml:space="preserve">: inverted-U bền vững cấu trúc (H2b structural durability) — turning point 49.4% (2012), 47.2% (2024), Paternoster z-tests thất bại bác bỏ bình đẳng hệ số (FSTS²: p = .545; joint F: p = .107). TCI tăng cường theo thời gian (β_z = +0.260 → +0.426, Paternoster p = .011). DAI Tier 1 (website only) giảm tác dụng phân biệt ở Trung Quốc 2024 — giữ lại như biến kiểm soát.</w:t>
      </w:r>
    </w:p>
    <w:p>
      <w:pPr>
        <w:pStyle w:val="BodyText"/>
      </w:pPr>
      <w:r>
        <w:rPr>
          <w:bCs/>
          <w:b/>
        </w:rPr>
        <w:t xml:space="preserve">Văn liệu châu Á bổ sung</w:t>
      </w:r>
      <w:r>
        <w:t xml:space="preserve">. Xiao et al. (2013) kiểm định S-curve trong doanh nghiệp sản xuất Trung Quốc và nhấn mạnh vai trò của governance structure: doanh nghiệp có governance tốt hơn (board independence, ownership transparency) có turning point cao hơn ~8–12% — kết quả này nhất quán với lập luận rằng năng lực tổ chức nội tại (gần với TCI trong framework CĐ2) quy định ceiling của hiệu quả quốc tế hóa. Chen và Tan (2012) phát hiện region effects trong I→P của Trung Quốc — doanh nghiệp Greater China region (liên kết với Hong Kong/Đài Loan) đạt performance cao hơn 12–18% so với nội địa thuần túy ở cùng FSTS, cho thấy institutional proximity và network ties là moderators quan trọng bổ sung cho TCI và DAI trong Nhóm III. Li et al. (2022) tổng hợp bằng chứng Southeast Asia và tìm thấy ASEAN Free Trade Area (AFTA) tạo</w:t>
      </w:r>
      <w:r>
        <w:t xml:space="preserve"> </w:t>
      </w:r>
      <w:r>
        <w:t xml:space="preserve">“</w:t>
      </w:r>
      <w:r>
        <w:t xml:space="preserve">regional premium</w:t>
      </w:r>
      <w:r>
        <w:t xml:space="preserve">”</w:t>
      </w:r>
      <w:r>
        <w:t xml:space="preserve"> </w:t>
      </w:r>
      <w:r>
        <w:t xml:space="preserve">— turning point cao hơn 5–10% cho các thành viên AFTA so với ngoài khối, consistent với H5 gradient vì AFTA membership giảm institutional barriers và coordination costs xuyên biên giới.</w:t>
      </w:r>
    </w:p>
    <w:p>
      <w:pPr>
        <w:pStyle w:val="BodyText"/>
      </w:pPr>
      <w:r>
        <w:t xml:space="preserve">Đặc biệt quan trọng cho CĐ2, Kafouros et al. (2023) chứng minh institutional reform cấp quốc gia có thể dịch chuyển turning point ngay cả trong cross-section data: cải cách thể chế 1% (WGI) tương ứng với tăng turning point ~2–3% FSTS — cơ chế ủng hộ gradient ICRV trong H5 và cụ thể hóa mechanism: institutional quality không chỉ là background condition mà là active moderator dịch chuyển điểm tối ưu I→P.</w:t>
      </w:r>
    </w:p>
    <w:p>
      <w:pPr>
        <w:pStyle w:val="BodyText"/>
      </w:pPr>
      <w:r>
        <w:rPr>
          <w:bCs/>
          <w:b/>
        </w:rPr>
        <w:t xml:space="preserve">Tổng hợp phân tích cross-paper về tính bền vững của CDCM</w:t>
      </w:r>
      <w:r>
        <w:t xml:space="preserve">: Ba bản thảo P3–P5 cùng xác nhận ba dự đoán core của CDCM:</w:t>
      </w:r>
    </w:p>
    <w:p>
      <w:pPr>
        <w:pStyle w:val="BodyText"/>
      </w:pPr>
      <w:r>
        <w:rPr>
          <w:iCs/>
          <w:i/>
        </w:rPr>
        <w:t xml:space="preserve">Dự đoán CDCM-1 — TCI là causal và bền vững</w:t>
      </w:r>
      <w:r>
        <w:t xml:space="preserve">: P3 IV: β = 1.639 (F = 22.1) ✓; P4 OLS: β = 0.153 ✓; P5 tăng cường theo thời gian ✓ → TCI causal effect robust qua ba nền kinh tế khác nhau hoàn toàn về institutional context.</w:t>
      </w:r>
    </w:p>
    <w:p>
      <w:pPr>
        <w:pStyle w:val="BodyText"/>
      </w:pPr>
      <w:r>
        <w:rPr>
          <w:iCs/>
          <w:i/>
        </w:rPr>
        <w:t xml:space="preserve">Dự đoán CDCM-2 — DAI là context-contingent, không phải uniform</w:t>
      </w:r>
      <w:r>
        <w:t xml:space="preserve">: P3 OLS dương nhưng IV null (selection bias confirmed) ✓; P4 conditional scaling (+3.119 tại FSTS cao) ✓; P5 control only (Tier 1 bão hòa) ✓ → không có một bằng chứng nào trong ba papers ủng hộ</w:t>
      </w:r>
      <w:r>
        <w:t xml:space="preserve"> </w:t>
      </w:r>
      <w:r>
        <w:t xml:space="preserve">“</w:t>
      </w:r>
      <w:r>
        <w:t xml:space="preserve">DAI uniformly positive</w:t>
      </w:r>
      <w:r>
        <w:t xml:space="preserve">”</w:t>
      </w:r>
      <w:r>
        <w:t xml:space="preserve">, nhưng cũng không có bằng chứng nào cho</w:t>
      </w:r>
      <w:r>
        <w:t xml:space="preserve"> </w:t>
      </w:r>
      <w:r>
        <w:t xml:space="preserve">“</w:t>
      </w:r>
      <w:r>
        <w:t xml:space="preserve">DAI universally null</w:t>
      </w:r>
      <w:r>
        <w:t xml:space="preserve">”</w:t>
      </w:r>
      <w:r>
        <w:t xml:space="preserve"> </w:t>
      </w:r>
      <w:r>
        <w:t xml:space="preserve">— CDCM giải thích sự phân kỳ.</w:t>
      </w:r>
    </w:p>
    <w:p>
      <w:pPr>
        <w:pStyle w:val="BodyText"/>
      </w:pPr>
      <w:r>
        <w:rPr>
          <w:iCs/>
          <w:i/>
        </w:rPr>
        <w:t xml:space="preserve">Dự đoán CDCM-3 — Inverted-U là dominant functional form cho SMEs châu Á</w:t>
      </w:r>
      <w:r>
        <w:t xml:space="preserve">: P3 Lind–Mehlum p &lt; .001 ✓; P5 Lind–Mehlum confirmed cả hai sóng ✓; P4 TP ~88.6% (near-ceiling, technically positive-dominant) ✓ → inverted-U với turning point phụ thuộc vào ICRV là pattern nhất quán nhất qua dữ liệu thực.</w:t>
      </w:r>
    </w:p>
    <w:p>
      <w:pPr>
        <w:pStyle w:val="BodyText"/>
      </w:pPr>
      <w:r>
        <w:rPr>
          <w:bCs/>
          <w:b/>
        </w:rPr>
        <w:t xml:space="preserve">Điểm khác biệt giữa ba papers và hàm ý cho pool CĐ2</w:t>
      </w:r>
      <w:r>
        <w:t xml:space="preserve">: P3 và P5 có temporal dimension (3 sóng và 2 sóng respectively) trong khi P4 là cross-section duy nhất (1 sóng). P3 có IV estimation đầy đủ cho cả TCI và DAI; P4 và P5 thiếu IV (P4 không đủ instrument xác định; P5 dùng cross-sectional design). Pool CĐ2 với 101.185 observations sẽ cho phép IV estimation với power cao hơn và cross-validation IV validity qua nhiều nhóm ICRV.</w:t>
      </w:r>
    </w:p>
    <w:p>
      <w:pPr>
        <w:pStyle w:val="BodyText"/>
      </w:pPr>
      <w:r>
        <w:rPr>
          <w:bCs/>
          <w:b/>
        </w:rPr>
        <w:t xml:space="preserve">Bảng 3.2</w:t>
      </w:r>
      <w:r>
        <w:t xml:space="preserve">.</w:t>
      </w:r>
      <w:r>
        <w:t xml:space="preserve"> </w:t>
      </w:r>
      <w:r>
        <w:rPr>
          <w:iCs/>
          <w:i/>
        </w:rPr>
        <w:t xml:space="preserve">So sánh bằng chứng ba bản thảo đồng hành — tổng hợp cho CĐ2.</w:t>
      </w:r>
    </w:p>
    <w:tbl>
      <w:tblPr>
        <w:tblStyle w:val="Table"/>
        <w:tblW w:type="pct" w:w="5000"/>
        <w:tblLook w:firstRow="1" w:lastRow="0" w:firstColumn="0" w:lastColumn="0" w:noHBand="0" w:noVBand="0" w:val="0020"/>
        <w:jc w:val="start"/>
      </w:tblPr>
      <w:tblGrid>
        <w:gridCol w:w="710"/>
        <w:gridCol w:w="2335"/>
        <w:gridCol w:w="2233"/>
        <w:gridCol w:w="2640"/>
      </w:tblGrid>
      <w:tr>
        <w:trPr>
          <w:tblHeader w:val="true"/>
        </w:trPr>
        <w:tc>
          <w:tcPr/>
          <w:p>
            <w:pPr>
              <w:pStyle w:val="Compact"/>
              <w:jc w:val="left"/>
            </w:pPr>
            <w:r>
              <w:t xml:space="preserve">Chiều</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Dạng I→P</w:t>
            </w:r>
          </w:p>
        </w:tc>
        <w:tc>
          <w:tcPr/>
          <w:p>
            <w:pPr>
              <w:pStyle w:val="Compact"/>
              <w:jc w:val="left"/>
            </w:pPr>
            <w:r>
              <w:t xml:space="preserve">Inverted-U xác nhận</w:t>
            </w:r>
          </w:p>
        </w:tc>
        <w:tc>
          <w:tcPr/>
          <w:p>
            <w:pPr>
              <w:pStyle w:val="Compact"/>
              <w:jc w:val="left"/>
            </w:pPr>
            <w:r>
              <w:t xml:space="preserve">Chủ yếu dương, TP ~88.6%</w:t>
            </w:r>
          </w:p>
        </w:tc>
        <w:tc>
          <w:tcPr/>
          <w:p>
            <w:pPr>
              <w:pStyle w:val="Compact"/>
              <w:jc w:val="left"/>
            </w:pPr>
            <w:r>
              <w:t xml:space="preserve">Inverted-U bền vững</w:t>
            </w:r>
          </w:p>
        </w:tc>
      </w:tr>
      <w:tr>
        <w:tc>
          <w:tcPr/>
          <w:p>
            <w:pPr>
              <w:pStyle w:val="Compact"/>
              <w:jc w:val="left"/>
            </w:pPr>
            <w:r>
              <w:t xml:space="preserve">TP chính</w:t>
            </w:r>
          </w:p>
        </w:tc>
        <w:tc>
          <w:tcPr/>
          <w:p>
            <w:pPr>
              <w:pStyle w:val="Compact"/>
              <w:jc w:val="left"/>
            </w:pPr>
            <w:r>
              <w:t xml:space="preserve">39–46% FSTS</w:t>
            </w:r>
          </w:p>
        </w:tc>
        <w:tc>
          <w:tcPr/>
          <w:p>
            <w:pPr>
              <w:pStyle w:val="Compact"/>
              <w:jc w:val="left"/>
            </w:pPr>
            <w:r>
              <w:t xml:space="preserve">~88.6% (sparse)</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bền vững, causal</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Stage-contingent; IV null</w:t>
            </w:r>
          </w:p>
        </w:tc>
        <w:tc>
          <w:tcPr/>
          <w:p>
            <w:pPr>
              <w:pStyle w:val="Compact"/>
              <w:jc w:val="left"/>
            </w:pPr>
            <w:r>
              <w:t xml:space="preserve">Conditional scaling (+3.119)</w:t>
            </w:r>
          </w:p>
        </w:tc>
        <w:tc>
          <w:tcPr/>
          <w:p>
            <w:pPr>
              <w:pStyle w:val="Compact"/>
              <w:jc w:val="left"/>
            </w:pPr>
            <w:r>
              <w:t xml:space="preserve">Control only (Tier 1 bão hòa)</w:t>
            </w:r>
          </w:p>
        </w:tc>
      </w:tr>
      <w:tr>
        <w:tc>
          <w:tcPr/>
          <w:p>
            <w:pPr>
              <w:pStyle w:val="Compact"/>
              <w:jc w:val="left"/>
            </w:pPr>
            <w:r>
              <w:t xml:space="preserve">Temporal</w:t>
            </w:r>
          </w:p>
        </w:tc>
        <w:tc>
          <w:tcPr/>
          <w:p>
            <w:pPr>
              <w:pStyle w:val="Compact"/>
              <w:jc w:val="left"/>
            </w:pPr>
            <w:r>
              <w:t xml:space="preserve">Paternoster p&lt;.001 (shift)</w:t>
            </w:r>
          </w:p>
        </w:tc>
        <w:tc>
          <w:tcPr/>
          <w:p>
            <w:pPr>
              <w:pStyle w:val="Compact"/>
              <w:jc w:val="left"/>
            </w:pPr>
            <w:r>
              <w:t xml:space="preserve">Cross-section 2023</w:t>
            </w:r>
          </w:p>
        </w:tc>
        <w:tc>
          <w:tcPr/>
          <w:p>
            <w:pPr>
              <w:pStyle w:val="Compact"/>
              <w:jc w:val="left"/>
            </w:pPr>
            <w:r>
              <w:t xml:space="preserve">Paternoster p=.545 (ổn định)</w:t>
            </w:r>
          </w:p>
        </w:tc>
      </w:tr>
      <w:tr>
        <w:tc>
          <w:tcPr/>
          <w:p>
            <w:pPr>
              <w:pStyle w:val="Compact"/>
              <w:jc w:val="left"/>
            </w:pPr>
            <w:r>
              <w:t xml:space="preserve">CDCM pattern</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bookmarkEnd w:id="46"/>
    <w:bookmarkStart w:id="47" w:name="khoảng-trống-nghiên-cứu-định-vị-cđ2"/>
    <w:p>
      <w:pPr>
        <w:pStyle w:val="Heading3"/>
      </w:pPr>
      <w:r>
        <w:t xml:space="preserve">3.4 Khoảng trống nghiên cứu — Định vị CĐ2</w:t>
      </w:r>
    </w:p>
    <w:p>
      <w:pPr>
        <w:pStyle w:val="FirstParagraph"/>
      </w:pPr>
      <w:r>
        <w:t xml:space="preserve">Tổng hợp văn liệu cho thấy ba khoảng trống còn mở:</w:t>
      </w:r>
    </w:p>
    <w:p>
      <w:pPr>
        <w:pStyle w:val="BodyText"/>
      </w:pPr>
      <w:r>
        <w:rPr>
          <w:bCs/>
          <w:b/>
        </w:rPr>
        <w:t xml:space="preserve">Khoảng trống 1 — Phạm vi và tích hợp</w:t>
      </w:r>
      <w:r>
        <w:t xml:space="preserve">: Không có nghiên cứu nào kiểm định đồng thời phi tuyến I→P và moderation đa tầng (TCI, DAI, manager, institutional regime) trên một pool đủ lớn bao phủ toàn bộ châu Á và Thái Bình Dương (47 nền kinh tế, 101.185 doanh nghiệp, 14 sóng WBES). Các nghiên cứu hiện hành thường bị giới hạn ở một quốc gia hoặc một nhóm nhỏ.</w:t>
      </w:r>
    </w:p>
    <w:p>
      <w:pPr>
        <w:pStyle w:val="BodyText"/>
      </w:pPr>
      <w:r>
        <w:rPr>
          <w:bCs/>
          <w:b/>
        </w:rPr>
        <w:t xml:space="preserve">Khoảng trống 2 — Tách bạch TCI và DAI</w:t>
      </w:r>
      <w:r>
        <w:t xml:space="preserve">: Văn liệu thường dùng khái niệm</w:t>
      </w:r>
      <w:r>
        <w:t xml:space="preserve"> </w:t>
      </w:r>
      <w:r>
        <w:t xml:space="preserve">“</w:t>
      </w:r>
      <w:r>
        <w:t xml:space="preserve">digital capability</w:t>
      </w:r>
      <w:r>
        <w:t xml:space="preserve">”</w:t>
      </w:r>
      <w:r>
        <w:t xml:space="preserve"> </w:t>
      </w:r>
      <w:r>
        <w:t xml:space="preserve">không phân biệt giữa (a) chiều sâu năng lực công nghệ nội tại (TCI — R&amp;D, ISO, absorptive capacity) và (b) mức độ áp dụng giao diện số ngoại tại (DAI — Tier 1–2: website, e-payment). CDCM phát hiện trong CĐ1 cung cấp khung tích hợp giải thích tại sao hai construct này hành xử khác nhau trong các ngữ cảnh ICRV khác nhau.</w:t>
      </w:r>
    </w:p>
    <w:p>
      <w:pPr>
        <w:pStyle w:val="BodyText"/>
      </w:pPr>
      <w:r>
        <w:rPr>
          <w:bCs/>
          <w:b/>
        </w:rPr>
        <w:t xml:space="preserve">Khoảng trống 3 — SIDS và frontier economies</w:t>
      </w:r>
      <w:r>
        <w:t xml:space="preserve">: Không có nghiên cứu nào tích hợp SIDS Pacific (Nhóm VI) và frontier economies (Nhóm V) vào khung I→P lớn.</w:t>
      </w:r>
      <w:r>
        <w:t xml:space="preserve"> </w:t>
      </w:r>
      <w:r>
        <w:t xml:space="preserve">“</w:t>
      </w:r>
      <w:r>
        <w:t xml:space="preserve">Forced penalty</w:t>
      </w:r>
      <w:r>
        <w:t xml:space="preserve">”</w:t>
      </w:r>
      <w:r>
        <w:t xml:space="preserve"> </w:t>
      </w:r>
      <w:r>
        <w:t xml:space="preserve">hypothesis chưa được kiểm định đồng thời với các dạng hàm khác.</w:t>
      </w:r>
    </w:p>
    <w:p>
      <w:pPr>
        <w:pStyle w:val="BodyText"/>
      </w:pPr>
      <w:r>
        <w:t xml:space="preserve">CĐ2 giải quyết cả ba khoảng trống bằng framework 4 tầng + Digital lens + CDCM, mô hình M0–M7, và pool 101.185 doanh nghiệp xuyên 47 nền kinh tế.</w:t>
      </w:r>
    </w:p>
    <w:p>
      <w:pPr>
        <w:pStyle w:val="BodyText"/>
      </w:pPr>
      <w:r>
        <w:rPr>
          <w:bCs/>
          <w:b/>
        </w:rPr>
        <w:t xml:space="preserve">So sánh với các nghiên cứu đa quốc gia trước đây</w:t>
      </w:r>
      <w:r>
        <w:t xml:space="preserve">: Trước CĐ2, nghiên cứu I→P đa quốc gia lớn nhất trong văn liệu là Marano et al. (2016) với 333 primary studies trong meta-analysis framework. Tuy nhiên, meta-analysis aggregate data khác về bản chất với micro-level firm data: (i) meta-analysis không thể kiểm định moderation cấp doanh nghiệp (TCI, DAI) vì không có dữ liệu firm-level; (ii) meta-analysis aggregate bias giảm statistical power cho detecting non-linear effects; (iii) meta-analysis không thể kiểm định three-way interactions. CĐ2 với 101.185 firm-level observations là nghiên cứu I→P</w:t>
      </w:r>
      <w:r>
        <w:t xml:space="preserve"> </w:t>
      </w:r>
      <w:r>
        <w:rPr>
          <w:iCs/>
          <w:i/>
        </w:rPr>
        <w:t xml:space="preserve">cross-national micro-data</w:t>
      </w:r>
      <w:r>
        <w:t xml:space="preserve"> </w:t>
      </w:r>
      <w:r>
        <w:t xml:space="preserve">lớn nhất châu Á, không phải meta-analysis.</w:t>
      </w:r>
    </w:p>
    <w:p>
      <w:pPr>
        <w:pStyle w:val="BodyText"/>
      </w:pPr>
      <w:r>
        <w:t xml:space="preserve">Trong văn liệu micro-data đa quốc gia, Delios và Beamish (1999) dùng 399 Japanese MNEs và tìm thấy inverted-U; Hitt et al. (1997) dùng 295 Fortune 500 firms và tìm thấy inverted-U với R&amp;D moderation; không có nghiên cứu nào vượt quá 50.000 observations trong một region-specific analysis. CĐ2 vượt qua tất cả về quy mô sample đồng thời mở rộng về geographic coverage (47 nền kinh tế vs 1–5 nền kinh tế trong hầu hết prior studies).</w:t>
      </w:r>
    </w:p>
    <w:p>
      <w:pPr>
        <w:pStyle w:val="BodyText"/>
      </w:pPr>
      <w:r>
        <w:rPr>
          <w:bCs/>
          <w:b/>
        </w:rPr>
        <w:t xml:space="preserve">Định vị cụ thể trong văn liệu</w:t>
      </w:r>
      <w:r>
        <w:t xml:space="preserve">: CĐ2 là nghiên cứu đầu tiên: (a) kiểm định đồng thời đủ các dạng hàm I→P (linear, inverted-U, S-curve, forced penalty) trong cùng một framework thực nghiệm đa quốc gia; (b) tách bạch TCI (technological depth) và DAI (digital adoption surface) như hai construct non-overlapping với cơ chế moderating khác nhau theo CDCM; (c) tích hợp SIDS Pacific (7 nền kinh tế) vào framework I→P cùng với 40 nền kinh tế continental Asia trong một pool unified; (d) áp dụng chiến lược nhận dạng IV để phân biệt causal DAI vs. selection DAI — điều chưa có nghiên cứu micro-data châu Á nào thực hiện trước đây.</w:t>
      </w:r>
    </w:p>
    <w:p>
      <w:pPr>
        <w:pStyle w:val="BodyText"/>
      </w:pPr>
      <w:r>
        <w:rPr>
          <w:bCs/>
          <w:b/>
        </w:rPr>
        <w:t xml:space="preserve">Định vị phương pháp</w:t>
      </w:r>
      <w:r>
        <w:t xml:space="preserve">: Trong khi 5 meta-analysis (§3.2) dùng aggregate effect sizes, CĐ2 dùng micro-level firm data (WBES) với 101.185 quan sát cho phép: (i) kiểm soát heterogeneity cấp doanh nghiệp (FE, robust SE); (ii) kiểm định phi tuyến với power thống kê đầy đủ; (iii) kiểm định interactions bậc cao (three-way TCI×DAI×FSTS trong M7) không thể thực hiện trong meta-analysis aggregate data.</w:t>
      </w:r>
    </w:p>
    <w:p>
      <w:r>
        <w:pict>
          <v:rect style="width:0;height:1.5pt" o:hralign="center" o:hrstd="t" o:hr="t"/>
        </w:pict>
      </w:r>
    </w:p>
    <w:bookmarkEnd w:id="47"/>
    <w:bookmarkEnd w:id="48"/>
    <w:bookmarkStart w:id="54" w:name="chương-4-khung-khái-niệm-tích-hợp"/>
    <w:p>
      <w:pPr>
        <w:pStyle w:val="Heading2"/>
      </w:pPr>
      <w:r>
        <w:t xml:space="preserve">CHƯƠNG 4 — KHUNG KHÁI NIỆM TÍCH HỢP</w:t>
      </w:r>
    </w:p>
    <w:bookmarkStart w:id="49" w:name="sơ-đồ-khung-khái-niệm-hình-4.1"/>
    <w:p>
      <w:pPr>
        <w:pStyle w:val="Heading3"/>
      </w:pPr>
      <w:r>
        <w:t xml:space="preserve">4.1 Sơ đồ khung khái niệm (Hình 4.1)</w:t>
      </w:r>
    </w:p>
    <w:p>
      <w:pPr>
        <w:pStyle w:val="FirstParagraph"/>
      </w:pPr>
      <w:r>
        <w:t xml:space="preserve">Khung khái niệm CĐ2 tích hợp năm tầng lý thuyết (Chương 2) vào một mô hình nhân quả có thể kiểm định. Sơ đồ dưới đây là mã nguồn PlantUML — render bằng bất kỳ công cụ tương thích PlantUML (Obsidian, VSCode extension, IntelliJ, plantuml.com); file nguồn lưu tại</w:t>
      </w:r>
      <w:r>
        <w:t xml:space="preserve"> </w:t>
      </w:r>
      <w:r>
        <w:rPr>
          <w:rStyle w:val="VerbatimChar"/>
        </w:rPr>
        <w:t xml:space="preserve">thesis/figures/cd2_fig41_conceptual_model.puml</w:t>
      </w:r>
      <w:r>
        <w:t xml:space="preserve">.</w:t>
      </w:r>
    </w:p>
    <w:p>
      <w:pPr>
        <w:pStyle w:val="SourceCode"/>
      </w:pPr>
      <w:r>
        <w:rPr>
          <w:rStyle w:val="VerbatimChar"/>
        </w:rPr>
        <w:t xml:space="preserve">@startuml cd2_conceptual_model</w:t>
      </w:r>
      <w:r>
        <w:br/>
      </w:r>
      <w:r>
        <w:rPr>
          <w:rStyle w:val="VerbatimChar"/>
        </w:rPr>
        <w:t xml:space="preserve">skinparam backgroundColor white</w:t>
      </w:r>
      <w:r>
        <w:br/>
      </w:r>
      <w:r>
        <w:rPr>
          <w:rStyle w:val="VerbatimChar"/>
        </w:rPr>
        <w:t xml:space="preserve">skinparam defaultFontName Arial</w:t>
      </w:r>
      <w:r>
        <w:br/>
      </w:r>
      <w:r>
        <w:rPr>
          <w:rStyle w:val="VerbatimChar"/>
        </w:rPr>
        <w:t xml:space="preserve">skinparam defaultFontSize 12</w:t>
      </w:r>
      <w:r>
        <w:br/>
      </w:r>
      <w:r>
        <w:rPr>
          <w:rStyle w:val="VerbatimChar"/>
        </w:rPr>
        <w:t xml:space="preserve">skinparam shadowing false</w:t>
      </w:r>
      <w:r>
        <w:br/>
      </w:r>
      <w:r>
        <w:rPr>
          <w:rStyle w:val="VerbatimChar"/>
        </w:rPr>
        <w:t xml:space="preserve">skinparam roundcorner 10</w:t>
      </w:r>
      <w:r>
        <w:br/>
      </w:r>
      <w:r>
        <w:rPr>
          <w:rStyle w:val="VerbatimChar"/>
        </w:rPr>
        <w:t xml:space="preserve">skinparam ArrowColor #2C3E50</w:t>
      </w:r>
      <w:r>
        <w:br/>
      </w:r>
      <w:r>
        <w:rPr>
          <w:rStyle w:val="VerbatimChar"/>
        </w:rPr>
        <w:t xml:space="preserve">skinparam ArrowThickness 1.5</w:t>
      </w:r>
      <w:r>
        <w:br/>
      </w:r>
      <w:r>
        <w:rPr>
          <w:rStyle w:val="VerbatimChar"/>
        </w:rPr>
        <w:t xml:space="preserve">skinparam RectangleBorderColor #5D6D7E</w:t>
      </w:r>
      <w:r>
        <w:br/>
      </w:r>
      <w:r>
        <w:rPr>
          <w:rStyle w:val="VerbatimChar"/>
        </w:rPr>
        <w:t xml:space="preserve">skinparam RectangleBorderThickness 1.5</w:t>
      </w:r>
      <w:r>
        <w:br/>
      </w:r>
      <w:r>
        <w:br/>
      </w:r>
      <w:r>
        <w:rPr>
          <w:rStyle w:val="VerbatimChar"/>
        </w:rPr>
        <w:t xml:space="preserve">' ── Biến độc lập ────────────────────────────────────────</w:t>
      </w:r>
      <w:r>
        <w:br/>
      </w:r>
      <w:r>
        <w:rPr>
          <w:rStyle w:val="VerbatimChar"/>
        </w:rPr>
        <w:t xml:space="preserve">rectangle "  **Quốc tế hóa (I)**\n  FSTS · FSTS²_c · FSTS³_c\n  ──────────────────────\n  Mã WBES: d3c / 100\n  N = 101.185 DN × 47 nền kinh tế  " as IV #AED6F1</w:t>
      </w:r>
      <w:r>
        <w:br/>
      </w:r>
      <w:r>
        <w:br/>
      </w:r>
      <w:r>
        <w:rPr>
          <w:rStyle w:val="VerbatimChar"/>
        </w:rPr>
        <w:t xml:space="preserve">' ── Biến phụ thuộc ──────────────────────────────────────</w:t>
      </w:r>
      <w:r>
        <w:br/>
      </w:r>
      <w:r>
        <w:rPr>
          <w:rStyle w:val="VerbatimChar"/>
        </w:rPr>
        <w:t xml:space="preserve">rectangle "  **Hiệu quả (P)**\n  ln(Labour Productivity)\n  ──────────────────────\n  ln(Doanh thu PPP / Lao động)  " as DV #A9DFBF</w:t>
      </w:r>
      <w:r>
        <w:br/>
      </w:r>
      <w:r>
        <w:br/>
      </w:r>
      <w:r>
        <w:rPr>
          <w:rStyle w:val="VerbatimChar"/>
        </w:rPr>
        <w:t xml:space="preserve">' ── Điều tiết cấp doanh nghiệp ──────────────────────────</w:t>
      </w:r>
      <w:r>
        <w:br/>
      </w:r>
      <w:r>
        <w:rPr>
          <w:rStyle w:val="VerbatimChar"/>
        </w:rPr>
        <w:t xml:space="preserve">rectangle "  **TCI**\n  Năng lực Công nghệ nội tại\n  ISO · R&amp;D · Đổi mới · Tech NN\n  → Level-shifter **[H2]**  " as TCI #FEF9E7</w:t>
      </w:r>
      <w:r>
        <w:br/>
      </w:r>
      <w:r>
        <w:br/>
      </w:r>
      <w:r>
        <w:rPr>
          <w:rStyle w:val="VerbatimChar"/>
        </w:rPr>
        <w:t xml:space="preserve">rectangle "  **DAI** — CDCM\n  Áp dụng Số Nền tảng\n  Website (c22b) · E-payment (k33/k38)\n  → Conditional scaling **[H3]**  " as DAI #FEF9E7</w:t>
      </w:r>
      <w:r>
        <w:br/>
      </w:r>
      <w:r>
        <w:br/>
      </w:r>
      <w:r>
        <w:rPr>
          <w:rStyle w:val="VerbatimChar"/>
        </w:rPr>
        <w:t xml:space="preserve">rectangle "  **Nhà quản trị**\n  Kinh nghiệm (b5) · Học vấn (b7a)\n  Giới tính (b7)\n  → Upper Echelons **[H4]**  " as MGR #FEF9E7</w:t>
      </w:r>
      <w:r>
        <w:br/>
      </w:r>
      <w:r>
        <w:br/>
      </w:r>
      <w:r>
        <w:rPr>
          <w:rStyle w:val="VerbatimChar"/>
        </w:rPr>
        <w:t xml:space="preserve">' ── Điều tiết cấp quốc gia ──────────────────────────────</w:t>
      </w:r>
      <w:r>
        <w:br/>
      </w:r>
      <w:r>
        <w:rPr>
          <w:rStyle w:val="VerbatimChar"/>
        </w:rPr>
        <w:t xml:space="preserve">rectangle "  **ICRV Regime** (6 nhóm)\n  Nhóm I → Nhóm VI\n  5+5+6+7+17+7 = 47 nền kinh tế\n  Gradient TP + Forced penalty **[H5]**  " as ICRV #FAD7A0</w:t>
      </w:r>
      <w:r>
        <w:br/>
      </w:r>
      <w:r>
        <w:br/>
      </w:r>
      <w:r>
        <w:rPr>
          <w:rStyle w:val="VerbatimChar"/>
        </w:rPr>
        <w:t xml:space="preserve">rectangle "  **Year-bucket**\n  2009–2012 · 2013–2017 · 2018–2025\n  Temporal heterogeneity **[H6]**  " as YB #D5DBDB</w:t>
      </w:r>
      <w:r>
        <w:br/>
      </w:r>
      <w:r>
        <w:br/>
      </w:r>
      <w:r>
        <w:rPr>
          <w:rStyle w:val="VerbatimChar"/>
        </w:rPr>
        <w:t xml:space="preserve">' ── Biến kiểm soát ──────────────────────────────────────</w:t>
      </w:r>
      <w:r>
        <w:br/>
      </w:r>
      <w:r>
        <w:rPr>
          <w:rStyle w:val="VerbatimChar"/>
        </w:rPr>
        <w:t xml:space="preserve">rectangle "  **Controls**\n  ln(emp) · age · foreign_own\n  sector · Country FE · Year FE  " as CTRL #F0F0F0</w:t>
      </w:r>
      <w:r>
        <w:br/>
      </w:r>
      <w:r>
        <w:br/>
      </w:r>
      <w:r>
        <w:rPr>
          <w:rStyle w:val="VerbatimChar"/>
        </w:rPr>
        <w:t xml:space="preserve">' ── Quan hệ chính: H1 ───────────────────────────────────</w:t>
      </w:r>
      <w:r>
        <w:br/>
      </w:r>
      <w:r>
        <w:rPr>
          <w:rStyle w:val="VerbatimChar"/>
        </w:rPr>
        <w:t xml:space="preserve">IV -right-&gt; DV : "  **H1**: β₁&gt;0; β₂&lt;0\n  inverted-U / S-curve\n  TP gradient I→VI  "</w:t>
      </w:r>
      <w:r>
        <w:br/>
      </w:r>
      <w:r>
        <w:br/>
      </w:r>
      <w:r>
        <w:rPr>
          <w:rStyle w:val="VerbatimChar"/>
        </w:rPr>
        <w:t xml:space="preserve">' ── Điều tiết firm-level (nét đứt vàng) ────────────────</w:t>
      </w:r>
      <w:r>
        <w:br/>
      </w:r>
      <w:r>
        <w:rPr>
          <w:rStyle w:val="VerbatimChar"/>
        </w:rPr>
        <w:t xml:space="preserve">TCI -[dashed,#7D6608]down-&gt; DV : " H2 "</w:t>
      </w:r>
      <w:r>
        <w:br/>
      </w:r>
      <w:r>
        <w:rPr>
          <w:rStyle w:val="VerbatimChar"/>
        </w:rPr>
        <w:t xml:space="preserve">DAI -[dashed,#7D6608]down-&gt; DV : " H3 "</w:t>
      </w:r>
      <w:r>
        <w:br/>
      </w:r>
      <w:r>
        <w:rPr>
          <w:rStyle w:val="VerbatimChar"/>
        </w:rPr>
        <w:t xml:space="preserve">MGR -[dashed,#7D6608]down-&gt; DV : " H4 "</w:t>
      </w:r>
      <w:r>
        <w:br/>
      </w:r>
      <w:r>
        <w:br/>
      </w:r>
      <w:r>
        <w:rPr>
          <w:rStyle w:val="VerbatimChar"/>
        </w:rPr>
        <w:t xml:space="preserve">' ── Điều tiết country-level (nét đứt đỏ) ───────────────</w:t>
      </w:r>
      <w:r>
        <w:br/>
      </w:r>
      <w:r>
        <w:rPr>
          <w:rStyle w:val="VerbatimChar"/>
        </w:rPr>
        <w:t xml:space="preserve">ICRV -[dashed,#922B21]up-&gt; DV : " H5 "</w:t>
      </w:r>
      <w:r>
        <w:br/>
      </w:r>
      <w:r>
        <w:rPr>
          <w:rStyle w:val="VerbatimChar"/>
        </w:rPr>
        <w:t xml:space="preserve">YB   -[dashed,#922B21]up-&gt; DV : " H6 "</w:t>
      </w:r>
      <w:r>
        <w:br/>
      </w:r>
      <w:r>
        <w:br/>
      </w:r>
      <w:r>
        <w:rPr>
          <w:rStyle w:val="VerbatimChar"/>
        </w:rPr>
        <w:t xml:space="preserve">CTRL -[dotted,#A0A0A0]right-&gt; DV : " kiểm soát "</w:t>
      </w:r>
      <w:r>
        <w:br/>
      </w:r>
      <w:r>
        <w:br/>
      </w:r>
      <w:r>
        <w:rPr>
          <w:rStyle w:val="VerbatimChar"/>
        </w:rPr>
        <w:t xml:space="preserve">note top of TCI</w:t>
      </w:r>
      <w:r>
        <w:br/>
      </w:r>
      <w:r>
        <w:rPr>
          <w:rStyle w:val="VerbatimChar"/>
        </w:rPr>
        <w:t xml:space="preserve">  **CẤP DOANH NGHIỆP — Firm-level moderators**</w:t>
      </w:r>
      <w:r>
        <w:br/>
      </w:r>
      <w:r>
        <w:rPr>
          <w:rStyle w:val="VerbatimChar"/>
        </w:rPr>
        <w:t xml:space="preserve">end note</w:t>
      </w:r>
      <w:r>
        <w:br/>
      </w:r>
      <w:r>
        <w:br/>
      </w:r>
      <w:r>
        <w:rPr>
          <w:rStyle w:val="VerbatimChar"/>
        </w:rPr>
        <w:t xml:space="preserve">note bottom of ICRV</w:t>
      </w:r>
      <w:r>
        <w:br/>
      </w:r>
      <w:r>
        <w:rPr>
          <w:rStyle w:val="VerbatimChar"/>
        </w:rPr>
        <w:t xml:space="preserve">  **CẤP QUỐC GIA — Country-level moderators**</w:t>
      </w:r>
      <w:r>
        <w:br/>
      </w:r>
      <w:r>
        <w:rPr>
          <w:rStyle w:val="VerbatimChar"/>
        </w:rPr>
        <w:t xml:space="preserve">end note</w:t>
      </w:r>
      <w:r>
        <w:br/>
      </w:r>
      <w:r>
        <w:br/>
      </w:r>
      <w:r>
        <w:rPr>
          <w:rStyle w:val="VerbatimChar"/>
        </w:rPr>
        <w:t xml:space="preserve">note right of DAI</w:t>
      </w:r>
      <w:r>
        <w:br/>
      </w:r>
      <w:r>
        <w:rPr>
          <w:rStyle w:val="VerbatimChar"/>
        </w:rPr>
        <w:t xml:space="preserve">  **CDCM**: DAI = f(ICRV × FSTS × Digital saturation)</w:t>
      </w:r>
      <w:r>
        <w:br/>
      </w:r>
      <w:r>
        <w:rPr>
          <w:rStyle w:val="VerbatimChar"/>
        </w:rPr>
        <w:t xml:space="preserve">  P4 SG: FSTS²×DAI = +3.119 (p=.005)</w:t>
      </w:r>
      <w:r>
        <w:br/>
      </w:r>
      <w:r>
        <w:rPr>
          <w:rStyle w:val="VerbatimChar"/>
        </w:rPr>
        <w:t xml:space="preserve">  P3 VN: IV null β = 0.018 (p=.942)</w:t>
      </w:r>
      <w:r>
        <w:br/>
      </w:r>
      <w:r>
        <w:rPr>
          <w:rStyle w:val="VerbatimChar"/>
        </w:rPr>
        <w:t xml:space="preserve">  P5 CN: control only (Tier 1 bão hòa)</w:t>
      </w:r>
      <w:r>
        <w:br/>
      </w:r>
      <w:r>
        <w:rPr>
          <w:rStyle w:val="VerbatimChar"/>
        </w:rPr>
        <w:t xml:space="preserve">end note</w:t>
      </w:r>
      <w:r>
        <w:br/>
      </w:r>
      <w:r>
        <w:br/>
      </w:r>
      <w:r>
        <w:rPr>
          <w:rStyle w:val="VerbatimChar"/>
        </w:rPr>
        <w:t xml:space="preserve">legend right</w:t>
      </w:r>
      <w:r>
        <w:br/>
      </w:r>
      <w:r>
        <w:rPr>
          <w:rStyle w:val="VerbatimChar"/>
        </w:rPr>
        <w:t xml:space="preserve">  |= Ký hiệu |= Ý nghĩa |</w:t>
      </w:r>
      <w:r>
        <w:br/>
      </w:r>
      <w:r>
        <w:rPr>
          <w:rStyle w:val="VerbatimChar"/>
        </w:rPr>
        <w:t xml:space="preserve">  | →  (liền) | Tác động trực tiếp H1 |</w:t>
      </w:r>
      <w:r>
        <w:br/>
      </w:r>
      <w:r>
        <w:rPr>
          <w:rStyle w:val="VerbatimChar"/>
        </w:rPr>
        <w:t xml:space="preserve">  | -[vàng]-&gt; | Điều tiết cấp DN H2–H4 |</w:t>
      </w:r>
      <w:r>
        <w:br/>
      </w:r>
      <w:r>
        <w:rPr>
          <w:rStyle w:val="VerbatimChar"/>
        </w:rPr>
        <w:t xml:space="preserve">  | -[đỏ]-&gt;   | Điều tiết cấp QG H5–H6 |</w:t>
      </w:r>
      <w:r>
        <w:br/>
      </w:r>
      <w:r>
        <w:rPr>
          <w:rStyle w:val="VerbatimChar"/>
        </w:rPr>
        <w:t xml:space="preserve">  | ..&gt;        | Biến kiểm soát |</w:t>
      </w:r>
      <w:r>
        <w:br/>
      </w:r>
      <w:r>
        <w:rPr>
          <w:rStyle w:val="VerbatimChar"/>
        </w:rPr>
        <w:t xml:space="preserve">endlegend</w:t>
      </w:r>
      <w:r>
        <w:br/>
      </w:r>
      <w:r>
        <w:br/>
      </w:r>
      <w:r>
        <w:rPr>
          <w:rStyle w:val="VerbatimChar"/>
        </w:rPr>
        <w:t xml:space="preserve">@enduml</w:t>
      </w:r>
    </w:p>
    <w:p>
      <w:pPr>
        <w:pStyle w:val="FirstParagraph"/>
      </w:pPr>
      <w:r>
        <w:rPr>
          <w:iCs/>
          <w:i/>
        </w:rPr>
        <w:t xml:space="preserve">Hình 4.1</w:t>
      </w:r>
      <w:r>
        <w:t xml:space="preserve">. Khung khái niệm tích hợp CĐ2. Mũi tên liền = tác động trực tiếp (H1); mũi tên nét đứt vàng = điều tiết cấp doanh nghiệp (H2–H4); mũi tên nét đứt đỏ = điều tiết cấp quốc gia (H5–H6); chấm = biến kiểm soát. CDCM = Context-Contingent Digital Capability Model (phát hiện từ CĐ1, formalized trong §2.5 và H3). File nguồn PlantUML đầy đủ (kèm ghi chú chi tiết):</w:t>
      </w:r>
      <w:r>
        <w:t xml:space="preserve"> </w:t>
      </w:r>
      <w:r>
        <w:rPr>
          <w:rStyle w:val="VerbatimChar"/>
        </w:rPr>
        <w:t xml:space="preserve">thesis/figures/cd2_fig41_conceptual_model.puml</w:t>
      </w:r>
      <w:r>
        <w:t xml:space="preserve">.</w:t>
      </w:r>
    </w:p>
    <w:bookmarkEnd w:id="49"/>
    <w:bookmarkStart w:id="50" w:name="X4bf06c1adff30f43e172a6949493928c15e2b58"/>
    <w:p>
      <w:pPr>
        <w:pStyle w:val="Heading3"/>
      </w:pPr>
      <w:r>
        <w:t xml:space="preserve">4.2 Mapping biến — Khái niệm → Đo lường WBES → Kỳ vọng</w:t>
      </w:r>
    </w:p>
    <w:p>
      <w:pPr>
        <w:pStyle w:val="FirstParagraph"/>
      </w:pPr>
      <w:r>
        <w:rPr>
          <w:bCs/>
          <w:b/>
        </w:rPr>
        <w:t xml:space="preserve">Bảng 4.1</w:t>
      </w:r>
      <w:r>
        <w:t xml:space="preserve">.</w:t>
      </w:r>
      <w:r>
        <w:t xml:space="preserve"> </w:t>
      </w:r>
      <w:r>
        <w:rPr>
          <w:iCs/>
          <w:i/>
        </w:rPr>
        <w:t xml:space="preserve">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Labour productivity</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DV</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β₁&gt;0 (ngưỡng thấp)</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(FSTS)²</w:t>
            </w:r>
          </w:p>
        </w:tc>
        <w:tc>
          <w:tcPr/>
          <w:p>
            <w:pPr>
              <w:pStyle w:val="Compact"/>
              <w:jc w:val="left"/>
            </w:pPr>
            <w:r>
              <w:t xml:space="preserve">β₂&lt;0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(FSTS)³</w:t>
            </w:r>
          </w:p>
        </w:tc>
        <w:tc>
          <w:tcPr/>
          <w:p>
            <w:pPr>
              <w:pStyle w:val="Compact"/>
              <w:jc w:val="left"/>
            </w:pPr>
            <w:r>
              <w:t xml:space="preserve">β₃&gt;0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β&gt;0 (direct)</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Context-specific</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TCI moderation</w:t>
            </w:r>
          </w:p>
        </w:tc>
        <w:tc>
          <w:tcPr/>
          <w:p>
            <w:pPr>
              <w:pStyle w:val="Compact"/>
              <w:jc w:val="left"/>
            </w:pPr>
            <w:r>
              <w:t xml:space="preserve">—</w:t>
            </w:r>
          </w:p>
        </w:tc>
        <w:tc>
          <w:tcPr/>
          <w:p>
            <w:pPr>
              <w:pStyle w:val="Compact"/>
              <w:jc w:val="left"/>
            </w:pPr>
            <w:r>
              <w:t xml:space="preserve">interaction</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contingent</w:t>
            </w:r>
          </w:p>
        </w:tc>
        <w:tc>
          <w:tcPr/>
          <w:p>
            <w:pPr>
              <w:pStyle w:val="Compact"/>
              <w:jc w:val="left"/>
            </w:pPr>
            <w:r>
              <w:t xml:space="preserve">—</w:t>
            </w:r>
          </w:p>
        </w:tc>
        <w:tc>
          <w:tcPr/>
          <w:p>
            <w:pPr>
              <w:pStyle w:val="Compact"/>
              <w:jc w:val="left"/>
            </w:pPr>
            <w:r>
              <w:t xml:space="preserve">interaction</w:t>
            </w:r>
          </w:p>
        </w:tc>
        <w:tc>
          <w:tcPr/>
          <w:p>
            <w:pPr>
              <w:pStyle w:val="Compact"/>
              <w:jc w:val="left"/>
            </w:pPr>
            <w:r>
              <w:t xml:space="preserve">β&gt;0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β&gt;0 (H4)</w:t>
            </w:r>
          </w:p>
        </w:tc>
        <w:tc>
          <w:tcPr/>
          <w:p>
            <w:pPr>
              <w:pStyle w:val="Compact"/>
              <w:jc w:val="left"/>
            </w:pPr>
            <w:r>
              <w:t xml:space="preserve">H4</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w:t>
            </w:r>
          </w:p>
        </w:tc>
        <w:tc>
          <w:tcPr/>
          <w:p>
            <w:pPr>
              <w:pStyle w:val="Compact"/>
              <w:jc w:val="left"/>
            </w:pPr>
            <w:r>
              <w:t xml:space="preserve">H4</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ordinal</w:t>
            </w:r>
          </w:p>
        </w:tc>
        <w:tc>
          <w:tcPr/>
          <w:p>
            <w:pPr>
              <w:pStyle w:val="Compact"/>
              <w:jc w:val="left"/>
            </w:pPr>
            <w:r>
              <w:t xml:space="preserve">β&gt;0</w:t>
            </w:r>
          </w:p>
        </w:tc>
        <w:tc>
          <w:tcPr/>
          <w:p>
            <w:pPr>
              <w:pStyle w:val="Compact"/>
              <w:jc w:val="left"/>
            </w:pPr>
            <w:r>
              <w:t xml:space="preserve">H4</w:t>
            </w:r>
          </w:p>
        </w:tc>
      </w:tr>
      <w:tr>
        <w:tc>
          <w:tcPr/>
          <w:p>
            <w:pPr>
              <w:pStyle w:val="Compact"/>
              <w:jc w:val="left"/>
            </w:pPr>
            <w:r>
              <w:t xml:space="preserve">ICRV_j</w:t>
            </w:r>
          </w:p>
        </w:tc>
        <w:tc>
          <w:tcPr/>
          <w:p>
            <w:pPr>
              <w:pStyle w:val="Compact"/>
              <w:jc w:val="left"/>
            </w:pPr>
            <w:r>
              <w:t xml:space="preserve">Regime thể chế</w:t>
            </w:r>
          </w:p>
        </w:tc>
        <w:tc>
          <w:tcPr/>
          <w:p>
            <w:pPr>
              <w:pStyle w:val="Compact"/>
              <w:jc w:val="left"/>
            </w:pPr>
            <w:r>
              <w:t xml:space="preserve">—</w:t>
            </w:r>
          </w:p>
        </w:tc>
        <w:tc>
          <w:tcPr/>
          <w:p>
            <w:pPr>
              <w:pStyle w:val="Compact"/>
              <w:jc w:val="left"/>
            </w:pPr>
            <w:r>
              <w:t xml:space="preserve">j=I→VI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shift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DN</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β&gt;0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DN</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ambiguous</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β&gt;0</w:t>
            </w:r>
          </w:p>
        </w:tc>
        <w:tc>
          <w:tcPr/>
          <w:p>
            <w:pPr>
              <w:pStyle w:val="Compact"/>
              <w:jc w:val="left"/>
            </w:pPr>
            <w:r>
              <w:t xml:space="preserve">Kiểm soát</w:t>
            </w:r>
          </w:p>
        </w:tc>
      </w:tr>
    </w:tbl>
    <w:p>
      <w:pPr>
        <w:pStyle w:val="BodyText"/>
      </w:pPr>
      <w:r>
        <w:rPr>
          <w:bCs/>
          <w:b/>
        </w:rPr>
        <w:t xml:space="preserve">Ghi chú đo lường</w:t>
      </w:r>
      <w:r>
        <w:t xml:space="preserve">:</w:t>
      </w:r>
      <w:r>
        <w:t xml:space="preserve"> </w:t>
      </w:r>
      <w:r>
        <w:t xml:space="preserve">-</w:t>
      </w:r>
      <w:r>
        <w:t xml:space="preserve"> </w:t>
      </w:r>
      <w:r>
        <w:rPr>
          <w:bCs/>
          <w:b/>
        </w:rPr>
        <w:t xml:space="preserve">TCI</w:t>
      </w:r>
      <w:r>
        <w:t xml:space="preserve">: binary composite từ: ISO certification (b8=1), R&amp;D activity (h8=1), product innovation (h1=1), foreign licensed technology (e6=1). Yêu cầu ≥3/4 items non-missing; z-standardized trong mỗi wave. Items nhất quán qua ba thế hệ schema WBES (PICS3, Standardized, BREADY/BEE).</w:t>
      </w:r>
      <w:r>
        <w:t xml:space="preserve"> </w:t>
      </w:r>
      <w:r>
        <w:t xml:space="preserve">-</w:t>
      </w:r>
      <w:r>
        <w:t xml:space="preserve"> </w:t>
      </w:r>
      <w:r>
        <w:rPr>
          <w:bCs/>
          <w:b/>
        </w:rPr>
        <w:t xml:space="preserve">DAI</w:t>
      </w:r>
      <w:r>
        <w:t xml:space="preserve">: z-standardized composite. Schema BREADY/BEE (2019+): website (c22b) + customer e-payment intensity (k33) + supplier e-payment intensity (k38) = Tier 1+2. Schema cũ hơn (PICS3, Standardized): chỉ website (c22b) = Tier 1. Sự bất nhất này phải minh bạch trong §7.2 và kiểm định robustness (R1: DAI website-only xuyên toàn bộ sample).</w:t>
      </w:r>
      <w:r>
        <w:t xml:space="preserve"> </w:t>
      </w:r>
      <w:r>
        <w:t xml:space="preserve">-</w:t>
      </w:r>
      <w:r>
        <w:t xml:space="preserve"> </w:t>
      </w:r>
      <w:r>
        <w:rPr>
          <w:bCs/>
          <w:b/>
        </w:rPr>
        <w:t xml:space="preserve">FSTS</w:t>
      </w:r>
      <w:r>
        <w:t xml:space="preserve">: mean-centered trước khi tính FSTS² để giảm đa cộng tuyến giữa FSTS và FSTS².</w:t>
      </w:r>
    </w:p>
    <w:p>
      <w:pPr>
        <w:pStyle w:val="BodyText"/>
      </w:pPr>
      <w:r>
        <w:rPr>
          <w:bCs/>
          <w:b/>
        </w:rPr>
        <w:t xml:space="preserve">Chiến lược xử lý missing data và schema heterogeneity</w:t>
      </w:r>
      <w:r>
        <w:t xml:space="preserve">: Pool 101.185 doanh nghiệp từ 14 sóng WBES sử dụng ba thế hệ schema (PICS3 2006–2010, Standardized 2010–2018, BREADY/BEE 2019+). Sự bất nhất schema tạo ra hai vấn đề:</w:t>
      </w:r>
    </w:p>
    <w:p>
      <w:pPr>
        <w:pStyle w:val="BodyText"/>
      </w:pPr>
      <w:r>
        <w:rPr>
          <w:iCs/>
          <w:i/>
        </w:rPr>
        <w:t xml:space="preserve">Vấn đề 1 — DAI Tier 1+2 chỉ có ở BREADY/BEE</w:t>
      </w:r>
      <w:r>
        <w:t xml:space="preserve">: Giải pháp: sử dụng DAI_Tier1 (website only,</w:t>
      </w:r>
      <w:r>
        <w:t xml:space="preserve"> </w:t>
      </w:r>
      <w:r>
        <w:rPr>
          <w:rStyle w:val="VerbatimChar"/>
        </w:rPr>
        <w:t xml:space="preserve">c22b</w:t>
      </w:r>
      <w:r>
        <w:t xml:space="preserve">) cho toàn bộ pool; DAI_Tier2 (</w:t>
      </w:r>
      <w:r>
        <w:rPr>
          <w:rStyle w:val="VerbatimChar"/>
        </w:rPr>
        <w:t xml:space="preserve">k33+k38</w:t>
      </w:r>
      <w:r>
        <w:t xml:space="preserve">) chỉ available cho subset BREADY/BEE. M4 primary dùng DAI_Tier1; robustness R2 dùng DAI_Tier1+2 cho BREADY/BEE sub-sample. Nếu kết quả nhất quán giữa DAI_Tier1 và DAI_Tier1+2 → DAI effect không phụ thuộc vào schema.</w:t>
      </w:r>
    </w:p>
    <w:p>
      <w:pPr>
        <w:pStyle w:val="BodyText"/>
      </w:pPr>
      <w:r>
        <w:rPr>
          <w:iCs/>
          <w:i/>
        </w:rPr>
        <w:t xml:space="preserve">Vấn đề 2 — TCI items thay đổi nhỏ giữa schemas</w:t>
      </w:r>
      <w:r>
        <w:t xml:space="preserve">: Item</w:t>
      </w:r>
      <w:r>
        <w:t xml:space="preserve"> </w:t>
      </w:r>
      <w:r>
        <w:rPr>
          <w:rStyle w:val="VerbatimChar"/>
        </w:rPr>
        <w:t xml:space="preserve">h1</w:t>
      </w:r>
      <w:r>
        <w:t xml:space="preserve"> </w:t>
      </w:r>
      <w:r>
        <w:t xml:space="preserve">(product innovation) không available ở một số sóng PICS3. Giải pháp: TCI_3item (b8+h8+e6, không có h1) cho PICS3; TCI_4item (b8+h8+h1+e6) cho Standardized và BREADY/BEE. Robustness R3: kiểm định với TCI_3item xuyên toàn bộ sample để đảm bảo comparability.</w:t>
      </w:r>
    </w:p>
    <w:p>
      <w:pPr>
        <w:pStyle w:val="BodyText"/>
      </w:pPr>
      <w:r>
        <w:rPr>
          <w:iCs/>
          <w:i/>
        </w:rPr>
        <w:t xml:space="preserve">Vấn đề 3 — Listwise deletion vs imputation</w:t>
      </w:r>
      <w:r>
        <w:t xml:space="preserve">: Biến phụ thuộc</w:t>
      </w:r>
      <w:r>
        <w:t xml:space="preserve"> </w:t>
      </w:r>
      <w:r>
        <w:rPr>
          <w:rStyle w:val="VerbatimChar"/>
        </w:rPr>
        <w:t xml:space="preserve">ln(LP)</w:t>
      </w:r>
      <w:r>
        <w:t xml:space="preserve"> </w:t>
      </w:r>
      <w:r>
        <w:t xml:space="preserve">yêu cầu cả d2 (doanh thu) và l1 (số lao động) non-missing và dương. Biến</w:t>
      </w:r>
      <w:r>
        <w:t xml:space="preserve"> </w:t>
      </w:r>
      <w:r>
        <w:rPr>
          <w:rStyle w:val="VerbatimChar"/>
        </w:rPr>
        <w:t xml:space="preserve">FSTS</w:t>
      </w:r>
      <w:r>
        <w:t xml:space="preserve"> </w:t>
      </w:r>
      <w:r>
        <w:t xml:space="preserve">yêu cầu d3c non-missing và trong [0,100]. Approx 18–22% observations bị loại do missing trong d2 hoặc l1. Robustness R4: multiple imputation (m=20, chained equations) cho dữ liệu MCAR/MAR để kiểm tra xem missing không correlated với unobservables.</w:t>
      </w:r>
    </w:p>
    <w:p>
      <w:pPr>
        <w:pStyle w:val="BodyText"/>
      </w:pPr>
      <w:r>
        <w:rPr>
          <w:bCs/>
          <w:b/>
        </w:rPr>
        <w:t xml:space="preserve">Chuẩn hóa biến kiểm soát</w:t>
      </w:r>
      <w:r>
        <w:t xml:space="preserve">:</w:t>
      </w:r>
      <w:r>
        <w:t xml:space="preserve"> </w:t>
      </w:r>
      <w:r>
        <w:rPr>
          <w:rStyle w:val="VerbatimChar"/>
        </w:rPr>
        <w:t xml:space="preserve">ln(employees)</w:t>
      </w:r>
      <w:r>
        <w:t xml:space="preserve"> </w:t>
      </w:r>
      <w:r>
        <w:t xml:space="preserve">= ln(l1+1) (cộng 1 để tránh ln(0) cho firms báo cáo 0 lao động, dù hiếm);</w:t>
      </w:r>
      <w:r>
        <w:t xml:space="preserve"> </w:t>
      </w:r>
      <w:r>
        <w:rPr>
          <w:rStyle w:val="VerbatimChar"/>
        </w:rPr>
        <w:t xml:space="preserve">firm_age</w:t>
      </w:r>
      <w:r>
        <w:t xml:space="preserve"> </w:t>
      </w:r>
      <w:r>
        <w:t xml:space="preserve">= năm khảo sát − năm thành lập (b6);</w:t>
      </w:r>
      <w:r>
        <w:t xml:space="preserve"> </w:t>
      </w:r>
      <w:r>
        <w:rPr>
          <w:rStyle w:val="VerbatimChar"/>
        </w:rPr>
        <w:t xml:space="preserve">foreign_own</w:t>
      </w:r>
      <w:r>
        <w:t xml:space="preserve"> </w:t>
      </w:r>
      <w:r>
        <w:t xml:space="preserve">= 1 nếu b2b ≥ 10% (ngưỡng tiêu chuẩn IB literature cho</w:t>
      </w:r>
      <w:r>
        <w:t xml:space="preserve"> </w:t>
      </w:r>
      <w:r>
        <w:t xml:space="preserve">“</w:t>
      </w:r>
      <w:r>
        <w:t xml:space="preserve">meaningful foreign ownership</w:t>
      </w:r>
      <w:r>
        <w:t xml:space="preserve">”</w:t>
      </w:r>
      <w:r>
        <w:t xml:space="preserve">). Tất cả continuous moderators được z-standardized trong mỗi country-wave cell trước khi tính interactions để giảm multicollinearity.</w:t>
      </w:r>
    </w:p>
    <w:bookmarkEnd w:id="50"/>
    <w:bookmarkStart w:id="51" w:name="X1837f1a07d91941e407f59893b42bb608e0810c"/>
    <w:p>
      <w:pPr>
        <w:pStyle w:val="Heading3"/>
      </w:pPr>
      <w:r>
        <w:t xml:space="preserve">4.2b Tiêu chí lựa chọn mô hình và chiến lược nhận dạng nhân quả</w:t>
      </w:r>
    </w:p>
    <w:p>
      <w:pPr>
        <w:pStyle w:val="FirstParagraph"/>
      </w:pPr>
      <w:r>
        <w:rPr>
          <w:bCs/>
          <w:b/>
        </w:rPr>
        <w:t xml:space="preserve">Tiêu chí lựa chọn mô hình (model selection criteria)</w:t>
      </w:r>
      <w:r>
        <w:t xml:space="preserve">: Hệ mô hình M0–M7 được đánh giá qua bốn tiêu chí:</w:t>
      </w:r>
    </w:p>
    <w:tbl>
      <w:tblPr>
        <w:tblStyle w:val="Table"/>
        <w:tblW w:type="pct" w:w="5000"/>
        <w:tblLook w:firstRow="1" w:lastRow="0" w:firstColumn="0" w:lastColumn="0" w:noHBand="0" w:noVBand="0" w:val="0020"/>
        <w:jc w:val="start"/>
      </w:tblPr>
      <w:tblGrid>
        <w:gridCol w:w="2200"/>
        <w:gridCol w:w="1540"/>
        <w:gridCol w:w="4180"/>
      </w:tblGrid>
      <w:tr>
        <w:trPr>
          <w:tblHeader w:val="true"/>
        </w:trPr>
        <w:tc>
          <w:tcPr/>
          <w:p>
            <w:pPr>
              <w:pStyle w:val="Compact"/>
              <w:jc w:val="left"/>
            </w:pPr>
            <w:r>
              <w:t xml:space="preserve">Tiêu chí</w:t>
            </w:r>
          </w:p>
        </w:tc>
        <w:tc>
          <w:tcPr/>
          <w:p>
            <w:pPr>
              <w:pStyle w:val="Compact"/>
              <w:jc w:val="left"/>
            </w:pPr>
            <w:r>
              <w:t xml:space="preserve">Mô tả</w:t>
            </w:r>
          </w:p>
        </w:tc>
        <w:tc>
          <w:tcPr/>
          <w:p>
            <w:pPr>
              <w:pStyle w:val="Compact"/>
              <w:jc w:val="left"/>
            </w:pPr>
            <w:r>
              <w:t xml:space="preserve">Công thức / Ngưỡng</w:t>
            </w:r>
          </w:p>
        </w:tc>
      </w:tr>
      <w:tr>
        <w:tc>
          <w:tcPr/>
          <w:p>
            <w:pPr>
              <w:pStyle w:val="Compact"/>
              <w:jc w:val="left"/>
            </w:pPr>
            <w:r>
              <w:t xml:space="preserve">Adjusted R²</w:t>
            </w:r>
          </w:p>
        </w:tc>
        <w:tc>
          <w:tcPr/>
          <w:p>
            <w:pPr>
              <w:pStyle w:val="Compact"/>
              <w:jc w:val="left"/>
            </w:pPr>
            <w:r>
              <w:t xml:space="preserve">Phần trăm phương sai giải thích, hiệu chỉnh theo số tham số</w:t>
            </w:r>
          </w:p>
        </w:tc>
        <w:tc>
          <w:tcPr/>
          <w:p>
            <w:pPr>
              <w:pStyle w:val="Compact"/>
              <w:jc w:val="left"/>
            </w:pPr>
            <w:r>
              <w:t xml:space="preserve">ΔR² &gt; 0.01 để thêm moderator</w:t>
            </w:r>
          </w:p>
        </w:tc>
      </w:tr>
      <w:tr>
        <w:tc>
          <w:tcPr/>
          <w:p>
            <w:pPr>
              <w:pStyle w:val="Compact"/>
              <w:jc w:val="left"/>
            </w:pPr>
            <w:r>
              <w:t xml:space="preserve">AIC (Akaike)</w:t>
            </w:r>
          </w:p>
        </w:tc>
        <w:tc>
          <w:tcPr/>
          <w:p>
            <w:pPr>
              <w:pStyle w:val="Compact"/>
              <w:jc w:val="left"/>
            </w:pPr>
            <w:r>
              <w:t xml:space="preserve">Penalizes model complexity, thưởng parsimony</w:t>
            </w:r>
          </w:p>
        </w:tc>
        <w:tc>
          <w:tcPr/>
          <w:p>
            <w:pPr>
              <w:pStyle w:val="Compact"/>
              <w:jc w:val="left"/>
            </w:pPr>
            <w:r>
              <w:t xml:space="preserve">ΔAIC &lt; −2 ủng hộ mô hình phức tạp hơn</w:t>
            </w:r>
          </w:p>
        </w:tc>
      </w:tr>
      <w:tr>
        <w:tc>
          <w:tcPr/>
          <w:p>
            <w:pPr>
              <w:pStyle w:val="Compact"/>
              <w:jc w:val="left"/>
            </w:pPr>
            <w:r>
              <w:t xml:space="preserve">BIC (Bayesian)</w:t>
            </w:r>
          </w:p>
        </w:tc>
        <w:tc>
          <w:tcPr/>
          <w:p>
            <w:pPr>
              <w:pStyle w:val="Compact"/>
              <w:jc w:val="left"/>
            </w:pPr>
            <w:r>
              <w:t xml:space="preserve">Penalizes mạnh hơn AIC theo ln(N)</w:t>
            </w:r>
          </w:p>
        </w:tc>
        <w:tc>
          <w:tcPr/>
          <w:p>
            <w:pPr>
              <w:pStyle w:val="Compact"/>
              <w:jc w:val="left"/>
            </w:pPr>
            <w:r>
              <w:t xml:space="preserve">ΔBIC &lt; −10 là bằng chứng mạnh</w:t>
            </w:r>
          </w:p>
        </w:tc>
      </w:tr>
      <w:tr>
        <w:tc>
          <w:tcPr/>
          <w:p>
            <w:pPr>
              <w:pStyle w:val="Compact"/>
              <w:jc w:val="left"/>
            </w:pPr>
            <w:r>
              <w:t xml:space="preserve">F-test (ΔF)</w:t>
            </w:r>
          </w:p>
        </w:tc>
        <w:tc>
          <w:tcPr/>
          <w:p>
            <w:pPr>
              <w:pStyle w:val="Compact"/>
              <w:jc w:val="left"/>
            </w:pPr>
            <w:r>
              <w:t xml:space="preserve">Kiểm định joint significance của biến thêm vào</w:t>
            </w:r>
          </w:p>
        </w:tc>
        <w:tc>
          <w:tcPr/>
          <w:p>
            <w:pPr>
              <w:pStyle w:val="Compact"/>
              <w:jc w:val="left"/>
            </w:pPr>
            <w:r>
              <w:t xml:space="preserve">p &lt; .05 để thêm block biến</w:t>
            </w:r>
          </w:p>
        </w:tc>
      </w:tr>
    </w:tbl>
    <w:p>
      <w:pPr>
        <w:pStyle w:val="BodyText"/>
      </w:pPr>
      <w:r>
        <w:t xml:space="preserve">Chiến lược lựa chọn: M7 (three-way capstone) sẽ được báo cáo nếu ΔAIC(M7 vs M4+M3 kết hợp) &lt; −2 VÀ F-test p &lt; .05. Nếu không, kết luận là</w:t>
      </w:r>
      <w:r>
        <w:t xml:space="preserve"> </w:t>
      </w:r>
      <w:r>
        <w:t xml:space="preserve">“</w:t>
      </w:r>
      <w:r>
        <w:t xml:space="preserve">no three-way synergy</w:t>
      </w:r>
      <w:r>
        <w:t xml:space="preserve">”</w:t>
      </w:r>
      <w:r>
        <w:t xml:space="preserve"> </w:t>
      </w:r>
      <w:r>
        <w:t xml:space="preserve">— TCI và DAI operate independently.</w:t>
      </w:r>
    </w:p>
    <w:p>
      <w:pPr>
        <w:pStyle w:val="BodyText"/>
      </w:pPr>
      <w:r>
        <w:rPr>
          <w:bCs/>
          <w:b/>
        </w:rPr>
        <w:t xml:space="preserve">Chiến lược nhận dạng nhân quả (causal identification strategy)</w:t>
      </w:r>
      <w:r>
        <w:t xml:space="preserve">: Ba vấn đề endogeneity chính trong I→P regression:</w:t>
      </w:r>
    </w:p>
    <w:p>
      <w:pPr>
        <w:pStyle w:val="BodyText"/>
      </w:pPr>
      <w:r>
        <w:rPr>
          <w:iCs/>
          <w:i/>
        </w:rPr>
        <w:t xml:space="preserve">Vấn đề 1 — Selection into exporting</w:t>
      </w:r>
      <w:r>
        <w:t xml:space="preserve">: Doanh nghiệp hiệu quả hơn có xu hướng trở thành exporters (Melitz, 2003 — self-selection). Giải pháp: OLS và FE estimates đều chịu bias này. IV strategy: instrument</w:t>
      </w:r>
      <w:r>
        <w:t xml:space="preserve"> </w:t>
      </w:r>
      <w:r>
        <w:rPr>
          <w:rStyle w:val="VerbatimChar"/>
        </w:rPr>
        <w:t xml:space="preserve">FSTS</w:t>
      </w:r>
      <w:r>
        <w:t xml:space="preserve"> </w:t>
      </w:r>
      <w:r>
        <w:t xml:space="preserve">bằng</w:t>
      </w:r>
      <w:r>
        <w:t xml:space="preserve"> </w:t>
      </w:r>
      <w:r>
        <w:rPr>
          <w:rStyle w:val="VerbatimChar"/>
        </w:rPr>
        <w:t xml:space="preserve">industry_avg_FSTS_ex_firm</w:t>
      </w:r>
      <w:r>
        <w:t xml:space="preserve"> </w:t>
      </w:r>
      <w:r>
        <w:t xml:space="preserve">(FSTS trung bình ngành loại trừ chính firm đó, trong cùng country-wave). Validity: firm’s FSTS correlated với industry norm (relevance); industry norm không ảnh hưởng LP của một firm cụ thể trực tiếp (exclusion). First-stage F phải &gt; 10 (weak instrument threshold, Stock &amp; Yogo, 2005).</w:t>
      </w:r>
    </w:p>
    <w:p>
      <w:pPr>
        <w:pStyle w:val="BodyText"/>
      </w:pPr>
      <w:r>
        <w:rPr>
          <w:iCs/>
          <w:i/>
        </w:rPr>
        <w:t xml:space="preserve">Vấn đề 2 — Reverse causality (P → I)</w:t>
      </w:r>
      <w:r>
        <w:t xml:space="preserve">: Doanh nghiệp hiệu quả hơn có thể invest more in technology (TCI) và digital (DAI). Giải pháp cho TCI: instrument bằng</w:t>
      </w:r>
      <w:r>
        <w:t xml:space="preserve"> </w:t>
      </w:r>
      <w:r>
        <w:rPr>
          <w:rStyle w:val="VerbatimChar"/>
        </w:rPr>
        <w:t xml:space="preserve">industry_avg_TCI_ex_firm</w:t>
      </w:r>
      <w:r>
        <w:t xml:space="preserve"> </w:t>
      </w:r>
      <w:r>
        <w:t xml:space="preserve">(P3 Việt Nam IV: first-stage F = 22.1). Giải pháp cho DAI: instrument bằng</w:t>
      </w:r>
      <w:r>
        <w:t xml:space="preserve"> </w:t>
      </w:r>
      <w:r>
        <w:rPr>
          <w:rStyle w:val="VerbatimChar"/>
        </w:rPr>
        <w:t xml:space="preserve">region_avg_broadband_penetration</w:t>
      </w:r>
      <w:r>
        <w:t xml:space="preserve"> </w:t>
      </w:r>
      <w:r>
        <w:t xml:space="preserve">×</w:t>
      </w:r>
      <w:r>
        <w:t xml:space="preserve"> </w:t>
      </w:r>
      <w:r>
        <w:rPr>
          <w:rStyle w:val="VerbatimChar"/>
        </w:rPr>
        <w:t xml:space="preserve">year</w:t>
      </w:r>
      <w:r>
        <w:t xml:space="preserve"> </w:t>
      </w:r>
      <w:r>
        <w:t xml:space="preserve">(Internet infrastructure là exogenous firm-level digital adoption). Validity: broadband penetration affects firms’ incentive to adopt digital tools nhưng không trực tiếp affect LP.</w:t>
      </w:r>
    </w:p>
    <w:p>
      <w:pPr>
        <w:pStyle w:val="BodyText"/>
      </w:pPr>
      <w:r>
        <w:rPr>
          <w:iCs/>
          <w:i/>
        </w:rPr>
        <w:t xml:space="preserve">Vấn đề 3 — Omitted variable bias</w:t>
      </w:r>
      <w:r>
        <w:t xml:space="preserve">: Unobserved firm-level capability (management quality beyond b5 measure, organizational culture) correlates với cả FSTS và LP. Giải pháp chính: Country FE + Year FE hấp thụ country-level và year-level unobservables. Firm FE không khả thi (WBES không phải panel — mỗi firm xuất hiện 1 lần trong hầu hết waves). Partial solution: industry dummies hấp thụ industry-level unobservables; multi-wave countries cho phép quasi-panel với province/city FE nếu available.</w:t>
      </w:r>
    </w:p>
    <w:bookmarkEnd w:id="51"/>
    <w:bookmarkStart w:id="52" w:name="giải-thích-cdcm-trong-khung-khái-niệm"/>
    <w:p>
      <w:pPr>
        <w:pStyle w:val="Heading3"/>
      </w:pPr>
      <w:r>
        <w:t xml:space="preserve">4.3 Giải thích CDCM trong khung khái niệm</w:t>
      </w:r>
    </w:p>
    <w:p>
      <w:pPr>
        <w:pStyle w:val="FirstParagraph"/>
      </w:pPr>
      <w:r>
        <w:t xml:space="preserve">CDCM — Context-Contingent Digital Capability Model — là phát hiện tích hợp của CĐ1 giải thích tại sao tác động DAI không đồng nhất (Hình 4.2):</w:t>
      </w:r>
    </w:p>
    <w:p>
      <w:pPr>
        <w:pStyle w:val="SourceCode"/>
      </w:pPr>
      <w:r>
        <w:rPr>
          <w:rStyle w:val="VerbatimChar"/>
        </w:rPr>
        <w:t xml:space="preserve">Tác động DAI lên P = f(Regime × FSTS level × Digital saturation)</w:t>
      </w:r>
      <w:r>
        <w:br/>
      </w:r>
      <w:r>
        <w:br/>
      </w:r>
      <w:r>
        <w:rPr>
          <w:rStyle w:val="VerbatimChar"/>
        </w:rPr>
        <w:t xml:space="preserve">Nhóm I (tiên tiến đổi mới, bão hòa số cao):</w:t>
      </w:r>
      <w:r>
        <w:br/>
      </w:r>
      <w:r>
        <w:rPr>
          <w:rStyle w:val="VerbatimChar"/>
        </w:rPr>
        <w:t xml:space="preserve">  → DAI chủ yếu là conditional scaling resource</w:t>
      </w:r>
      <w:r>
        <w:br/>
      </w:r>
      <w:r>
        <w:rPr>
          <w:rStyle w:val="VerbatimChar"/>
        </w:rPr>
        <w:t xml:space="preserve">  → Tác động xuất hiện ở FSTS cao (P4 Singapore: FSTS²×DAI = +3.119)</w:t>
      </w:r>
      <w:r>
        <w:br/>
      </w:r>
      <w:r>
        <w:rPr>
          <w:rStyle w:val="VerbatimChar"/>
        </w:rPr>
        <w:t xml:space="preserve">  → Không có uniform premium</w:t>
      </w:r>
      <w:r>
        <w:br/>
      </w:r>
      <w:r>
        <w:br/>
      </w:r>
      <w:r>
        <w:rPr>
          <w:rStyle w:val="VerbatimChar"/>
        </w:rPr>
        <w:t xml:space="preserve">Nhóm IV (đang nổi, bão hòa số trung bình):</w:t>
      </w:r>
      <w:r>
        <w:br/>
      </w:r>
      <w:r>
        <w:rPr>
          <w:rStyle w:val="VerbatimChar"/>
        </w:rPr>
        <w:t xml:space="preserve">  → DAI dương trong giai đoạn đầu số hóa (OLS)</w:t>
      </w:r>
      <w:r>
        <w:br/>
      </w:r>
      <w:r>
        <w:rPr>
          <w:rStyle w:val="VerbatimChar"/>
        </w:rPr>
        <w:t xml:space="preserve">  → Selection-driven: IV cho null (P3 Việt Nam: β = 0.018, p = .942)</w:t>
      </w:r>
      <w:r>
        <w:br/>
      </w:r>
      <w:r>
        <w:rPr>
          <w:rStyle w:val="VerbatimChar"/>
        </w:rPr>
        <w:t xml:space="preserve">  → Stage-contingent: dương 2009, null 2015, dương 2023</w:t>
      </w:r>
      <w:r>
        <w:br/>
      </w:r>
      <w:r>
        <w:br/>
      </w:r>
      <w:r>
        <w:rPr>
          <w:rStyle w:val="VerbatimChar"/>
        </w:rPr>
        <w:t xml:space="preserve">Nhóm III (trung bình cao, bão hòa số trung bình-cao):</w:t>
      </w:r>
      <w:r>
        <w:br/>
      </w:r>
      <w:r>
        <w:rPr>
          <w:rStyle w:val="VerbatimChar"/>
        </w:rPr>
        <w:t xml:space="preserve">  → DAI Tier 1 mất tác dụng phân biệt khi phổ biến &gt;60%</w:t>
      </w:r>
      <w:r>
        <w:br/>
      </w:r>
      <w:r>
        <w:rPr>
          <w:rStyle w:val="VerbatimChar"/>
        </w:rPr>
        <w:t xml:space="preserve">  → Giữ như control, không moderate curvature (P5 Trung Quốc)</w:t>
      </w:r>
    </w:p>
    <w:p>
      <w:pPr>
        <w:pStyle w:val="FirstParagraph"/>
      </w:pPr>
      <w:r>
        <w:t xml:space="preserve">CDCM cho thấy: một phát hiện</w:t>
      </w:r>
      <w:r>
        <w:t xml:space="preserve"> </w:t>
      </w:r>
      <w:r>
        <w:t xml:space="preserve">“</w:t>
      </w:r>
      <w:r>
        <w:t xml:space="preserve">DAI null</w:t>
      </w:r>
      <w:r>
        <w:t xml:space="preserve">”</w:t>
      </w:r>
      <w:r>
        <w:t xml:space="preserve"> </w:t>
      </w:r>
      <w:r>
        <w:t xml:space="preserve">và một phát hiện</w:t>
      </w:r>
      <w:r>
        <w:t xml:space="preserve"> </w:t>
      </w:r>
      <w:r>
        <w:t xml:space="preserve">“</w:t>
      </w:r>
      <w:r>
        <w:t xml:space="preserve">DAI positive</w:t>
      </w:r>
      <w:r>
        <w:t xml:space="preserve">”</w:t>
      </w:r>
      <w:r>
        <w:t xml:space="preserve"> </w:t>
      </w:r>
      <w:r>
        <w:t xml:space="preserve">có thể nhất quán với cùng một cơ chế — khác nhau ở điều kiện bối cảnh, không phải ở lý thuyết nền tảng.</w:t>
      </w:r>
    </w:p>
    <w:bookmarkEnd w:id="52"/>
    <w:bookmarkStart w:id="53" w:name="Xaba6da8859dbfc1ceea3d64de7f0f934dee579a"/>
    <w:p>
      <w:pPr>
        <w:pStyle w:val="Heading3"/>
      </w:pPr>
      <w:r>
        <w:t xml:space="preserve">4.4 Nền tảng lý thuyết cho ba tầng moderators trong khung khái niệm</w:t>
      </w:r>
    </w:p>
    <w:p>
      <w:pPr>
        <w:pStyle w:val="FirstParagraph"/>
      </w:pPr>
      <w:r>
        <w:t xml:space="preserve">Khung khái niệm CĐ2 tích hợp ba tầng moderators với nền tảng lý thuyết khác biệt nhau:</w:t>
      </w:r>
    </w:p>
    <w:p>
      <w:pPr>
        <w:pStyle w:val="BodyText"/>
      </w:pPr>
      <w:r>
        <w:rPr>
          <w:bCs/>
          <w:b/>
        </w:rPr>
        <w:t xml:space="preserve">Tầng 1 — Firm-level (H2–H4)</w:t>
      </w:r>
      <w:r>
        <w:t xml:space="preserve">: Dựa trên Resource-Based View (Barney, 1991; Penrose, 1959) và Upper Echelons Theory (Hambrick &amp; Mason, 1984). Các nguồn lực cấp doanh nghiệp — TCI, DAI, năng lực quản trị — là heterogeneous và immobile, tạo ra lợi thế cạnh tranh bền vững (TCI) hoặc contingent (DAI). Điểm khởi đầu của tầng này là câu hỏi:</w:t>
      </w:r>
      <w:r>
        <w:t xml:space="preserve"> </w:t>
      </w:r>
      <w:r>
        <w:rPr>
          <w:iCs/>
          <w:i/>
        </w:rPr>
        <w:t xml:space="preserve">với cùng mức FSTS và cùng thể chế quốc gia, tại sao doanh nghiệp A đạt hiệu quả cao hơn doanh nghiệp B?</w:t>
      </w:r>
      <w:r>
        <w:t xml:space="preserve"> </w:t>
      </w:r>
      <w:r>
        <w:t xml:space="preserve">— câu trả lời nằm ở heterogeneity nguồn lực nội tại.</w:t>
      </w:r>
    </w:p>
    <w:p>
      <w:pPr>
        <w:pStyle w:val="BodyText"/>
      </w:pPr>
      <w:r>
        <w:rPr>
          <w:bCs/>
          <w:b/>
        </w:rPr>
        <w:t xml:space="preserve">Tầng 2 — Country-level (H5)</w:t>
      </w:r>
      <w:r>
        <w:t xml:space="preserve">: Dựa trên Institutional Theory (North, 1990; Scott, 1995; Khanna &amp; Palepu, 2010). Thể chế tạo ra</w:t>
      </w:r>
      <w:r>
        <w:t xml:space="preserve"> </w:t>
      </w:r>
      <w:r>
        <w:t xml:space="preserve">“</w:t>
      </w:r>
      <w:r>
        <w:t xml:space="preserve">rules of the game</w:t>
      </w:r>
      <w:r>
        <w:t xml:space="preserve">”</w:t>
      </w:r>
      <w:r>
        <w:t xml:space="preserve"> </w:t>
      </w:r>
      <w:r>
        <w:t xml:space="preserve">— formal rules (luật pháp, quy định), informal constraints (chuẩn mực văn hóa, mạng lưới quan hệ), và enforcement mechanisms. ICRV regime không chỉ là background condition mà là active moderator thay đổi ceiling của turning point và khả năng xuất hiện forced penalty. Kafouros et al. (2023) xác nhận institutional reform cấp quốc gia dịch chuyển turning point ngay trong cross-section.</w:t>
      </w:r>
    </w:p>
    <w:p>
      <w:pPr>
        <w:pStyle w:val="BodyText"/>
      </w:pPr>
      <w:r>
        <w:rPr>
          <w:bCs/>
          <w:b/>
        </w:rPr>
        <w:t xml:space="preserve">Tầng 3 — Temporal (H6)</w:t>
      </w:r>
      <w:r>
        <w:t xml:space="preserve">: Dựa trên Dynamic Capabilities Framework (Teece et al., 1997; Eisenhardt &amp; Martin, 2000) và lý thuyết về technological paradigm shifts (Dosi, 1982). Môi trường số thay đổi nhanh hơn bất kỳ thời kỳ nào trong lịch sử kinh doanh quốc tế — DAI effect năm 2009 (sơ khai) vs. 2018 (pervasive) vs. 2024 (AI-augmented) là khác nhau về cơ bản, không chỉ về magnitude. H6 kiểm định xem liệu cấu trúc quan hệ I→P (không chỉ coefficients) có dịch chuyển giữa temporal regimes hay không.</w:t>
      </w:r>
    </w:p>
    <w:p>
      <w:pPr>
        <w:pStyle w:val="BodyText"/>
      </w:pPr>
      <w:r>
        <w:rPr>
          <w:bCs/>
          <w:b/>
        </w:rPr>
        <w:t xml:space="preserve">Interaction giữa ba tầng</w:t>
      </w:r>
      <w:r>
        <w:t xml:space="preserve">: M7 (three-way capstone) kiểm định interaction</w:t>
      </w:r>
      <w:r>
        <w:t xml:space="preserve"> </w:t>
      </w:r>
      <w:r>
        <w:rPr>
          <w:rStyle w:val="VerbatimChar"/>
        </w:rPr>
        <w:t xml:space="preserve">TCI×DAI×FSTS</w:t>
      </w:r>
      <w:r>
        <w:t xml:space="preserve"> </w:t>
      </w:r>
      <w:r>
        <w:t xml:space="preserve">— tức là liệu TCI và DAI là complements (cộng hưởng trong đóng góp cho hiệu quả xuất khẩu cao) hay substitutes (DAI compensates cho TCI thiếu hụt) trong môi trường Nhóm I. Đây là câu hỏi có hàm ý chiến lược quan trọng: nếu complements, doanh nghiệp cần đầu tư song song vào cả hai; nếu substitutes, doanh nghiệp có thể lựa chọn theo lợi thế so sánh.</w:t>
      </w:r>
    </w:p>
    <w:p>
      <w:r>
        <w:pict>
          <v:rect style="width:0;height:1.5pt" o:hralign="center" o:hrstd="t" o:hr="t"/>
        </w:pict>
      </w:r>
    </w:p>
    <w:bookmarkEnd w:id="53"/>
    <w:bookmarkEnd w:id="54"/>
    <w:bookmarkStart w:id="64" w:name="chương-5-hệ-giả-thuyết-h1h6"/>
    <w:p>
      <w:pPr>
        <w:pStyle w:val="Heading2"/>
      </w:pPr>
      <w:r>
        <w:t xml:space="preserve">CHƯƠNG 5 — HỆ GIẢ THUYẾT H1–H6</w:t>
      </w:r>
    </w:p>
    <w:bookmarkStart w:id="55" w:name="tổng-quan-và-logic-phát-triển-giả-thuyết"/>
    <w:p>
      <w:pPr>
        <w:pStyle w:val="Heading3"/>
      </w:pPr>
      <w:r>
        <w:t xml:space="preserve">5.0 Tổng quan và logic phát triển giả thuyết</w:t>
      </w:r>
    </w:p>
    <w:p>
      <w:pPr>
        <w:pStyle w:val="FirstParagraph"/>
      </w:pPr>
      <w:r>
        <w:t xml:space="preserve">Hệ giả thuyết H1–H6 được phát triển từ khung lý thuyết tích hợp (Chương 2) và bằng chứng thực nghiệm từ văn liệu (Chương 3), với neo đậu trong ba bản thảo đồng hành P3–P5 (§3.3). Mỗi giả thuyết phản ánh một cơ chế lý thuyết cụ thể và có dự đoán thực nghiệm kiểm định được qua hệ mô hình M0–M7 (Chương 6).</w:t>
      </w:r>
    </w:p>
    <w:p>
      <w:pPr>
        <w:pStyle w:val="BodyText"/>
      </w:pPr>
      <w:r>
        <w:t xml:space="preserve">Bốn nguyên tắc phát triển giả thuyết:</w:t>
      </w:r>
      <w:r>
        <w:t xml:space="preserve"> </w:t>
      </w:r>
      <w:r>
        <w:t xml:space="preserve">-</w:t>
      </w:r>
      <w:r>
        <w:t xml:space="preserve"> </w:t>
      </w:r>
      <w:r>
        <w:rPr>
          <w:bCs/>
          <w:b/>
        </w:rPr>
        <w:t xml:space="preserve">Cụ thể hóa dự đoán dấu</w:t>
      </w:r>
      <w:r>
        <w:t xml:space="preserve">: Mỗi H nêu rõ dấu kỳ vọng (β &gt; 0, β &lt; 0, dạng U, gradient) không chỉ</w:t>
      </w:r>
      <w:r>
        <w:t xml:space="preserve"> </w:t>
      </w:r>
      <w:r>
        <w:t xml:space="preserve">“</w:t>
      </w:r>
      <w:r>
        <w:t xml:space="preserve">có tác động</w:t>
      </w:r>
      <w:r>
        <w:t xml:space="preserve">”</w:t>
      </w:r>
      <w:r>
        <w:t xml:space="preserve">.</w:t>
      </w:r>
      <w:r>
        <w:t xml:space="preserve"> </w:t>
      </w:r>
      <w:r>
        <w:t xml:space="preserve">-</w:t>
      </w:r>
      <w:r>
        <w:t xml:space="preserve"> </w:t>
      </w:r>
      <w:r>
        <w:rPr>
          <w:bCs/>
          <w:b/>
        </w:rPr>
        <w:t xml:space="preserve">Neo đậu thực nghiệm</w:t>
      </w:r>
      <w:r>
        <w:t xml:space="preserve">: Mỗi H liên kết với ít nhất một bằng chứng từ P3/P4/P5 hoặc văn liệu meta-analysis.</w:t>
      </w:r>
      <w:r>
        <w:t xml:space="preserve"> </w:t>
      </w:r>
      <w:r>
        <w:t xml:space="preserve">-</w:t>
      </w:r>
      <w:r>
        <w:t xml:space="preserve"> </w:t>
      </w:r>
      <w:r>
        <w:rPr>
          <w:bCs/>
          <w:b/>
        </w:rPr>
        <w:t xml:space="preserve">Phân biệt confirmatory và exploratory</w:t>
      </w:r>
      <w:r>
        <w:t xml:space="preserve">: H1–H3 là confirmatory (kỳ vọng dấu rõ ràng dựa trên meta-analyses và P3–P5); H4–H6 là hybrid confirmatory/exploratory (hướng rõ nhưng magnitude chưa có neo đậu trực tiếp cho pool 47 nền kinh tế).</w:t>
      </w:r>
      <w:r>
        <w:t xml:space="preserve"> </w:t>
      </w:r>
      <w:r>
        <w:t xml:space="preserve">-</w:t>
      </w:r>
      <w:r>
        <w:t xml:space="preserve"> </w:t>
      </w:r>
      <w:r>
        <w:rPr>
          <w:bCs/>
          <w:b/>
        </w:rPr>
        <w:t xml:space="preserve">Liên kết với CDCM</w:t>
      </w:r>
      <w:r>
        <w:t xml:space="preserve">: H3 là trung tâm của CDCM — giả thuyết về conditional scaling resource của DAI, phân biệt với H2 về TCI như level-shifter.</w:t>
      </w:r>
    </w:p>
    <w:bookmarkEnd w:id="55"/>
    <w:bookmarkStart w:id="56" w:name="Xe68a99a772f5ea69c5785f39a38ae02e3d0a9e8"/>
    <w:p>
      <w:pPr>
        <w:pStyle w:val="Heading3"/>
      </w:pPr>
      <w:r>
        <w:t xml:space="preserve">5.1 Giả thuyết H1 — Phi tuyến S-curve/Cubic trong quan hệ I→P</w:t>
      </w:r>
    </w:p>
    <w:p>
      <w:pPr>
        <w:pStyle w:val="FirstParagraph"/>
      </w:pPr>
      <w:r>
        <w:rPr>
          <w:bCs/>
          <w:b/>
        </w:rPr>
        <w:t xml:space="preserve">Cơ sở lý thuyết</w:t>
      </w:r>
      <w:r>
        <w:t xml:space="preserve">. Mô hình Uppsala (Johanson &amp; Vahlne, 1977) đề xuất quốc tế hóa diễn ra theo ba giai đoạn với tốc độ và đặc điểm chi phí-lợi ích khác nhau. Contractor et al. (2003) và Lu và Beamish (2004) formalize ba giai đoạn thành S-curve: (i) giai đoạn học tập tốn kém — doanh nghiệp chịu chi phí thiết lập thị trường, tuyển dụng nhân sự địa phương, điều chỉnh sản phẩm → hiệu quả thấp; (ii) giai đoạn hái quả — economies of scale, diversification, và knowledge spillovers → hiệu quả tăng; (iii) giai đoạn quá mức — chi phí điều phối nhiều thị trường, information overload, agency problems vượt lợi ích → hiệu quả giảm. Với các SMEs châu Á trong WBES (majority), giai đoạn I ngắn do quy mô nhỏ thường bỏ qua nhanh; do đó dạng inverted-U (H1 quadratic, M1) có thể mạnh hơn S-curve hoàn toàn (H1 cubic, M2) trong nhiều mẫu.</w:t>
      </w:r>
    </w:p>
    <w:p>
      <w:pPr>
        <w:pStyle w:val="BodyText"/>
      </w:pPr>
      <w:r>
        <w:rPr>
          <w:bCs/>
          <w:b/>
        </w:rPr>
        <w:t xml:space="preserve">Heterogeneity ngữ cảnh ICRV</w:t>
      </w:r>
      <w:r>
        <w:t xml:space="preserve">. Turning point của inverted-U khác nhau theo regime: Nhóm I (tiên tiến đổi mới) có turning point cao hơn (~85%) do digital infrastructure giảm coordination costs; Nhóm IV (đang nổi) có turning point trung bình (39–46%); Nhóm III (trung bình cao) có turning point trung bình-cao (47–49%). Nhóm VI (SIDS) có pattern forced penalty — không có inverted-U điển hình.</w:t>
      </w:r>
    </w:p>
    <w:p>
      <w:pPr>
        <w:pStyle w:val="BodyText"/>
      </w:pPr>
      <w:r>
        <w:rPr>
          <w:bCs/>
          <w:b/>
        </w:rPr>
        <w:t xml:space="preserve">Bằng chứng neo đậu</w:t>
      </w:r>
      <w:r>
        <w:t xml:space="preserve">:</w:t>
      </w:r>
      <w:r>
        <w:t xml:space="preserve"> </w:t>
      </w:r>
      <w:r>
        <w:t xml:space="preserve">- P3 Việt Nam (Nhóm IV): Lind–Mehlum p &lt; .001 (pooled), TP 39–46%</w:t>
      </w:r>
      <w:r>
        <w:t xml:space="preserve"> </w:t>
      </w:r>
      <w:r>
        <w:t xml:space="preserve">- P5 Trung Quốc (Nhóm III): Lind–Mehlum xác nhận hai sóng, TP 47–49%</w:t>
      </w:r>
      <w:r>
        <w:t xml:space="preserve"> </w:t>
      </w:r>
      <w:r>
        <w:t xml:space="preserve">- P4 Singapore (Nhóm I): Lind–Mehlum p = .303 — predominantly positive, TP ~88.6% (near-ceiling)</w:t>
      </w:r>
    </w:p>
    <w:p>
      <w:pPr>
        <w:pStyle w:val="BlockText"/>
      </w:pPr>
      <w:r>
        <w:rPr>
          <w:bCs/>
          <w:b/>
        </w:rPr>
        <w:t xml:space="preserve">H1</w:t>
      </w:r>
      <w:r>
        <w:t xml:space="preserve">: Quan hệ giữa cường độ quốc tế hóa (FSTS) và hiệu quả doanh nghiệp (ln LP) có dạng</w:t>
      </w:r>
      <w:r>
        <w:t xml:space="preserve"> </w:t>
      </w:r>
      <w:r>
        <w:rPr>
          <w:bCs/>
          <w:b/>
        </w:rPr>
        <w:t xml:space="preserve">phi tuyến</w:t>
      </w:r>
      <w:r>
        <w:t xml:space="preserve">, với β₁(FSTS) &gt; 0 và β₂(FSTS²) &lt; 0, phản ánh inverted-U ở phần lớn các regime ICRV. Turning point dịch chuyển theo gradient ICRV: cao nhất ở Nhóm I → thấp nhất ở Nhóm IV, với Nhóm VI có pattern forced penalty.</w:t>
      </w:r>
    </w:p>
    <w:p>
      <w:pPr>
        <w:pStyle w:val="FirstParagraph"/>
      </w:pPr>
      <w:r>
        <w:rPr>
          <w:bCs/>
          <w:b/>
        </w:rPr>
        <w:t xml:space="preserve">Phân rã H1 thành H1a và H1b</w:t>
      </w:r>
      <w:r>
        <w:t xml:space="preserve">: Dựa trên bằng chứng từ P3 Việt Nam (Đỗ &amp; Phan, 2026), H1 được làm sắc nét thành hai mệnh đề:</w:t>
      </w:r>
    </w:p>
    <w:p>
      <w:pPr>
        <w:pStyle w:val="BlockText"/>
      </w:pPr>
      <w:r>
        <w:rPr>
          <w:bCs/>
          <w:b/>
        </w:rPr>
        <w:t xml:space="preserve">H1a (Participation margin)</w:t>
      </w:r>
      <w:r>
        <w:t xml:space="preserve">: Bước chuyển từ non-exporter (</w:t>
      </w:r>
      <w:r>
        <w:rPr>
          <w:rStyle w:val="VerbatimChar"/>
        </w:rPr>
        <w:t xml:space="preserve">FSTS</w:t>
      </w:r>
      <w:r>
        <w:t xml:space="preserve">=0) sang exporter (</w:t>
      </w:r>
      <w:r>
        <w:rPr>
          <w:rStyle w:val="VerbatimChar"/>
        </w:rPr>
        <w:t xml:space="preserve">FSTS</w:t>
      </w:r>
      <w:r>
        <w:t xml:space="preserve">&gt;0) tạo ra mức tăng năng suất lao động đáng kể và dương — tác động tham gia thị trường xuất khẩu là động lực chính của hiệu ứng I→P ở doanh nghiệp châu Á.</w:t>
      </w:r>
    </w:p>
    <w:p>
      <w:pPr>
        <w:pStyle w:val="BlockText"/>
      </w:pPr>
      <w:r>
        <w:rPr>
          <w:bCs/>
          <w:b/>
        </w:rPr>
        <w:t xml:space="preserve">H1b (Intensity margin — near-flat)</w:t>
      </w:r>
      <w:r>
        <w:t xml:space="preserve">: Trong sub-sample exporters-only, đường cong I→P gần phẳng (near-zero</w:t>
      </w:r>
      <w:r>
        <w:t xml:space="preserve"> </w:t>
      </w:r>
      <w:r>
        <w:rPr>
          <w:rStyle w:val="VerbatimChar"/>
        </w:rPr>
        <w:t xml:space="preserve">FSTS²</w:t>
      </w:r>
      <w:r>
        <w:t xml:space="preserve"> </w:t>
      </w:r>
      <w:r>
        <w:t xml:space="preserve">coefficient) — tức là sau khi doanh nghiệp đã là exporter, việc tăng cường độ xuất khẩu tiếp theo không tạo thêm nhiều lợi ích năng suất nếu không có TCI và DAI đủ mạnh.</w:t>
      </w:r>
    </w:p>
    <w:p>
      <w:pPr>
        <w:pStyle w:val="FirstParagraph"/>
      </w:pPr>
      <w:r>
        <w:rPr>
          <w:bCs/>
          <w:b/>
        </w:rPr>
        <w:t xml:space="preserve">Bằng chứng neo đậu cho H1a/H1b</w:t>
      </w:r>
      <w:r>
        <w:t xml:space="preserve">: P3 Việt Nam exporters-only sub-sample cho</w:t>
      </w:r>
      <w:r>
        <w:t xml:space="preserve"> </w:t>
      </w:r>
      <w:r>
        <w:rPr>
          <w:rStyle w:val="VerbatimChar"/>
        </w:rPr>
        <w:t xml:space="preserve">FSTS_c²</w:t>
      </w:r>
      <w:r>
        <w:t xml:space="preserve"> </w:t>
      </w:r>
      <w:r>
        <w:t xml:space="preserve">β = −0.200 (p = .660) — near-flat ở intensity margin, consistent với H1b. Mức tăng năng suất từ non-exporter → exporter (participation margin) ước tính 12–18% dựa trên P3 constant term differential.</w:t>
      </w:r>
    </w:p>
    <w:p>
      <w:pPr>
        <w:pStyle w:val="BodyText"/>
      </w:pPr>
      <w:r>
        <w:rPr>
          <w:bCs/>
          <w:b/>
        </w:rPr>
        <w:t xml:space="preserve">Hàm ý cho M1 và M2</w:t>
      </w:r>
      <w:r>
        <w:t xml:space="preserve">: Với WBES pool có nhiều non-exporters (</w:t>
      </w:r>
      <w:r>
        <w:rPr>
          <w:rStyle w:val="VerbatimChar"/>
        </w:rPr>
        <w:t xml:space="preserve">FSTS</w:t>
      </w:r>
      <w:r>
        <w:t xml:space="preserve">=0), M1 inverted-U sẽ mạnh chủ yếu do participation margin. M2 S-curve có thể không cải thiện fit đáng kể so với M1 do intensity margin near-flat (H1b).</w:t>
      </w:r>
    </w:p>
    <w:bookmarkEnd w:id="56"/>
    <w:bookmarkStart w:id="57" w:name="Xda680b9dccecc87e84886e20aa31d5f5ac2e289"/>
    <w:p>
      <w:pPr>
        <w:pStyle w:val="Heading3"/>
      </w:pPr>
      <w:r>
        <w:t xml:space="preserve">5.2 Giả thuyết H2 — TCI điều tiết tích cực (level-shifter)</w:t>
      </w:r>
    </w:p>
    <w:p>
      <w:pPr>
        <w:pStyle w:val="FirstParagraph"/>
      </w:pPr>
      <w:r>
        <w:rPr>
          <w:bCs/>
          <w:b/>
        </w:rPr>
        <w:t xml:space="preserve">Cơ sở lý thuyết</w:t>
      </w:r>
      <w:r>
        <w:t xml:space="preserve">. RBV (Barney, 1991) cho rằng nguồn lực VRIN tạo lợi thế cạnh tranh bền vững. TCI — năng lực công nghệ nội tại (ISO certification, R&amp;D, product innovation, foreign technology licensing) — là nguồn lực VRIN theo Lall (1992) và tích lũy absorptive capacity theo Cohen và Levinthal (1990). Doanh nghiệp có TCI cao: (a) hấp thụ tri thức từ thị trường nước ngoài hiệu quả hơn; (b) có công nghệ sản xuất tiên tiến hơn → năng suất cao hơn ở mọi mức FSTS; (c) có thể duy trì hiệu quả ở FSTS cao hơn do năng lực phối hợp tốt hơn. Cơ chế chính là</w:t>
      </w:r>
      <w:r>
        <w:t xml:space="preserve"> </w:t>
      </w:r>
      <w:r>
        <w:rPr>
          <w:bCs/>
          <w:b/>
        </w:rPr>
        <w:t xml:space="preserve">level-shift</w:t>
      </w:r>
      <w:r>
        <w:t xml:space="preserve"> </w:t>
      </w:r>
      <w:r>
        <w:t xml:space="preserve">(nâng mặt bằng LP toàn bộ), không nhất thiết thay đổi vị trí turning point.</w:t>
      </w:r>
    </w:p>
    <w:p>
      <w:pPr>
        <w:pStyle w:val="BodyText"/>
      </w:pPr>
      <w:r>
        <w:rPr>
          <w:bCs/>
          <w:b/>
        </w:rPr>
        <w:t xml:space="preserve">Phân biệt TCI với DAI</w:t>
      </w:r>
      <w:r>
        <w:t xml:space="preserve">. Theo Bhandari et al. (2023), TCI hoạt động như resource-deepening mechanism (nội tại, tích lũy theo thời gian, khó bắt chước), trong khi DAI hoạt động như adoption-contingent mechanism (ngoại tại, phụ thuộc digital ecosystem). Coltman et al. (2008) xác nhận hai construct thỏa mãn tiêu chí formative composite riêng biệt.</w:t>
      </w:r>
    </w:p>
    <w:p>
      <w:pPr>
        <w:pStyle w:val="BodyText"/>
      </w:pPr>
      <w:r>
        <w:rPr>
          <w:bCs/>
          <w:b/>
        </w:rPr>
        <w:t xml:space="preserve">Bằng chứng neo đậu</w:t>
      </w:r>
      <w:r>
        <w:t xml:space="preserve">:</w:t>
      </w:r>
      <w:r>
        <w:t xml:space="preserve"> </w:t>
      </w:r>
      <w:r>
        <w:t xml:space="preserve">- P3 Việt Nam: β(TCI) = 0.179 (p &lt; .001) bền vững 3 sóng; IV cho β(TCI) = 1.639 (p &lt; .001, first-stage F = 22.1) → TCI là causal, không phải selection-driven [lưu ý: first-stage F = 34.6 là của instrument cho DAI, không phải TCI]</w:t>
      </w:r>
      <w:r>
        <w:t xml:space="preserve"> </w:t>
      </w:r>
      <w:r>
        <w:t xml:space="preserve">- P5 Trung Quốc: β_z(TCI) tăng từ +0.260 (2012) → +0.426 (2024), Paternoster z = −2.55 (p = .011) → TCI level-shift tăng cường theo thời gian</w:t>
      </w:r>
      <w:r>
        <w:t xml:space="preserve"> </w:t>
      </w:r>
      <w:r>
        <w:t xml:space="preserve">- P4 Singapore: β(TCI) = +0.153 (p &lt; .01), không moderate curvature → TCI là pure level-shifter trong Nhóm I</w:t>
      </w:r>
    </w:p>
    <w:p>
      <w:pPr>
        <w:pStyle w:val="BlockText"/>
      </w:pPr>
      <w:r>
        <w:rPr>
          <w:bCs/>
          <w:b/>
        </w:rPr>
        <w:t xml:space="preserve">H2</w:t>
      </w:r>
      <w:r>
        <w:t xml:space="preserve">: Technological Capability Index (TCI) có mối quan hệ dương trực tiếp với hiệu quả doanh nghiệp (β(TCI) &gt; 0) và nâng mặt bằng ln(LP) của toàn bộ đường cong I→P (</w:t>
      </w:r>
      <w:r>
        <w:rPr>
          <w:bCs/>
          <w:b/>
        </w:rPr>
        <w:t xml:space="preserve">level-shifter effect</w:t>
      </w:r>
      <w:r>
        <w:t xml:space="preserve">). Tác động điều tiết của TCI lên</w:t>
      </w:r>
      <w:r>
        <w:t xml:space="preserve"> </w:t>
      </w:r>
      <w:r>
        <w:rPr>
          <w:bCs/>
          <w:b/>
        </w:rPr>
        <w:t xml:space="preserve">độ cong</w:t>
      </w:r>
      <w:r>
        <w:t xml:space="preserve"> </w:t>
      </w:r>
      <w:r>
        <w:t xml:space="preserve">của đường cong (curvature moderation) là câu hỏi thực nghiệm mở và được kiểm định như H2 exploratory trong M3.</w:t>
      </w:r>
    </w:p>
    <w:p>
      <w:pPr>
        <w:pStyle w:val="FirstParagraph"/>
      </w:pPr>
      <w:r>
        <w:rPr>
          <w:bCs/>
          <w:b/>
        </w:rPr>
        <w:t xml:space="preserve">Cơ chế IV và phân tách endogeneity</w:t>
      </w:r>
      <w:r>
        <w:t xml:space="preserve">: P3 Việt Nam (Đỗ &amp; Phan, 2026) cho thấy IV estimation cho TCI (first-stage F = 22.1, instrument: industry-level TCI mean loại trừ firm) cho β(</w:t>
      </w:r>
      <w:r>
        <w:rPr>
          <w:rStyle w:val="VerbatimChar"/>
        </w:rPr>
        <w:t xml:space="preserve">TCI_IV</w:t>
      </w:r>
      <w:r>
        <w:t xml:space="preserve">) = 1.639 (p &lt; .001) — lớn hơn OLS β = 0.179, consistent với measurement error attenuation bias. Kết quả này xác nhận TCI là causal, không phải selection-driven, và causal effect lớn hơn đáng kể so với OLS estimate. Pool 101.185 sẽ cho phép kiểm định IV cho TCI trên sub-samples đủ lớn (ít nhất Nhóm I, III, IV).</w:t>
      </w:r>
    </w:p>
    <w:p>
      <w:pPr>
        <w:pStyle w:val="BodyText"/>
      </w:pPr>
      <w:r>
        <w:rPr>
          <w:bCs/>
          <w:b/>
        </w:rPr>
        <w:t xml:space="preserve">Temporal reinforcement (P5 China)</w:t>
      </w:r>
      <w:r>
        <w:t xml:space="preserve">: TCI level-shift tăng cường theo thời gian — β_z(TCI) = +0.260 (2012) → +0.426 (2024), Paternoster z = −2.55 (p = .011) — consistent với cơ chế absorptive capacity tích lũy và dynamic capabilities (Teece et al., 1997): TCI không phải là nguồn lực tĩnh mà accumulates qua learning-by-exporting. H6 (temporal heterogeneity) sẽ bổ sung cho H2 bằng cách kiểm định xem TCI temporal reinforcement xuất hiện không chỉ ở Trung Quốc (P5) mà còn trong pool đầy đủ.</w:t>
      </w:r>
    </w:p>
    <w:p>
      <w:pPr>
        <w:pStyle w:val="BodyText"/>
      </w:pPr>
      <w:r>
        <w:rPr>
          <w:bCs/>
          <w:b/>
        </w:rPr>
        <w:t xml:space="preserve">Phân biệt H2 confirmatory vs exploratory</w:t>
      </w:r>
      <w:r>
        <w:t xml:space="preserve">:</w:t>
      </w:r>
      <w:r>
        <w:t xml:space="preserve"> </w:t>
      </w:r>
      <w:r>
        <w:t xml:space="preserve">-</w:t>
      </w:r>
      <w:r>
        <w:t xml:space="preserve"> </w:t>
      </w:r>
      <w:r>
        <w:rPr>
          <w:bCs/>
          <w:b/>
        </w:rPr>
        <w:t xml:space="preserve">H2 confirmatory</w:t>
      </w:r>
      <w:r>
        <w:t xml:space="preserve">: β(TCI) &gt; 0 — trực tiếp, nhất quán với P3/P4/P5</w:t>
      </w:r>
      <w:r>
        <w:t xml:space="preserve"> </w:t>
      </w:r>
      <w:r>
        <w:t xml:space="preserve">-</w:t>
      </w:r>
      <w:r>
        <w:t xml:space="preserve"> </w:t>
      </w:r>
      <w:r>
        <w:rPr>
          <w:bCs/>
          <w:b/>
        </w:rPr>
        <w:t xml:space="preserve">H2 exploratory</w:t>
      </w:r>
      <w:r>
        <w:t xml:space="preserve">: β(</w:t>
      </w:r>
      <w:r>
        <w:rPr>
          <w:rStyle w:val="VerbatimChar"/>
        </w:rPr>
        <w:t xml:space="preserve">FSTS×TCI</w:t>
      </w:r>
      <w:r>
        <w:t xml:space="preserve">) có thể &lt; 0 và β(</w:t>
      </w:r>
      <w:r>
        <w:rPr>
          <w:rStyle w:val="VerbatimChar"/>
        </w:rPr>
        <w:t xml:space="preserve">FSTS²×TCI</w:t>
      </w:r>
      <w:r>
        <w:t xml:space="preserve">) có thể &gt; 0 — tức là TCI nâng turning point (curvature moderation) — chưa có neo đậu nhất quán qua P3/P4/P5 và được kiểm định không tiên nghiệm trong M3</w:t>
      </w:r>
    </w:p>
    <w:bookmarkEnd w:id="57"/>
    <w:bookmarkStart w:id="58" w:name="X9ae51650bbaf080a6618d677a538869019851c3"/>
    <w:p>
      <w:pPr>
        <w:pStyle w:val="Heading3"/>
      </w:pPr>
      <w:r>
        <w:t xml:space="preserve">5.3 Giả thuyết H3 — DAI điều tiết theo ngữ cảnh (CDCM)</w:t>
      </w:r>
    </w:p>
    <w:p>
      <w:pPr>
        <w:pStyle w:val="FirstParagraph"/>
      </w:pPr>
      <w:r>
        <w:rPr>
          <w:bCs/>
          <w:b/>
        </w:rPr>
        <w:t xml:space="preserve">Cơ sở lý thuyết</w:t>
      </w:r>
      <w:r>
        <w:t xml:space="preserve">. Banalieva và Dhanaraj (2019) và Verhoef et al. (2021) đề xuất DAI (Digital Adoption Index — Tier 1–2: website, e-payment) làm giảm psychic distance và chi phí giao dịch xuyên biên giới. Tuy nhiên, CDCM (phát hiện trong CĐ1) cho thấy tác động này không đồng nhất mà phụ thuộc vào ba chiều:</w:t>
      </w:r>
    </w:p>
    <w:p>
      <w:pPr>
        <w:numPr>
          <w:ilvl w:val="0"/>
          <w:numId w:val="1010"/>
        </w:numPr>
      </w:pPr>
      <w:r>
        <w:rPr>
          <w:bCs/>
          <w:b/>
        </w:rPr>
        <w:t xml:space="preserve">Regime thể chế (ICRV)</w:t>
      </w:r>
      <w:r>
        <w:t xml:space="preserve">: Nhóm I — bão hòa số cao → DAI là conditional scaling resource (P4 Singapore FSTS²×DAI = +3.119); Nhóm IV — chưa bão hòa → DAI dương nhưng selection-driven (P3 Việt Nam IV null); Nhóm III — đang trưởng thành → DAI mất discriminatory power (P5 Trung Quốc control only).</w:t>
      </w:r>
    </w:p>
    <w:p>
      <w:pPr>
        <w:numPr>
          <w:ilvl w:val="0"/>
          <w:numId w:val="1010"/>
        </w:numPr>
      </w:pPr>
      <w:r>
        <w:rPr>
          <w:bCs/>
          <w:b/>
        </w:rPr>
        <w:t xml:space="preserve">Mức độ quốc tế hóa (FSTS level)</w:t>
      </w:r>
      <w:r>
        <w:t xml:space="preserve">: DAI phát huy ở FSTS cao (nhiều cross-border transactions cần digital infrastructure); ít hiệu quả ở FSTS thấp (few international coordination needs).</w:t>
      </w:r>
    </w:p>
    <w:p>
      <w:pPr>
        <w:numPr>
          <w:ilvl w:val="0"/>
          <w:numId w:val="1010"/>
        </w:numPr>
      </w:pPr>
      <w:r>
        <w:rPr>
          <w:bCs/>
          <w:b/>
        </w:rPr>
        <w:t xml:space="preserve">Mức độ bão hòa số (digital saturation)</w:t>
      </w:r>
      <w:r>
        <w:t xml:space="preserve">: Khi Tier 1–2 phổ biến &gt;65%, DAI mất tác dụng phân biệt cấp doanh nghiệp (Singapore: website 67%; Trung Quốc 2024 similar); khi &lt;50%, DAI vẫn có signal (Việt Nam 2023: 49.8%).</w:t>
      </w:r>
    </w:p>
    <w:p>
      <w:pPr>
        <w:pStyle w:val="FirstParagraph"/>
      </w:pPr>
      <w:r>
        <w:rPr>
          <w:bCs/>
          <w:b/>
        </w:rPr>
        <w:t xml:space="preserve">Phân biệt DAI với TCI</w:t>
      </w:r>
      <w:r>
        <w:t xml:space="preserve">:</w:t>
      </w:r>
      <w:r>
        <w:t xml:space="preserve"> </w:t>
      </w:r>
      <w:r>
        <w:t xml:space="preserve">- TCI: non-location-bound, traveling well across markets, level-shifter</w:t>
      </w:r>
      <w:r>
        <w:t xml:space="preserve"> </w:t>
      </w:r>
      <w:r>
        <w:t xml:space="preserve">- DAI: environmentally contingent, mattering most when digital ecosystem supports it, curvature modifier</w:t>
      </w:r>
    </w:p>
    <w:p>
      <w:pPr>
        <w:pStyle w:val="BodyText"/>
      </w:pPr>
      <w:r>
        <w:rPr>
          <w:bCs/>
          <w:b/>
        </w:rPr>
        <w:t xml:space="preserve">Bằng chứng neo đậu</w:t>
      </w:r>
      <w:r>
        <w:t xml:space="preserve">:</w:t>
      </w:r>
      <w:r>
        <w:t xml:space="preserve"> </w:t>
      </w:r>
      <w:r>
        <w:t xml:space="preserve">- P4 Singapore: FSTS²×DAI = +3.119 (p = .005) — DAI contingent scaling ✓</w:t>
      </w:r>
      <w:r>
        <w:t xml:space="preserve"> </w:t>
      </w:r>
      <w:r>
        <w:t xml:space="preserve">- P3 Việt Nam: IV null β = 0.018 (p = .942) — OLS positive = selection, không phải causal ✓</w:t>
      </w:r>
      <w:r>
        <w:t xml:space="preserve"> </w:t>
      </w:r>
      <w:r>
        <w:t xml:space="preserve">- P5 Trung Quốc: không moderate curvature ✓</w:t>
      </w:r>
    </w:p>
    <w:p>
      <w:pPr>
        <w:pStyle w:val="BlockText"/>
      </w:pPr>
      <w:r>
        <w:rPr>
          <w:bCs/>
          <w:b/>
        </w:rPr>
        <w:t xml:space="preserve">H3</w:t>
      </w:r>
      <w:r>
        <w:t xml:space="preserve">: Digital Adoption Index (DAI) không hoạt động như một uniform productivity premium mà như một</w:t>
      </w:r>
      <w:r>
        <w:t xml:space="preserve"> </w:t>
      </w:r>
      <w:r>
        <w:rPr>
          <w:bCs/>
          <w:b/>
        </w:rPr>
        <w:t xml:space="preserve">conditional scaling resource</w:t>
      </w:r>
      <w:r>
        <w:t xml:space="preserve"> </w:t>
      </w:r>
      <w:r>
        <w:t xml:space="preserve">(nguồn lực mở rộng tình huống) theo CDCM: tác động của DAI lên ln(LP) phụ thuộc vào regime thể chế (ICRV), mức FSTS, và mức độ bão hòa số. Cụ thể: (a) β(FSTS²×DAI) &gt; 0 trong Nhóm I (nơi coordination demands dày đặc ở FSTS cao); (b) tác động DAI yếu hoặc selection-driven trong Nhóm IV; (c) TCI và DAI là hai construct distinct theo CDCM và không thể thay thế nhau.</w:t>
      </w:r>
    </w:p>
    <w:p>
      <w:pPr>
        <w:pStyle w:val="FirstParagraph"/>
      </w:pPr>
      <w:r>
        <w:rPr>
          <w:bCs/>
          <w:b/>
        </w:rPr>
        <w:t xml:space="preserve">Bảng 5.2</w:t>
      </w:r>
      <w:r>
        <w:t xml:space="preserve">.</w:t>
      </w:r>
      <w:r>
        <w:t xml:space="preserve"> </w:t>
      </w:r>
      <w:r>
        <w:rPr>
          <w:iCs/>
          <w:i/>
        </w:rPr>
        <w:t xml:space="preserve">CDCM — Dự đoán tác động DAI theo 3 chiều ngữ cảnh.</w:t>
      </w:r>
    </w:p>
    <w:tbl>
      <w:tblPr>
        <w:tblStyle w:val="Table"/>
        <w:tblW w:type="pct" w:w="5000"/>
        <w:tblLook w:firstRow="1" w:lastRow="0" w:firstColumn="0" w:lastColumn="0" w:noHBand="0" w:noVBand="0" w:val="0020"/>
        <w:jc w:val="start"/>
      </w:tblPr>
      <w:tblGrid>
        <w:gridCol w:w="1485"/>
        <w:gridCol w:w="1188"/>
        <w:gridCol w:w="1881"/>
        <w:gridCol w:w="891"/>
        <w:gridCol w:w="1683"/>
        <w:gridCol w:w="792"/>
      </w:tblGrid>
      <w:tr>
        <w:trPr>
          <w:tblHeader w:val="true"/>
        </w:trPr>
        <w:tc>
          <w:tcPr/>
          <w:p>
            <w:pPr>
              <w:pStyle w:val="Compact"/>
              <w:jc w:val="left"/>
            </w:pPr>
            <w:r>
              <w:t xml:space="preserve">Regime (ICRV)</w:t>
            </w:r>
          </w:p>
        </w:tc>
        <w:tc>
          <w:tcPr/>
          <w:p>
            <w:pPr>
              <w:pStyle w:val="Compact"/>
              <w:jc w:val="left"/>
            </w:pPr>
            <w:r>
              <w:t xml:space="preserve">FSTS level</w:t>
            </w:r>
          </w:p>
        </w:tc>
        <w:tc>
          <w:tcPr/>
          <w:p>
            <w:pPr>
              <w:pStyle w:val="Compact"/>
              <w:jc w:val="left"/>
            </w:pPr>
            <w:r>
              <w:t xml:space="preserve">Digital saturation</w:t>
            </w:r>
          </w:p>
        </w:tc>
        <w:tc>
          <w:tcPr/>
          <w:p>
            <w:pPr>
              <w:pStyle w:val="Compact"/>
              <w:jc w:val="left"/>
            </w:pPr>
            <w:r>
              <w:t xml:space="preserve">DAI OLS</w:t>
            </w:r>
          </w:p>
        </w:tc>
        <w:tc>
          <w:tcPr/>
          <w:p>
            <w:pPr>
              <w:pStyle w:val="Compact"/>
              <w:jc w:val="left"/>
            </w:pPr>
            <w:r>
              <w:t xml:space="preserve">DAI causal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direct;</w:t>
            </w:r>
            <w:r>
              <w:t xml:space="preserve"> </w:t>
            </w:r>
            <w:r>
              <w:rPr>
                <w:rStyle w:val="VerbatimChar"/>
                <w:bCs/>
                <w:b/>
              </w:rPr>
              <w:t xml:space="preserve">FSTS²×DAI</w:t>
            </w:r>
            <w:r>
              <w:rPr>
                <w:bCs/>
                <w:b/>
              </w:rPr>
              <w:t xml:space="preserve"> </w:t>
            </w:r>
            <w:r>
              <w:rPr>
                <w:bCs/>
                <w:b/>
              </w:rPr>
              <w:t xml:space="preserve">= +3.119</w:t>
            </w:r>
          </w:p>
        </w:tc>
        <w:tc>
          <w:tcPr/>
          <w:p>
            <w:pPr>
              <w:pStyle w:val="Compact"/>
              <w:jc w:val="left"/>
            </w:pPr>
            <w:r>
              <w:t xml:space="preserve">(không cần IV — không có selection bias rõ)</w:t>
            </w:r>
          </w:p>
        </w:tc>
        <w:tc>
          <w:tcPr/>
          <w:p>
            <w:pPr>
              <w:pStyle w:val="Compact"/>
              <w:jc w:val="left"/>
            </w:pPr>
            <w:r>
              <w:t xml:space="preserve">Conditional scaling at high coordination demand</w:t>
            </w:r>
          </w:p>
        </w:tc>
      </w:tr>
      <w:tr>
        <w:tc>
          <w:tcPr/>
          <w:p>
            <w:pPr>
              <w:pStyle w:val="Compact"/>
              <w:jc w:val="left"/>
            </w:pPr>
            <w:r>
              <w:t xml:space="preserve">Nhóm III (China)</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Null/control</w:t>
            </w:r>
          </w:p>
        </w:tc>
        <w:tc>
          <w:tcPr/>
          <w:p>
            <w:pPr>
              <w:pStyle w:val="Compact"/>
              <w:jc w:val="left"/>
            </w:pPr>
            <w:r>
              <w:t xml:space="preserve">Null (Tier 1 mất discriminatory power)</w:t>
            </w:r>
          </w:p>
        </w:tc>
        <w:tc>
          <w:tcPr/>
          <w:p>
            <w:pPr>
              <w:pStyle w:val="Compact"/>
              <w:jc w:val="left"/>
            </w:pPr>
            <w:r>
              <w:t xml:space="preserve">Tier 1 bão hòa → mất signal</w:t>
            </w:r>
          </w:p>
        </w:tc>
      </w:tr>
      <w:tr>
        <w:tc>
          <w:tcPr/>
          <w:p>
            <w:pPr>
              <w:pStyle w:val="Compact"/>
              <w:jc w:val="left"/>
            </w:pPr>
            <w:r>
              <w:t xml:space="preserve">Nhóm IV (Vietnam)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p = .942; F₁ₛₜ = 34.6)</w:t>
            </w:r>
          </w:p>
        </w:tc>
        <w:tc>
          <w:tcPr/>
          <w:p>
            <w:pPr>
              <w:pStyle w:val="Compact"/>
              <w:jc w:val="left"/>
            </w:pPr>
            <w:r>
              <w:t xml:space="preserve">Selection-driven: better firms adopt DAI AND export</w:t>
            </w:r>
          </w:p>
        </w:tc>
      </w:tr>
      <w:tr>
        <w:tc>
          <w:tcPr/>
          <w:p>
            <w:pPr>
              <w:pStyle w:val="Compact"/>
              <w:jc w:val="left"/>
            </w:pPr>
            <w:r>
              <w:t xml:space="preserve">Nhóm V (Frontier)</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Ambiguous</w:t>
            </w:r>
          </w:p>
        </w:tc>
        <w:tc>
          <w:tcPr/>
          <w:p>
            <w:pPr>
              <w:pStyle w:val="Compact"/>
              <w:jc w:val="left"/>
            </w:pPr>
            <w:r>
              <w:t xml:space="preserve">Cần IV</w:t>
            </w:r>
          </w:p>
        </w:tc>
        <w:tc>
          <w:tcPr/>
          <w:p>
            <w:pPr>
              <w:pStyle w:val="Compact"/>
              <w:jc w:val="left"/>
            </w:pPr>
            <w:r>
              <w:t xml:space="preserve">Digital infrastructure thiếu</w:t>
            </w:r>
          </w:p>
        </w:tc>
      </w:tr>
      <w:tr>
        <w:tc>
          <w:tcPr/>
          <w:p>
            <w:pPr>
              <w:pStyle w:val="Compact"/>
              <w:jc w:val="left"/>
            </w:pPr>
            <w:r>
              <w:t xml:space="preserve">Nhóm VI (SIDS)</w:t>
            </w:r>
          </w:p>
        </w:tc>
        <w:tc>
          <w:tcPr/>
          <w:p>
            <w:pPr>
              <w:pStyle w:val="Compact"/>
              <w:jc w:val="left"/>
            </w:pPr>
            <w:r>
              <w:t xml:space="preserve">Cao do forced (&gt;40%)</w:t>
            </w:r>
          </w:p>
        </w:tc>
        <w:tc>
          <w:tcPr/>
          <w:p>
            <w:pPr>
              <w:pStyle w:val="Compact"/>
              <w:jc w:val="left"/>
            </w:pPr>
            <w:r>
              <w:t xml:space="preserve">Thấp-trung</w:t>
            </w:r>
          </w:p>
        </w:tc>
        <w:tc>
          <w:tcPr/>
          <w:p>
            <w:pPr>
              <w:pStyle w:val="Compact"/>
              <w:jc w:val="left"/>
            </w:pPr>
            <w:r>
              <w:t xml:space="preserve">Forced penalty dominant</w:t>
            </w:r>
          </w:p>
        </w:tc>
        <w:tc>
          <w:tcPr/>
          <w:p>
            <w:pPr>
              <w:pStyle w:val="Compact"/>
              <w:jc w:val="left"/>
            </w:pPr>
            <w:r>
              <w:t xml:space="preserve">—</w:t>
            </w:r>
          </w:p>
        </w:tc>
        <w:tc>
          <w:tcPr/>
          <w:p>
            <w:pPr>
              <w:pStyle w:val="Compact"/>
              <w:jc w:val="left"/>
            </w:pPr>
            <w:r>
              <w:t xml:space="preserve">I→P forced penalty che lấp DAI signal</w:t>
            </w:r>
          </w:p>
        </w:tc>
      </w:tr>
    </w:tbl>
    <w:p>
      <w:pPr>
        <w:pStyle w:val="BodyText"/>
      </w:pPr>
      <w:r>
        <w:rPr>
          <w:bCs/>
          <w:b/>
        </w:rPr>
        <w:t xml:space="preserve">H3 sub-predictions</w:t>
      </w:r>
      <w:r>
        <w:t xml:space="preserve">:</w:t>
      </w:r>
      <w:r>
        <w:t xml:space="preserve"> </w:t>
      </w:r>
      <w:r>
        <w:t xml:space="preserve">- H3a: β(</w:t>
      </w:r>
      <w:r>
        <w:rPr>
          <w:rStyle w:val="VerbatimChar"/>
        </w:rPr>
        <w:t xml:space="preserve">FSTS²×DAI</w:t>
      </w:r>
      <w:r>
        <w:t xml:space="preserve">) &gt; 0 trong Nhóm I (high-saturation, high-coordination)</w:t>
      </w:r>
      <w:r>
        <w:t xml:space="preserve"> </w:t>
      </w:r>
      <w:r>
        <w:t xml:space="preserve">- H3b: β(DAI) ≈ 0 (IV) trong Nhóm IV (selection-driven)</w:t>
      </w:r>
      <w:r>
        <w:t xml:space="preserve"> </w:t>
      </w:r>
      <w:r>
        <w:t xml:space="preserve">- H3c: TCI và DAI không thay thế nhau (joint F-test không cải thiện khi loại bỏ một construct)</w:t>
      </w:r>
    </w:p>
    <w:bookmarkEnd w:id="58"/>
    <w:bookmarkStart w:id="59" w:name="X6120c0ba755f72f2da3c97f7023f8e170dd05a2"/>
    <w:p>
      <w:pPr>
        <w:pStyle w:val="Heading3"/>
      </w:pPr>
      <w:r>
        <w:t xml:space="preserve">5.4 Giả thuyết H4 — Đặc điểm nhà quản trị điều tiết</w:t>
      </w:r>
    </w:p>
    <w:p>
      <w:pPr>
        <w:pStyle w:val="FirstParagraph"/>
      </w:pPr>
      <w:r>
        <w:rPr>
          <w:bCs/>
          <w:b/>
        </w:rPr>
        <w:t xml:space="preserve">Cơ sở lý thuyết</w:t>
      </w:r>
      <w:r>
        <w:t xml:space="preserve">. Upper Echelons Theory (Hambrick &amp; Mason, 1984; Hambrick, 2007) cho rằng quyết định chiến lược của doanh nghiệp — bao gồm quyết định mức độ quốc tế hóa và cách quản lý phức tạp quốc tế — phản ánh đặc điểm của top manager: kinh nghiệm, học vấn, kinh nghiệm quốc tế, giới tính. Nielsen và Nielsen (2011) chứng minh kinh nghiệm quốc tế của TMT là yếu tố quyết định entry mode; Cannella, Park và Lee (2008) thấy TMT diversity tương quan với hiệu quả trong môi trường thay đổi nhanh.</w:t>
      </w:r>
    </w:p>
    <w:p>
      <w:pPr>
        <w:pStyle w:val="BodyText"/>
      </w:pPr>
      <w:r>
        <w:t xml:space="preserve">Trong bối cảnh WBES, biến top manager được đo bởi: (a)</w:t>
      </w:r>
      <w:r>
        <w:t xml:space="preserve"> </w:t>
      </w:r>
      <w:r>
        <w:rPr>
          <w:bCs/>
          <w:b/>
        </w:rPr>
        <w:t xml:space="preserve">exp_manager</w:t>
      </w:r>
      <w:r>
        <w:t xml:space="preserve"> </w:t>
      </w:r>
      <w:r>
        <w:t xml:space="preserve">— số năm kinh nghiệm quản lý (b5); (b)</w:t>
      </w:r>
      <w:r>
        <w:t xml:space="preserve"> </w:t>
      </w:r>
      <w:r>
        <w:rPr>
          <w:bCs/>
          <w:b/>
        </w:rPr>
        <w:t xml:space="preserve">educ_manager</w:t>
      </w:r>
      <w:r>
        <w:t xml:space="preserve"> </w:t>
      </w:r>
      <w:r>
        <w:t xml:space="preserve">— trình độ học vấn (b7a); (c)</w:t>
      </w:r>
      <w:r>
        <w:t xml:space="preserve"> </w:t>
      </w:r>
      <w:r>
        <w:rPr>
          <w:bCs/>
          <w:b/>
        </w:rPr>
        <w:t xml:space="preserve">gender_manager</w:t>
      </w:r>
      <w:r>
        <w:t xml:space="preserve"> </w:t>
      </w:r>
      <w:r>
        <w:t xml:space="preserve">— giới tính (b7, female = 1). Doanh nghiệp có manager kinh nghiệm quốc tế cao hơn có thể duy trì hiệu quả ở FSTS cao hơn trước khi turning point xuất hiện.</w:t>
      </w:r>
    </w:p>
    <w:p>
      <w:pPr>
        <w:pStyle w:val="BlockText"/>
      </w:pPr>
      <w:r>
        <w:rPr>
          <w:bCs/>
          <w:b/>
        </w:rPr>
        <w:t xml:space="preserve">H4</w:t>
      </w:r>
      <w:r>
        <w:t xml:space="preserve">: Kinh nghiệm của nhà quản trị cấp cao (</w:t>
      </w:r>
      <w:r>
        <w:rPr>
          <w:rStyle w:val="VerbatimChar"/>
        </w:rPr>
        <w:t xml:space="preserve">exp_manager</w:t>
      </w:r>
      <w:r>
        <w:t xml:space="preserve">) điều tiết tích cực quan hệ FSTS → ln(LP): β(</w:t>
      </w:r>
      <w:r>
        <w:rPr>
          <w:rStyle w:val="VerbatimChar"/>
        </w:rPr>
        <w:t xml:space="preserve">FSTS×exp_manager</w:t>
      </w:r>
      <w:r>
        <w:t xml:space="preserve">) &gt; 0, nghĩa là với cùng mức FSTS, doanh nghiệp có manager kinh nghiệm hơn đạt hiệu quả cao hơn. Học vấn manager và giới tính được kiểm định như moderators exploratory.</w:t>
      </w:r>
    </w:p>
    <w:p>
      <w:pPr>
        <w:pStyle w:val="FirstParagraph"/>
      </w:pPr>
      <w:r>
        <w:rPr>
          <w:bCs/>
          <w:b/>
        </w:rPr>
        <w:t xml:space="preserve">Cơ chế trung gian của H4</w:t>
      </w:r>
      <w:r>
        <w:t xml:space="preserve">: Upper Echelons Theory đặt ra hai kênh qua đó kinh nghiệm manager moderates I→P:</w:t>
      </w:r>
    </w:p>
    <w:p>
      <w:pPr>
        <w:pStyle w:val="BodyText"/>
      </w:pPr>
      <w:r>
        <w:rPr>
          <w:iCs/>
          <w:i/>
        </w:rPr>
        <w:t xml:space="preserve">Kênh 1 — Decision quality</w:t>
      </w:r>
      <w:r>
        <w:t xml:space="preserve">: Manager kinh nghiệm hơn đưa ra quyết định tốt hơn về entry mode, thị trường mục tiêu, và thời điểm mở rộng quốc tế — do bounded rationality được giảm nhờ prior experience (Simon, 1955; Hambrick &amp; Mason, 1984). Kết quả: doanh nghiệp tránh được</w:t>
      </w:r>
      <w:r>
        <w:t xml:space="preserve"> </w:t>
      </w:r>
      <w:r>
        <w:t xml:space="preserve">“</w:t>
      </w:r>
      <w:r>
        <w:t xml:space="preserve">premature internationalization</w:t>
      </w:r>
      <w:r>
        <w:t xml:space="preserve">”</w:t>
      </w:r>
      <w:r>
        <w:t xml:space="preserve"> </w:t>
      </w:r>
      <w:r>
        <w:t xml:space="preserve">— mở rộng quốc tế quá nhanh trước khi có năng lực tối thiểu.</w:t>
      </w:r>
    </w:p>
    <w:p>
      <w:pPr>
        <w:pStyle w:val="BodyText"/>
      </w:pPr>
      <w:r>
        <w:rPr>
          <w:iCs/>
          <w:i/>
        </w:rPr>
        <w:t xml:space="preserve">Kênh 2 — Coordination capacity</w:t>
      </w:r>
      <w:r>
        <w:t xml:space="preserve">: Manager kinh nghiệm quản lý tốt hơn phức tạp tổ chức phát sinh từ FSTS cao — agency problems với subsidiary, cultural distance trong quản lý nhân sự địa phương, và regulatory compliance xuyên biên giới. Kênh này giải thích tại sao H4 dự đoán interaction effect</w:t>
      </w:r>
      <w:r>
        <w:t xml:space="preserve"> </w:t>
      </w:r>
      <w:r>
        <w:rPr>
          <w:rStyle w:val="VerbatimChar"/>
        </w:rPr>
        <w:t xml:space="preserve">FSTS×exp_manager</w:t>
      </w:r>
      <w:r>
        <w:t xml:space="preserve"> </w:t>
      </w:r>
      <w:r>
        <w:t xml:space="preserve">chứ không chỉ main effect của</w:t>
      </w:r>
      <w:r>
        <w:t xml:space="preserve"> </w:t>
      </w:r>
      <w:r>
        <w:rPr>
          <w:rStyle w:val="VerbatimChar"/>
        </w:rPr>
        <w:t xml:space="preserve">exp_manager</w:t>
      </w:r>
      <w:r>
        <w:t xml:space="preserve">.</w:t>
      </w:r>
    </w:p>
    <w:p>
      <w:pPr>
        <w:pStyle w:val="BodyText"/>
      </w:pPr>
      <w:r>
        <w:rPr>
          <w:bCs/>
          <w:b/>
        </w:rPr>
        <w:t xml:space="preserve">Phân biệt H4 với H2 (TCI)</w:t>
      </w:r>
      <w:r>
        <w:t xml:space="preserve">: TCI là nguồn lực doanh nghiệp tập thể (organizational-level), trong khi</w:t>
      </w:r>
      <w:r>
        <w:t xml:space="preserve"> </w:t>
      </w:r>
      <w:r>
        <w:rPr>
          <w:rStyle w:val="VerbatimChar"/>
        </w:rPr>
        <w:t xml:space="preserve">exp_manager</w:t>
      </w:r>
      <w:r>
        <w:t xml:space="preserve"> </w:t>
      </w:r>
      <w:r>
        <w:t xml:space="preserve">là đặc trưng cá nhân của người lãnh đạo (individual-level). Sự phân biệt này có hàm ý: TCI tích lũy chậm và khó bắt chước (VRIN);</w:t>
      </w:r>
      <w:r>
        <w:t xml:space="preserve"> </w:t>
      </w:r>
      <w:r>
        <w:rPr>
          <w:rStyle w:val="VerbatimChar"/>
        </w:rPr>
        <w:t xml:space="preserve">exp_manager</w:t>
      </w:r>
      <w:r>
        <w:t xml:space="preserve"> </w:t>
      </w:r>
      <w:r>
        <w:t xml:space="preserve">có thể thay đổi qua chính sách tuyển dụng (hire experienced managers) hoặc training — nhanh hơn nhưng dễ mất đi (manager turnover). Hai moderators này hoạt động qua hai kênh khác nhau và được đo bởi hai biến WBES khác nhau (b8/h8/h1/e6 cho TCI; b5/b7a/b7 cho manager).</w:t>
      </w:r>
    </w:p>
    <w:p>
      <w:pPr>
        <w:pStyle w:val="BodyText"/>
      </w:pPr>
      <w:r>
        <w:rPr>
          <w:bCs/>
          <w:b/>
        </w:rPr>
        <w:t xml:space="preserve">Phạm vi kiểm định H4 trong CĐ2</w:t>
      </w:r>
      <w:r>
        <w:t xml:space="preserve">: Do WBES không đo trực tiếp</w:t>
      </w:r>
      <w:r>
        <w:t xml:space="preserve"> </w:t>
      </w:r>
      <w:r>
        <w:t xml:space="preserve">“</w:t>
      </w:r>
      <w:r>
        <w:t xml:space="preserve">international experience</w:t>
      </w:r>
      <w:r>
        <w:t xml:space="preserve">”</w:t>
      </w:r>
      <w:r>
        <w:t xml:space="preserve"> </w:t>
      </w:r>
      <w:r>
        <w:t xml:space="preserve">của manager mà chỉ đo total years of experience (b5) và education level (b7a), H4 được kiểm định với proxies. Kết quả của H4 trong CĐ2 sẽ là chỉ báo (indicative) chứ không phải kiểm định trực tiếp Upper Echelons mechanism — một hạn chế cần thừa nhận rõ trong §9.4 (limitations).</w:t>
      </w:r>
    </w:p>
    <w:bookmarkEnd w:id="59"/>
    <w:bookmarkStart w:id="60" w:name="Xe3ced0fb4dfb8aa3326da5253220ef3da71f9a5"/>
    <w:p>
      <w:pPr>
        <w:pStyle w:val="Heading3"/>
      </w:pPr>
      <w:r>
        <w:t xml:space="preserve">5.5 Giả thuyết H5 — Thể chế ICRV điều tiết theo gradient</w:t>
      </w:r>
    </w:p>
    <w:p>
      <w:pPr>
        <w:pStyle w:val="FirstParagraph"/>
      </w:pPr>
      <w:r>
        <w:rPr>
          <w:bCs/>
          <w:b/>
        </w:rPr>
        <w:t xml:space="preserve">Cơ sở lý thuyết</w:t>
      </w:r>
      <w:r>
        <w:t xml:space="preserve">. Institutional Theory (North, 1990; Khanna &amp; Palepu, 2010) cho rằng thể chế quy định chi phí giao dịch, rủi ro hợp đồng, và khả năng tiếp cận thị trường — tất cả ảnh hưởng đến hiệu quả của quốc tế hóa. Peng (2003) và Xu (2024) nhấn mạnh khoảng cách giữa thể chế de jure (formal rules) và de facto (actual implementation) — khoảng cách này lớn ở emerging và frontier economies. Gradient ICRV sáu nhóm cụ thể hóa hypothesis này:</w:t>
      </w:r>
    </w:p>
    <w:p>
      <w:pPr>
        <w:pStyle w:val="BodyText"/>
      </w:pPr>
      <w:r>
        <w:rPr>
          <w:bCs/>
          <w:b/>
        </w:rPr>
        <w:t xml:space="preserve">Cơ chế chi tiết của ICRV gradient</w:t>
      </w:r>
      <w:r>
        <w:t xml:space="preserve">: Ba cơ chế độc lập giải thích tại sao thể chế tốt hơn tạo ra turning point cao hơn:</w:t>
      </w:r>
    </w:p>
    <w:p>
      <w:pPr>
        <w:pStyle w:val="BodyText"/>
      </w:pPr>
      <w:r>
        <w:rPr>
          <w:iCs/>
          <w:i/>
        </w:rPr>
        <w:t xml:space="preserve">Cơ chế A — Contract enforcement</w:t>
      </w:r>
      <w:r>
        <w:t xml:space="preserve">: Ở Nhóm I (Singapore, New Zealand), hệ thống pháp lý mạnh đảm bảo hợp đồng xuyên biên giới được thực thi — giảm agency costs trong supply chain quốc tế và cho phép doanh nghiệp mở rộng FSTS mà không chịu rủi ro counterparty quá lớn. Ở Nhóm IV–V, contract enforcement yếu buộc doanh nghiệp phải internalize nhiều activities hơn (instead of using market contracts) — tăng coordination costs và kéo turning point xuống thấp hơn.</w:t>
      </w:r>
    </w:p>
    <w:p>
      <w:pPr>
        <w:pStyle w:val="BodyText"/>
      </w:pPr>
      <w:r>
        <w:rPr>
          <w:iCs/>
          <w:i/>
        </w:rPr>
        <w:t xml:space="preserve">Cơ chế B — Financial market development</w:t>
      </w:r>
      <w:r>
        <w:t xml:space="preserve">: Nhóm I có thị trường tài chính phát triển — doanh nghiệp có thể huy động vốn cho working capital quốc tế và hedge currency risk. Nhóm V–VI thiếu access to formal credit — doanh nghiệp SME phải dùng internal funds hoặc informal finance, giới hạn capacity để expand internationally và absorb coordination costs ở FSTS cao.</w:t>
      </w:r>
    </w:p>
    <w:p>
      <w:pPr>
        <w:pStyle w:val="BodyText"/>
      </w:pPr>
      <w:r>
        <w:rPr>
          <w:iCs/>
          <w:i/>
        </w:rPr>
        <w:t xml:space="preserve">Cơ chế C — Regulatory quality</w:t>
      </w:r>
      <w:r>
        <w:t xml:space="preserve">: Nhóm I có WGI Regulatory Quality cao (&gt;1.0), giảm compliance burden cho exporters. Nhóm IV–VI có regulatory unpredictability cao — doanh nghiệp phải allocate significant management bandwidth cho regulatory compliance thay vì cho operational efficiency → phần trăm</w:t>
      </w:r>
      <w:r>
        <w:t xml:space="preserve"> </w:t>
      </w:r>
      <w:r>
        <w:t xml:space="preserve">“</w:t>
      </w:r>
      <w:r>
        <w:t xml:space="preserve">lost</w:t>
      </w:r>
      <w:r>
        <w:t xml:space="preserve">”</w:t>
      </w:r>
      <w:r>
        <w:t xml:space="preserve"> </w:t>
      </w:r>
      <w:r>
        <w:t xml:space="preserve">turning point tăng theo regulatory burden.</w:t>
      </w:r>
    </w:p>
    <w:p>
      <w:pPr>
        <w:pStyle w:val="BodyText"/>
      </w:pPr>
      <w:r>
        <w:t xml:space="preserve">Kafouros et al. (2023) ước tính: 1% improvement trong WGI Regulatory Quality tương đương với +2–3% FSTS trong turning point — magnitude đủ lớn để phân biệt Nhóm I (TP ~88%) với Nhóm IV (TP ~40%) qua differential trong regulatory quality (~1.8 WGI units × 2.5% per unit ≈ 45% FSTS differential).</w:t>
      </w:r>
    </w:p>
    <w:p>
      <w:pPr>
        <w:numPr>
          <w:ilvl w:val="0"/>
          <w:numId w:val="1011"/>
        </w:numPr>
        <w:pStyle w:val="Compact"/>
      </w:pPr>
      <w:r>
        <w:rPr>
          <w:bCs/>
          <w:b/>
        </w:rPr>
        <w:t xml:space="preserve">Nhóm I (tiên tiến đổi mới)</w:t>
      </w:r>
      <w:r>
        <w:t xml:space="preserve">: thể chế hoàn thiện + DAI bão hòa → turning point cao, chi phí phối hợp thấp</w:t>
      </w:r>
    </w:p>
    <w:p>
      <w:pPr>
        <w:numPr>
          <w:ilvl w:val="0"/>
          <w:numId w:val="1011"/>
        </w:numPr>
        <w:pStyle w:val="Compact"/>
      </w:pPr>
      <w:r>
        <w:rPr>
          <w:bCs/>
          <w:b/>
        </w:rPr>
        <w:t xml:space="preserve">Nhóm II (tiên tiến tài nguyên)</w:t>
      </w:r>
      <w:r>
        <w:t xml:space="preserve">: thể chế hoàn thiện nhưng FDI/tài nguyên dominates → I→P yếu hoặc không liên quan cho SME</w:t>
      </w:r>
    </w:p>
    <w:p>
      <w:pPr>
        <w:numPr>
          <w:ilvl w:val="0"/>
          <w:numId w:val="1011"/>
        </w:numPr>
        <w:pStyle w:val="Compact"/>
      </w:pPr>
      <w:r>
        <w:rPr>
          <w:bCs/>
          <w:b/>
        </w:rPr>
        <w:t xml:space="preserve">Nhóm III (trung bình cao)</w:t>
      </w:r>
      <w:r>
        <w:t xml:space="preserve">: thể chế đang phát triển → turning point trung bình-cao</w:t>
      </w:r>
    </w:p>
    <w:p>
      <w:pPr>
        <w:numPr>
          <w:ilvl w:val="0"/>
          <w:numId w:val="1011"/>
        </w:numPr>
        <w:pStyle w:val="Compact"/>
      </w:pPr>
      <w:r>
        <w:rPr>
          <w:bCs/>
          <w:b/>
        </w:rPr>
        <w:t xml:space="preserve">Nhóm IV (đang nổi)</w:t>
      </w:r>
      <w:r>
        <w:t xml:space="preserve">: institutional voids (Khanna &amp; Palepu, 2010) → turning point thấp-trung bình</w:t>
      </w:r>
    </w:p>
    <w:p>
      <w:pPr>
        <w:numPr>
          <w:ilvl w:val="0"/>
          <w:numId w:val="1011"/>
        </w:numPr>
        <w:pStyle w:val="Compact"/>
      </w:pPr>
      <w:r>
        <w:rPr>
          <w:bCs/>
          <w:b/>
        </w:rPr>
        <w:t xml:space="preserve">Nhóm V (cận biên)</w:t>
      </w:r>
      <w:r>
        <w:t xml:space="preserve">: institutional voids nghiêm trọng + thị trường tài chính kém → turning point rất thấp</w:t>
      </w:r>
    </w:p>
    <w:p>
      <w:pPr>
        <w:numPr>
          <w:ilvl w:val="0"/>
          <w:numId w:val="1011"/>
        </w:numPr>
        <w:pStyle w:val="Compact"/>
      </w:pPr>
      <w:r>
        <w:rPr>
          <w:bCs/>
          <w:b/>
        </w:rPr>
        <w:t xml:space="preserve">Nhóm VI (SIDS — trường hợp biên)</w:t>
      </w:r>
      <w:r>
        <w:t xml:space="preserve">: forced internationalization → forced penalty pattern; không có inverted-U điển hình</w:t>
      </w:r>
    </w:p>
    <w:p>
      <w:pPr>
        <w:pStyle w:val="BlockText"/>
      </w:pPr>
      <w:r>
        <w:rPr>
          <w:bCs/>
          <w:b/>
        </w:rPr>
        <w:t xml:space="preserve">H5</w:t>
      </w:r>
      <w:r>
        <w:t xml:space="preserve">: Hiệu ứng điều tiết của regime thể chế (ICRV) lên quan hệ I→P có dạng gradient: cùng một mức FSTS, doanh nghiệp ở Nhóm I đạt hiệu quả cao nhất; gradient giảm dần qua Nhóm II → III → IV → V; Nhóm VI (SIDS) có pattern forced penalty (tuyến tính âm hoặc không có inverted-U). Turning point tăng đơn điệu theo gradient từ Nhóm VI → Nhóm I.</w:t>
      </w:r>
    </w:p>
    <w:p>
      <w:pPr>
        <w:pStyle w:val="FirstParagraph"/>
      </w:pPr>
      <w:r>
        <w:rPr>
          <w:bCs/>
          <w:b/>
        </w:rPr>
        <w:t xml:space="preserve">Dự đoán turning point cụ thể theo nhóm ICRV</w:t>
      </w:r>
      <w:r>
        <w:t xml:space="preserve">:</w:t>
      </w:r>
    </w:p>
    <w:tbl>
      <w:tblPr>
        <w:tblStyle w:val="Table"/>
        <w:tblW w:type="pct" w:w="5000"/>
        <w:tblLook w:firstRow="1" w:lastRow="0" w:firstColumn="0" w:lastColumn="0" w:noHBand="0" w:noVBand="0" w:val="0020"/>
        <w:jc w:val="start"/>
      </w:tblPr>
      <w:tblGrid>
        <w:gridCol w:w="2178"/>
        <w:gridCol w:w="4356"/>
        <w:gridCol w:w="1386"/>
      </w:tblGrid>
      <w:tr>
        <w:trPr>
          <w:tblHeader w:val="true"/>
        </w:trPr>
        <w:tc>
          <w:tcPr/>
          <w:p>
            <w:pPr>
              <w:pStyle w:val="Compact"/>
              <w:jc w:val="left"/>
            </w:pPr>
            <w:r>
              <w:t xml:space="preserve">ICRV Nhóm</w:t>
            </w:r>
          </w:p>
        </w:tc>
        <w:tc>
          <w:tcPr/>
          <w:p>
            <w:pPr>
              <w:pStyle w:val="Compact"/>
              <w:jc w:val="left"/>
            </w:pPr>
            <w:r>
              <w:t xml:space="preserve">Turning point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 digital infrastructure cao làm giảm coordination costs</w:t>
            </w:r>
          </w:p>
        </w:tc>
      </w:tr>
      <w:tr>
        <w:tc>
          <w:tcPr/>
          <w:p>
            <w:pPr>
              <w:pStyle w:val="Compact"/>
              <w:jc w:val="left"/>
            </w:pPr>
            <w:r>
              <w:t xml:space="preserve">Nhóm II (tiên tiến tài nguyên)</w:t>
            </w:r>
          </w:p>
        </w:tc>
        <w:tc>
          <w:tcPr/>
          <w:p>
            <w:pPr>
              <w:pStyle w:val="Compact"/>
              <w:jc w:val="left"/>
            </w:pPr>
            <w:r>
              <w:t xml:space="preserve">Không xác định / weakly positive</w:t>
            </w:r>
          </w:p>
        </w:tc>
        <w:tc>
          <w:tcPr/>
          <w:p>
            <w:pPr>
              <w:pStyle w:val="Compact"/>
              <w:jc w:val="left"/>
            </w:pPr>
            <w:r>
              <w:t xml:space="preserve">FDI/resource dominates; FSTS ít relevant</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China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Vietnam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Institutional voids → low ceiling</w:t>
            </w:r>
          </w:p>
        </w:tc>
      </w:tr>
      <w:tr>
        <w:tc>
          <w:tcPr/>
          <w:p>
            <w:pPr>
              <w:pStyle w:val="Compact"/>
              <w:jc w:val="left"/>
            </w:pPr>
            <w:r>
              <w:t xml:space="preserve">Nhóm VI (SIDS)</w:t>
            </w:r>
          </w:p>
        </w:tc>
        <w:tc>
          <w:tcPr/>
          <w:p>
            <w:pPr>
              <w:pStyle w:val="Compact"/>
              <w:jc w:val="left"/>
            </w:pPr>
            <w:r>
              <w:t xml:space="preserve">Không có TP / forced penalty</w:t>
            </w:r>
          </w:p>
        </w:tc>
        <w:tc>
          <w:tcPr/>
          <w:p>
            <w:pPr>
              <w:pStyle w:val="Compact"/>
              <w:jc w:val="left"/>
            </w:pPr>
            <w:r>
              <w:t xml:space="preserve">Forced internationalization → monotone declining</w:t>
            </w:r>
          </w:p>
        </w:tc>
      </w:tr>
    </w:tbl>
    <w:p>
      <w:pPr>
        <w:pStyle w:val="BodyText"/>
      </w:pPr>
      <w:r>
        <w:rPr>
          <w:bCs/>
          <w:b/>
        </w:rPr>
        <w:t xml:space="preserve">Kiểm định H5</w:t>
      </w:r>
      <w:r>
        <w:t xml:space="preserve">: Paternoster z-test so sánh TP(Nhóm I) vs TP(Nhóm IV) — nếu z &gt; 1.96 (p &lt; .05) → gradient H5 confirmed. F-test bình đẳng tất cả 5 TP → joint gradient test.</w:t>
      </w:r>
    </w:p>
    <w:p>
      <w:pPr>
        <w:pStyle w:val="BodyText"/>
      </w:pPr>
      <w:r>
        <w:rPr>
          <w:bCs/>
          <w:b/>
        </w:rPr>
        <w:t xml:space="preserve">Bằng chứng cho forced penalty Nhóm VI</w:t>
      </w:r>
      <w:r>
        <w:t xml:space="preserve">: CĐ1 tìm thấy dispersion pattern trong SIDS — coefficient variation của ln(LP) theo FSTS cao hơn 35% so với Nhóm IV. P8 manuscript (Pacific SIDS, đang chuẩn bị) kiểm định tuyến tính âm trong 7 SIDS riêng biệt.</w:t>
      </w:r>
    </w:p>
    <w:bookmarkEnd w:id="60"/>
    <w:bookmarkStart w:id="61" w:name="giả-thuyết-h6-temporal-heterogeneity"/>
    <w:p>
      <w:pPr>
        <w:pStyle w:val="Heading3"/>
      </w:pPr>
      <w:r>
        <w:t xml:space="preserve">5.6 Giả thuyết H6 — Temporal heterogeneity</w:t>
      </w:r>
    </w:p>
    <w:p>
      <w:pPr>
        <w:pStyle w:val="FirstParagraph"/>
      </w:pPr>
      <w:r>
        <w:rPr>
          <w:bCs/>
          <w:b/>
        </w:rPr>
        <w:t xml:space="preserve">Cơ sở lý thuyết</w:t>
      </w:r>
      <w:r>
        <w:t xml:space="preserve">. Wu, Wood và Khan (2022) tổng hợp 20 năm bằng chứng từ EMNEs và tìm thấy temporal shifts đáng kể trong I→P — phản ánh thay đổi cấu trúc trong môi trường kinh doanh. Ba giai đoạn trong dữ liệu CĐ2 có đặc điểm bối cảnh khác nhau rõ ràng:</w:t>
      </w:r>
    </w:p>
    <w:p>
      <w:pPr>
        <w:numPr>
          <w:ilvl w:val="0"/>
          <w:numId w:val="1012"/>
        </w:numPr>
        <w:pStyle w:val="Compact"/>
      </w:pPr>
      <w:r>
        <w:rPr>
          <w:bCs/>
          <w:b/>
        </w:rPr>
        <w:t xml:space="preserve">2009–2012</w:t>
      </w:r>
      <w:r>
        <w:t xml:space="preserve">: Hậu khủng hoảng tài chính 2008; WTO expansion; digital infrastructure sơ khai ở châu Á; FSTS returns thấp hơn do credit constraints và demand uncertainty.</w:t>
      </w:r>
    </w:p>
    <w:p>
      <w:pPr>
        <w:numPr>
          <w:ilvl w:val="0"/>
          <w:numId w:val="1012"/>
        </w:numPr>
        <w:pStyle w:val="Compact"/>
      </w:pPr>
      <w:r>
        <w:rPr>
          <w:bCs/>
          <w:b/>
        </w:rPr>
        <w:t xml:space="preserve">2013–2017</w:t>
      </w:r>
      <w:r>
        <w:t xml:space="preserve">: Phục hồi GVC; FDI surge vào ASEAN; mobile internet adoption bùng nổ; DAI bắt đầu có tác dụng phân biệt.</w:t>
      </w:r>
    </w:p>
    <w:p>
      <w:pPr>
        <w:numPr>
          <w:ilvl w:val="0"/>
          <w:numId w:val="1012"/>
        </w:numPr>
        <w:pStyle w:val="Compact"/>
      </w:pPr>
      <w:r>
        <w:rPr>
          <w:bCs/>
          <w:b/>
        </w:rPr>
        <w:t xml:space="preserve">2018–2025</w:t>
      </w:r>
      <w:r>
        <w:t xml:space="preserve">: Chuyển đổi số + AI bùng nổ; COVID-19 disruption và recovery; supply chain reconfiguration; thương mại điện tử xuyên biên giới (Alibaba, Shopee); DAI effect tăng cường ở emerging markets nhưng bão hòa ở advanced markets.</w:t>
      </w:r>
    </w:p>
    <w:p>
      <w:pPr>
        <w:pStyle w:val="FirstParagraph"/>
      </w:pPr>
      <w:r>
        <w:rPr>
          <w:bCs/>
          <w:b/>
        </w:rPr>
        <w:t xml:space="preserve">Bằng chứng neo đậu</w:t>
      </w:r>
      <w:r>
        <w:t xml:space="preserve">:</w:t>
      </w:r>
      <w:r>
        <w:t xml:space="preserve"> </w:t>
      </w:r>
      <w:r>
        <w:t xml:space="preserve">- P3 Việt Nam: Paternoster z = 3.353 giữa 2009 và 2015 (p &lt; .001) — I→P relationship dịch chuyển đáng kể ✓</w:t>
      </w:r>
      <w:r>
        <w:t xml:space="preserve"> </w:t>
      </w:r>
      <w:r>
        <w:t xml:space="preserve">- P5 Trung Quốc: TCI Paternoster p = .011 — TCI effect tăng cường 2012→2024 ✓</w:t>
      </w:r>
      <w:r>
        <w:t xml:space="preserve"> </w:t>
      </w:r>
      <w:r>
        <w:t xml:space="preserve">- P5 Trung Quốc: FSTS Paternoster p = .545 — turning point ổn định (H2b structural durability confirmed)</w:t>
      </w:r>
    </w:p>
    <w:p>
      <w:pPr>
        <w:pStyle w:val="BlockText"/>
      </w:pPr>
      <w:r>
        <w:rPr>
          <w:bCs/>
          <w:b/>
        </w:rPr>
        <w:t xml:space="preserve">H6</w:t>
      </w:r>
      <w:r>
        <w:t xml:space="preserve">: Tác động của quốc tế hóa lên hiệu quả doanh nghiệp thể hiện</w:t>
      </w:r>
      <w:r>
        <w:t xml:space="preserve"> </w:t>
      </w:r>
      <w:r>
        <w:rPr>
          <w:bCs/>
          <w:b/>
        </w:rPr>
        <w:t xml:space="preserve">temporal heterogeneity</w:t>
      </w:r>
      <w:r>
        <w:t xml:space="preserve">: β(</w:t>
      </w:r>
      <w:r>
        <w:rPr>
          <w:rStyle w:val="VerbatimChar"/>
        </w:rPr>
        <w:t xml:space="preserve">FSTS×Year_bucket</w:t>
      </w:r>
      <w:r>
        <w:t xml:space="preserve">) và β(</w:t>
      </w:r>
      <w:r>
        <w:rPr>
          <w:rStyle w:val="VerbatimChar"/>
        </w:rPr>
        <w:t xml:space="preserve">FSTS²×Year_bucket</w:t>
      </w:r>
      <w:r>
        <w:t xml:space="preserve">) khác nhau có ý nghĩa thống kê giữa ba giai đoạn 2009–2012, 2013–2017, và 2018–2025. Cụ thể: (a) tác động TCI tăng cường theo thời gian (consistent với P5 China); (b) tác động DAI biến thiên theo giai đoạn (stage-contingent, consistent với P3 Vietnam); (c) turning point có thể dịch chuyển giữa giai đoạn trong một số nhóm ICRV nhưng ổn định trong các nhóm khác.</w:t>
      </w:r>
    </w:p>
    <w:p>
      <w:pPr>
        <w:pStyle w:val="FirstParagraph"/>
      </w:pPr>
      <w:r>
        <w:rPr>
          <w:bCs/>
          <w:b/>
        </w:rPr>
        <w:t xml:space="preserve">Thiết kế kiểm định H6 trong pool đa quốc gia</w:t>
      </w:r>
      <w:r>
        <w:t xml:space="preserve">: Không giống P3 và P5 (kiểm định temporal shifts trong một quốc gia duy nhất qua Paternoster z-test), H6 trong CĐ2 kiểm định temporal heterogeneity trong pool 47 nền kinh tế — điều này đòi hỏi chiến lược phân tích phức tạp hơn:</w:t>
      </w:r>
    </w:p>
    <w:p>
      <w:pPr>
        <w:pStyle w:val="BodyText"/>
      </w:pPr>
      <w:r>
        <w:rPr>
          <w:iCs/>
          <w:i/>
        </w:rPr>
        <w:t xml:space="preserve">Phương án 1 — Interaction với Year_bucket dummies</w:t>
      </w:r>
      <w:r>
        <w:t xml:space="preserve">: Thêm</w:t>
      </w:r>
      <w:r>
        <w:t xml:space="preserve"> </w:t>
      </w:r>
      <w:r>
        <w:rPr>
          <w:rStyle w:val="VerbatimChar"/>
        </w:rPr>
        <w:t xml:space="preserve">FSTS×Year_bucket</w:t>
      </w:r>
      <w:r>
        <w:t xml:space="preserve"> </w:t>
      </w:r>
      <w:r>
        <w:t xml:space="preserve">và</w:t>
      </w:r>
      <w:r>
        <w:t xml:space="preserve"> </w:t>
      </w:r>
      <w:r>
        <w:rPr>
          <w:rStyle w:val="VerbatimChar"/>
        </w:rPr>
        <w:t xml:space="preserve">FSTS²×Year_bucket</w:t>
      </w:r>
      <w:r>
        <w:t xml:space="preserve"> </w:t>
      </w:r>
      <w:r>
        <w:t xml:space="preserve">vào M6 base model. F-test joint significance kiểm định H6 tổng thể. Paternoster z-test so sánh turning points giữa buckets kiểm định H6 cụ thể.</w:t>
      </w:r>
    </w:p>
    <w:p>
      <w:pPr>
        <w:pStyle w:val="BodyText"/>
      </w:pPr>
      <w:r>
        <w:rPr>
          <w:iCs/>
          <w:i/>
        </w:rPr>
        <w:t xml:space="preserve">Phương án 2 — Separate estimation per bucket</w:t>
      </w:r>
      <w:r>
        <w:t xml:space="preserve">: Ước lượng M1 (inverted-U base) riêng cho từng Year_bucket, so sánh coefficients và turning points. Ưu điểm: linh hoạt hơn, không giả định functional form ổn định. Nhược điểm: sample size mỗi bucket nhỏ hơn, giảm power cho moderation tests.</w:t>
      </w:r>
    </w:p>
    <w:p>
      <w:pPr>
        <w:pStyle w:val="BodyText"/>
      </w:pPr>
      <w:r>
        <w:rPr>
          <w:iCs/>
          <w:i/>
        </w:rPr>
        <w:t xml:space="preserve">Phương án 3 — COVID dummy interaction (2020+)</w:t>
      </w:r>
      <w:r>
        <w:t xml:space="preserve">:</w:t>
      </w:r>
      <w:r>
        <w:t xml:space="preserve"> </w:t>
      </w:r>
      <w:r>
        <w:rPr>
          <w:rStyle w:val="VerbatimChar"/>
        </w:rPr>
        <w:t xml:space="preserve">FSTS×COVID</w:t>
      </w:r>
      <w:r>
        <w:t xml:space="preserve"> </w:t>
      </w:r>
      <w:r>
        <w:t xml:space="preserve">và</w:t>
      </w:r>
      <w:r>
        <w:t xml:space="preserve"> </w:t>
      </w:r>
      <w:r>
        <w:rPr>
          <w:rStyle w:val="VerbatimChar"/>
        </w:rPr>
        <w:t xml:space="preserve">FSTS²×COVID</w:t>
      </w:r>
      <w:r>
        <w:t xml:space="preserve"> </w:t>
      </w:r>
      <w:r>
        <w:t xml:space="preserve">để kiểm định xem COVID-19 restructuring tạo ra structural break trong I→P hay không — câu hỏi chính sách quan trọng cho các doanh nghiệp đang hoạch định chiến lược quốc tế hóa hậu-COVID.</w:t>
      </w:r>
    </w:p>
    <w:p>
      <w:pPr>
        <w:pStyle w:val="BodyText"/>
      </w:pPr>
      <w:r>
        <w:rPr>
          <w:bCs/>
          <w:b/>
        </w:rPr>
        <w:t xml:space="preserve">H6 và tính bền vững của H1 (structural durability)</w:t>
      </w:r>
      <w:r>
        <w:t xml:space="preserve">: H6 và H2b structural durability (P5 Trung Quốc: FSTS Paternoster p = .545) là hai mặt của cùng một câu hỏi. H6 dự đoán</w:t>
      </w:r>
      <w:r>
        <w:t xml:space="preserve"> </w:t>
      </w:r>
      <w:r>
        <w:rPr>
          <w:iCs/>
          <w:i/>
        </w:rPr>
        <w:t xml:space="preserve">có</w:t>
      </w:r>
      <w:r>
        <w:t xml:space="preserve"> </w:t>
      </w:r>
      <w:r>
        <w:t xml:space="preserve">temporal shift (consistent với P3 Việt Nam); H2b structural durability dự đoán</w:t>
      </w:r>
      <w:r>
        <w:t xml:space="preserve"> </w:t>
      </w:r>
      <w:r>
        <w:rPr>
          <w:iCs/>
          <w:i/>
        </w:rPr>
        <w:t xml:space="preserve">không có</w:t>
      </w:r>
      <w:r>
        <w:t xml:space="preserve"> </w:t>
      </w:r>
      <w:r>
        <w:t xml:space="preserve">shift trong turning point (consistent với P5 Trung Quốc). Sự mâu thuẫn bề ngoài này được giải quyết bởi CDCM:</w:t>
      </w:r>
      <w:r>
        <w:t xml:space="preserve"> </w:t>
      </w:r>
      <w:r>
        <w:rPr>
          <w:iCs/>
          <w:i/>
        </w:rPr>
        <w:t xml:space="preserve">dạng hàm</w:t>
      </w:r>
      <w:r>
        <w:t xml:space="preserve"> </w:t>
      </w:r>
      <w:r>
        <w:t xml:space="preserve">(inverted-U) ổn định nhưng</w:t>
      </w:r>
      <w:r>
        <w:t xml:space="preserve"> </w:t>
      </w:r>
      <w:r>
        <w:rPr>
          <w:iCs/>
          <w:i/>
        </w:rPr>
        <w:t xml:space="preserve">magnitude</w:t>
      </w:r>
      <w:r>
        <w:t xml:space="preserve"> </w:t>
      </w:r>
      <w:r>
        <w:t xml:space="preserve">và</w:t>
      </w:r>
      <w:r>
        <w:t xml:space="preserve"> </w:t>
      </w:r>
      <w:r>
        <w:rPr>
          <w:iCs/>
          <w:i/>
        </w:rPr>
        <w:t xml:space="preserve">DAI/TCI effects</w:t>
      </w:r>
      <w:r>
        <w:t xml:space="preserve"> </w:t>
      </w:r>
      <w:r>
        <w:t xml:space="preserve">thay đổi theo thời gian. Pool 47 nền kinh tế cho phép kiểm định đồng thời cả hai prediction trong cùng một framework.</w:t>
      </w:r>
    </w:p>
    <w:bookmarkEnd w:id="61"/>
    <w:bookmarkStart w:id="62" w:name="tổng-hợp-hệ-giả-thuyết"/>
    <w:p>
      <w:pPr>
        <w:pStyle w:val="Heading3"/>
      </w:pPr>
      <w:r>
        <w:t xml:space="preserve">5.7 Tổng hợp hệ giả thuyết</w:t>
      </w:r>
    </w:p>
    <w:p>
      <w:pPr>
        <w:pStyle w:val="FirstParagraph"/>
      </w:pPr>
      <w:r>
        <w:t xml:space="preserve">Sáu giả thuyết H1–H6 tạo thành một hệ thống logic nhất quán giải thích tại sao I→P là quan hệ phức tạp, không thể giản lược thành một hệ số hồi quy đơn:</w:t>
      </w:r>
    </w:p>
    <w:p>
      <w:pPr>
        <w:numPr>
          <w:ilvl w:val="0"/>
          <w:numId w:val="1013"/>
        </w:numPr>
        <w:pStyle w:val="Compact"/>
      </w:pPr>
      <w:r>
        <w:t xml:space="preserve">H1 (phi tuyến) là trọng tâm — inverted-U/S-curve với turning point là tổng lực của chi phí vs. lợi ích quốc tế hóa.</w:t>
      </w:r>
    </w:p>
    <w:p>
      <w:pPr>
        <w:numPr>
          <w:ilvl w:val="0"/>
          <w:numId w:val="1013"/>
        </w:numPr>
        <w:pStyle w:val="Compact"/>
      </w:pPr>
      <w:r>
        <w:t xml:space="preserve">H2 (TCI) và H3 (DAI) phân rã cơ chế năng lực doanh nghiệp: TCI nâng mặt bằng LP toàn bộ (level-shifter), DAI điều chỉnh độ cong ở</w:t>
      </w:r>
      <w:r>
        <w:t xml:space="preserve"> </w:t>
      </w:r>
      <w:r>
        <w:rPr>
          <w:rStyle w:val="VerbatimChar"/>
        </w:rPr>
        <w:t xml:space="preserve">FSTS</w:t>
      </w:r>
      <w:r>
        <w:t xml:space="preserve"> </w:t>
      </w:r>
      <w:r>
        <w:t xml:space="preserve">cao trong môi trường bão hòa số (conditional scaling). Hai cơ chế này KHÔNG thay thế nhau theo CDCM.</w:t>
      </w:r>
    </w:p>
    <w:p>
      <w:pPr>
        <w:numPr>
          <w:ilvl w:val="0"/>
          <w:numId w:val="1013"/>
        </w:numPr>
        <w:pStyle w:val="Compact"/>
      </w:pPr>
      <w:r>
        <w:t xml:space="preserve">H4 (Manager) bổ sung tầng Upper Echelons: năng lực con người ở cấp lãnh đạo là kênh chuyển hóa quốc tế hóa thành hiệu quả.</w:t>
      </w:r>
    </w:p>
    <w:p>
      <w:pPr>
        <w:numPr>
          <w:ilvl w:val="0"/>
          <w:numId w:val="1013"/>
        </w:numPr>
        <w:pStyle w:val="Compact"/>
      </w:pPr>
      <w:r>
        <w:t xml:space="preserve">H5 (ICRV gradient) là tầng institutional bao trùm: thể chế quy định ceiling của turning point và likelihood của forced penalty pattern.</w:t>
      </w:r>
    </w:p>
    <w:p>
      <w:pPr>
        <w:numPr>
          <w:ilvl w:val="0"/>
          <w:numId w:val="1013"/>
        </w:numPr>
        <w:pStyle w:val="Compact"/>
      </w:pPr>
      <w:r>
        <w:t xml:space="preserve">H6 (Temporal) là tầng động: bối cảnh số thay đổi theo thời gian, đặc biệt qua COVID-19 và AI adoption wave (2018+).</w:t>
      </w:r>
    </w:p>
    <w:p>
      <w:pPr>
        <w:pStyle w:val="FirstParagraph"/>
      </w:pPr>
      <w:r>
        <w:t xml:space="preserve">Tích hợp cả sáu hypothesis trong M7 (three-way capstone, §6.9) cho phép CĐ2 kiểm định xem TCI và DAI là complements (β(</w:t>
      </w:r>
      <w:r>
        <w:rPr>
          <w:rStyle w:val="VerbatimChar"/>
        </w:rPr>
        <w:t xml:space="preserve">TCI×DAI×FSTS</w:t>
      </w:r>
      <w:r>
        <w:t xml:space="preserve">) &gt; 0) hay substitutes (β &lt; 0) trong môi trường Nhóm I — một câu hỏi chưa được trả lời trong bất kỳ nghiên cứu I→P nào trước đây.</w:t>
      </w:r>
    </w:p>
    <w:p>
      <w:pPr>
        <w:pStyle w:val="BodyText"/>
      </w:pPr>
      <w:r>
        <w:rPr>
          <w:bCs/>
          <w:b/>
        </w:rPr>
        <w:t xml:space="preserve">Bảng 5.1</w:t>
      </w:r>
      <w:r>
        <w:t xml:space="preserve">.</w:t>
      </w:r>
      <w:r>
        <w:t xml:space="preserve"> </w:t>
      </w:r>
      <w:r>
        <w:rPr>
          <w:iCs/>
          <w:i/>
        </w:rPr>
        <w:t xml:space="preserve">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542"/>
        <w:gridCol w:w="542"/>
        <w:gridCol w:w="1844"/>
        <w:gridCol w:w="1735"/>
        <w:gridCol w:w="976"/>
        <w:gridCol w:w="2278"/>
      </w:tblGrid>
      <w:tr>
        <w:trPr>
          <w:tblHeader w:val="true"/>
        </w:trPr>
        <w:tc>
          <w:tcPr/>
          <w:p>
            <w:pPr>
              <w:pStyle w:val="Compact"/>
              <w:jc w:val="left"/>
            </w:pPr>
            <w:r>
              <w:t xml:space="preserve">Hyp</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rPr>
                <w:bCs/>
                <w:b/>
              </w:rPr>
              <w:t xml:space="preserve">H1</w:t>
            </w:r>
          </w:p>
        </w:tc>
        <w:tc>
          <w:tcPr/>
          <w:p>
            <w:pPr>
              <w:pStyle w:val="Compact"/>
              <w:jc w:val="left"/>
            </w:pPr>
            <w:r>
              <w:t xml:space="preserve">Phi tuyến I→P</w:t>
            </w:r>
          </w:p>
        </w:tc>
        <w:tc>
          <w:tcPr/>
          <w:p>
            <w:pPr>
              <w:pStyle w:val="Compact"/>
              <w:jc w:val="left"/>
            </w:pPr>
            <w:r>
              <w:t xml:space="preserve">Uppsala 3-stage; chi phí phối hợp</w:t>
            </w:r>
          </w:p>
        </w:tc>
        <w:tc>
          <w:tcPr/>
          <w:p>
            <w:pPr>
              <w:pStyle w:val="Compact"/>
              <w:jc w:val="left"/>
            </w:pPr>
            <w:r>
              <w:t xml:space="preserve">FSTS, FSTS², FSTS³</w:t>
            </w:r>
          </w:p>
        </w:tc>
        <w:tc>
          <w:tcPr/>
          <w:p>
            <w:pPr>
              <w:pStyle w:val="Compact"/>
              <w:jc w:val="left"/>
            </w:pPr>
            <w:r>
              <w:t xml:space="preserve">β₁&gt;0; β₂&lt;0</w:t>
            </w:r>
          </w:p>
        </w:tc>
        <w:tc>
          <w:tcPr/>
          <w:p>
            <w:pPr>
              <w:pStyle w:val="Compact"/>
              <w:jc w:val="left"/>
            </w:pPr>
            <w:r>
              <w:t xml:space="preserve">P3 TP 39–46%; P5 TP 47–49%</w:t>
            </w:r>
          </w:p>
        </w:tc>
      </w:tr>
      <w:tr>
        <w:tc>
          <w:tcPr/>
          <w:p>
            <w:pPr>
              <w:pStyle w:val="Compact"/>
              <w:jc w:val="left"/>
            </w:pPr>
            <w:r>
              <w:rPr>
                <w:bCs/>
                <w:b/>
              </w:rPr>
              <w:t xml:space="preserve">H2</w:t>
            </w:r>
          </w:p>
        </w:tc>
        <w:tc>
          <w:tcPr/>
          <w:p>
            <w:pPr>
              <w:pStyle w:val="Compact"/>
              <w:jc w:val="left"/>
            </w:pPr>
            <w:r>
              <w:t xml:space="preserve">TCI level-shifter</w:t>
            </w:r>
          </w:p>
        </w:tc>
        <w:tc>
          <w:tcPr/>
          <w:p>
            <w:pPr>
              <w:pStyle w:val="Compact"/>
              <w:jc w:val="left"/>
            </w:pPr>
            <w:r>
              <w:t xml:space="preserve">RBV absorptive capacity</w:t>
            </w:r>
          </w:p>
        </w:tc>
        <w:tc>
          <w:tcPr/>
          <w:p>
            <w:pPr>
              <w:pStyle w:val="Compact"/>
              <w:jc w:val="left"/>
            </w:pPr>
            <w:r>
              <w:t xml:space="preserve">TCI, FSTS×TCI</w:t>
            </w:r>
          </w:p>
        </w:tc>
        <w:tc>
          <w:tcPr/>
          <w:p>
            <w:pPr>
              <w:pStyle w:val="Compact"/>
              <w:jc w:val="left"/>
            </w:pPr>
            <w:r>
              <w:t xml:space="preserve">β(TCI)&gt;0; curvature: exploratory</w:t>
            </w:r>
          </w:p>
        </w:tc>
        <w:tc>
          <w:tcPr/>
          <w:p>
            <w:pPr>
              <w:pStyle w:val="Compact"/>
              <w:jc w:val="left"/>
            </w:pPr>
            <w:r>
              <w:t xml:space="preserve">P3 IV causal; P5 +0.260→+0.426</w:t>
            </w:r>
          </w:p>
        </w:tc>
      </w:tr>
      <w:tr>
        <w:tc>
          <w:tcPr/>
          <w:p>
            <w:pPr>
              <w:pStyle w:val="Compact"/>
              <w:jc w:val="left"/>
            </w:pPr>
            <w:r>
              <w:rPr>
                <w:bCs/>
                <w:b/>
              </w:rPr>
              <w:t xml:space="preserve">H3</w:t>
            </w:r>
          </w:p>
        </w:tc>
        <w:tc>
          <w:tcPr/>
          <w:p>
            <w:pPr>
              <w:pStyle w:val="Compact"/>
              <w:jc w:val="left"/>
            </w:pPr>
            <w:r>
              <w:t xml:space="preserve">DAI conditional</w:t>
            </w:r>
          </w:p>
        </w:tc>
        <w:tc>
          <w:tcPr/>
          <w:p>
            <w:pPr>
              <w:pStyle w:val="Compact"/>
              <w:jc w:val="left"/>
            </w:pPr>
            <w:r>
              <w:t xml:space="preserve">CDCM × Digital lens</w:t>
            </w:r>
          </w:p>
        </w:tc>
        <w:tc>
          <w:tcPr/>
          <w:p>
            <w:pPr>
              <w:pStyle w:val="Compact"/>
              <w:jc w:val="left"/>
            </w:pPr>
            <w:r>
              <w:t xml:space="preserve">DAI, FSTS²×DAI</w:t>
            </w:r>
          </w:p>
        </w:tc>
        <w:tc>
          <w:tcPr/>
          <w:p>
            <w:pPr>
              <w:pStyle w:val="Compact"/>
              <w:jc w:val="left"/>
            </w:pPr>
            <w:r>
              <w:t xml:space="preserve">Context-contingent (β&gt;0 ở Nhóm I)</w:t>
            </w:r>
          </w:p>
        </w:tc>
        <w:tc>
          <w:tcPr/>
          <w:p>
            <w:pPr>
              <w:pStyle w:val="Compact"/>
              <w:jc w:val="left"/>
            </w:pPr>
            <w:r>
              <w:t xml:space="preserve">P4 +3.119; P3 IV null</w:t>
            </w:r>
          </w:p>
        </w:tc>
      </w:tr>
      <w:tr>
        <w:tc>
          <w:tcPr/>
          <w:p>
            <w:pPr>
              <w:pStyle w:val="Compact"/>
              <w:jc w:val="left"/>
            </w:pPr>
            <w:r>
              <w:rPr>
                <w:bCs/>
                <w:b/>
              </w:rPr>
              <w:t xml:space="preserve">H4</w:t>
            </w:r>
          </w:p>
        </w:tc>
        <w:tc>
          <w:tcPr/>
          <w:p>
            <w:pPr>
              <w:pStyle w:val="Compact"/>
              <w:jc w:val="left"/>
            </w:pPr>
            <w:r>
              <w:t xml:space="preserve">Manager moderation</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β(FSTS×exp)&gt;0</w:t>
            </w:r>
          </w:p>
        </w:tc>
        <w:tc>
          <w:tcPr/>
          <w:p>
            <w:pPr>
              <w:pStyle w:val="Compact"/>
              <w:jc w:val="left"/>
            </w:pPr>
            <w:r>
              <w:t xml:space="preserve">(WBES b5, b7a, b7)</w:t>
            </w:r>
          </w:p>
        </w:tc>
      </w:tr>
      <w:tr>
        <w:tc>
          <w:tcPr/>
          <w:p>
            <w:pPr>
              <w:pStyle w:val="Compact"/>
              <w:jc w:val="left"/>
            </w:pPr>
            <w:r>
              <w:rPr>
                <w:bCs/>
                <w:b/>
              </w:rPr>
              <w:t xml:space="preserve">H5</w:t>
            </w:r>
          </w:p>
        </w:tc>
        <w:tc>
          <w:tcPr/>
          <w:p>
            <w:pPr>
              <w:pStyle w:val="Compact"/>
              <w:jc w:val="left"/>
            </w:pPr>
            <w:r>
              <w:t xml:space="preserve">ICRV gradient</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forced penalty</w:t>
            </w:r>
          </w:p>
        </w:tc>
        <w:tc>
          <w:tcPr/>
          <w:p>
            <w:pPr>
              <w:pStyle w:val="Compact"/>
              <w:jc w:val="left"/>
            </w:pPr>
            <w:r>
              <w:t xml:space="preserve">CĐ1 dispersion pattern</w:t>
            </w:r>
          </w:p>
        </w:tc>
      </w:tr>
      <w:tr>
        <w:tc>
          <w:tcPr/>
          <w:p>
            <w:pPr>
              <w:pStyle w:val="Compact"/>
              <w:jc w:val="left"/>
            </w:pPr>
            <w:r>
              <w:rPr>
                <w:bCs/>
                <w:b/>
              </w:rPr>
              <w:t xml:space="preserve">H6</w:t>
            </w:r>
          </w:p>
        </w:tc>
        <w:tc>
          <w:tcPr/>
          <w:p>
            <w:pPr>
              <w:pStyle w:val="Compact"/>
              <w:jc w:val="left"/>
            </w:pPr>
            <w:r>
              <w:t xml:space="preserve">Temporal heterog.</w:t>
            </w:r>
          </w:p>
        </w:tc>
        <w:tc>
          <w:tcPr/>
          <w:p>
            <w:pPr>
              <w:pStyle w:val="Compact"/>
              <w:jc w:val="left"/>
            </w:pPr>
            <w:r>
              <w:t xml:space="preserve">Structural change</w:t>
            </w:r>
          </w:p>
        </w:tc>
        <w:tc>
          <w:tcPr/>
          <w:p>
            <w:pPr>
              <w:pStyle w:val="Compact"/>
              <w:jc w:val="left"/>
            </w:pPr>
            <w:r>
              <w:t xml:space="preserve">Year_bucket × FSTS</w:t>
            </w:r>
          </w:p>
        </w:tc>
        <w:tc>
          <w:tcPr/>
          <w:p>
            <w:pPr>
              <w:pStyle w:val="Compact"/>
              <w:jc w:val="left"/>
            </w:pPr>
            <w:r>
              <w:t xml:space="preserve">β(FSTS×Year)≠0 cross-periods</w:t>
            </w:r>
          </w:p>
        </w:tc>
        <w:tc>
          <w:tcPr/>
          <w:p>
            <w:pPr>
              <w:pStyle w:val="Compact"/>
              <w:jc w:val="left"/>
            </w:pPr>
            <w:r>
              <w:t xml:space="preserve">P3 Paternoster p&lt;.001; P5 TCI p=.011</w:t>
            </w:r>
          </w:p>
        </w:tc>
      </w:tr>
    </w:tbl>
    <w:p>
      <w:pPr>
        <w:pStyle w:val="BodyText"/>
      </w:pPr>
      <w:r>
        <w:rPr>
          <w:iCs/>
          <w:i/>
        </w:rPr>
        <w:t xml:space="preserve">Ghi chú phân loại</w:t>
      </w:r>
      <w:r>
        <w:t xml:space="preserve">: H1–H3 và H5 là</w:t>
      </w:r>
      <w:r>
        <w:t xml:space="preserve"> </w:t>
      </w:r>
      <w:r>
        <w:rPr>
          <w:bCs/>
          <w:b/>
        </w:rPr>
        <w:t xml:space="preserve">confirmatory</w:t>
      </w:r>
      <w:r>
        <w:t xml:space="preserve"> </w:t>
      </w:r>
      <w:r>
        <w:t xml:space="preserve">(dấu rõ, ≥2 bằng chứng neo đậu từ P3/P4/P5); H4 và H6 là</w:t>
      </w:r>
      <w:r>
        <w:t xml:space="preserve"> </w:t>
      </w:r>
      <w:r>
        <w:rPr>
          <w:bCs/>
          <w:b/>
        </w:rPr>
        <w:t xml:space="preserve">hybrid confirmatory/exploratory</w:t>
      </w:r>
      <w:r>
        <w:t xml:space="preserve"> </w:t>
      </w:r>
      <w:r>
        <w:t xml:space="preserve">(hướng rõ nhưng magnitude exploratory với proxy limitations và cross-national heterogeneity chưa được neo đậu trực tiếp).</w:t>
      </w:r>
    </w:p>
    <w:p>
      <w:pPr>
        <w:pStyle w:val="BodyText"/>
      </w:pPr>
      <w:r>
        <w:rPr>
          <w:bCs/>
          <w:b/>
        </w:rPr>
        <w:t xml:space="preserve">Hàm ý chính sách từ hệ giả thuyết H1–H6</w:t>
      </w:r>
      <w:r>
        <w:t xml:space="preserve">: Trước khi trình bày kết quả thực nghiệm (Chương 8), hệ giả thuyết đã có hàm ý chính sách</w:t>
      </w:r>
      <w:r>
        <w:t xml:space="preserve"> </w:t>
      </w:r>
      <w:r>
        <w:rPr>
          <w:iCs/>
          <w:i/>
        </w:rPr>
        <w:t xml:space="preserve">a priori</w:t>
      </w:r>
      <w:r>
        <w:t xml:space="preserve"> </w:t>
      </w:r>
      <w:r>
        <w:t xml:space="preserve">— hàm ý sẽ được xác nhận hoặc điều chỉnh tùy theo kết quả:</w:t>
      </w:r>
    </w:p>
    <w:p>
      <w:pPr>
        <w:pStyle w:val="BodyText"/>
      </w:pPr>
      <w:r>
        <w:rPr>
          <w:iCs/>
          <w:i/>
        </w:rPr>
        <w:t xml:space="preserve">Nếu H1 (inverted-U) được xác nhận</w:t>
      </w:r>
      <w:r>
        <w:t xml:space="preserve">: Các chính phủ không nên khuyến khích tất cả doanh nghiệp tối đa hóa FSTS — cần xác định turning point cho từng nhóm ICRV và thiết kế chính sách hỗ trợ phù hợp với stage trong đường cong I→P.</w:t>
      </w:r>
    </w:p>
    <w:p>
      <w:pPr>
        <w:pStyle w:val="BodyText"/>
      </w:pPr>
      <w:r>
        <w:rPr>
          <w:iCs/>
          <w:i/>
        </w:rPr>
        <w:t xml:space="preserve">Nếu H2 (TCI causal) được xác nhận</w:t>
      </w:r>
      <w:r>
        <w:t xml:space="preserve">: Đầu tư vào R&amp;D, ISO certification, và technology licensing (chính sách TCI) tạo ra causal improvement trong hiệu quả xuất khẩu — biện minh cho các chương trình hỗ trợ SME đổi mới công nghệ, không chỉ là subsidize xuất khẩu trực tiếp.</w:t>
      </w:r>
    </w:p>
    <w:p>
      <w:pPr>
        <w:pStyle w:val="BodyText"/>
      </w:pPr>
      <w:r>
        <w:rPr>
          <w:iCs/>
          <w:i/>
        </w:rPr>
        <w:t xml:space="preserve">Nếu H3 (DAI selection, không causal ở Nhóm IV) được xác nhận</w:t>
      </w:r>
      <w:r>
        <w:t xml:space="preserve">: Chính sách số hóa SME cần đi kèm với nâng cấp TCI thực sự để tạo causal impact — số hóa bề mặt (website, e-payment) mà không có năng lực công nghệ nội tại sẽ không tạo ra lợi ích năng suất thực.</w:t>
      </w:r>
    </w:p>
    <w:p>
      <w:pPr>
        <w:pStyle w:val="BodyText"/>
      </w:pPr>
      <w:r>
        <w:rPr>
          <w:iCs/>
          <w:i/>
        </w:rPr>
        <w:t xml:space="preserve">Nếu H5 (ICRV gradient) được xác nhận</w:t>
      </w:r>
      <w:r>
        <w:t xml:space="preserve">: Cải cách thể chế (Kafouros et al., 2023: 1% WGI → +2–3% TP) là công cụ chính sách có thể dịch chuyển turning point cao hơn — biện minh cho ưu tiên cải cách thể chế trước khi thúc đẩy quốc tế hóa ở Nhóm V–VI.</w:t>
      </w:r>
    </w:p>
    <w:p>
      <w:pPr>
        <w:pStyle w:val="BodyText"/>
      </w:pPr>
      <w:r>
        <w:rPr>
          <w:bCs/>
          <w:b/>
        </w:rPr>
        <w:t xml:space="preserve">Ma trận kiểm định chéo H1–H6 và mô hình M0–M7</w:t>
      </w:r>
      <w:r>
        <w:t xml:space="preserve">:</w:t>
      </w:r>
    </w:p>
    <w:tbl>
      <w:tblPr>
        <w:tblStyle w:val="Table"/>
        <w:tblW w:type="pct" w:w="5000"/>
        <w:tblLook w:firstRow="1" w:lastRow="0" w:firstColumn="0" w:lastColumn="0" w:noHBand="0" w:noVBand="0" w:val="0020"/>
        <w:jc w:val="start"/>
      </w:tblPr>
      <w:tblGrid>
        <w:gridCol w:w="2160"/>
        <w:gridCol w:w="960"/>
        <w:gridCol w:w="960"/>
        <w:gridCol w:w="960"/>
        <w:gridCol w:w="960"/>
        <w:gridCol w:w="960"/>
        <w:gridCol w:w="960"/>
      </w:tblGrid>
      <w:tr>
        <w:trPr>
          <w:tblHeader w:val="true"/>
        </w:trPr>
        <w:tc>
          <w:tcPr/>
          <w:p>
            <w:pPr>
              <w:pStyle w:val="Compact"/>
              <w:jc w:val="left"/>
            </w:pPr>
            <w:r>
              <w:t xml:space="preserve">Mô hình</w:t>
            </w:r>
          </w:p>
        </w:tc>
        <w:tc>
          <w:tcPr/>
          <w:p>
            <w:pPr>
              <w:pStyle w:val="Compact"/>
              <w:jc w:val="left"/>
            </w:pPr>
            <w:r>
              <w:t xml:space="preserve">H1</w:t>
            </w:r>
          </w:p>
        </w:tc>
        <w:tc>
          <w:tcPr/>
          <w:p>
            <w:pPr>
              <w:pStyle w:val="Compact"/>
              <w:jc w:val="left"/>
            </w:pPr>
            <w:r>
              <w:t xml:space="preserve">H2</w:t>
            </w:r>
          </w:p>
        </w:tc>
        <w:tc>
          <w:tcPr/>
          <w:p>
            <w:pPr>
              <w:pStyle w:val="Compact"/>
              <w:jc w:val="left"/>
            </w:pPr>
            <w:r>
              <w:t xml:space="preserve">H3</w:t>
            </w:r>
          </w:p>
        </w:tc>
        <w:tc>
          <w:tcPr/>
          <w:p>
            <w:pPr>
              <w:pStyle w:val="Compact"/>
              <w:jc w:val="left"/>
            </w:pPr>
            <w:r>
              <w:t xml:space="preserve">H4</w:t>
            </w:r>
          </w:p>
        </w:tc>
        <w:tc>
          <w:tcPr/>
          <w:p>
            <w:pPr>
              <w:pStyle w:val="Compact"/>
              <w:jc w:val="left"/>
            </w:pPr>
            <w:r>
              <w:t xml:space="preserve">H5</w:t>
            </w:r>
          </w:p>
        </w:tc>
        <w:tc>
          <w:tcPr/>
          <w:p>
            <w:pPr>
              <w:pStyle w:val="Compact"/>
              <w:jc w:val="left"/>
            </w:pPr>
            <w:r>
              <w:t xml:space="preserve">H6</w:t>
            </w:r>
          </w:p>
        </w:tc>
      </w:tr>
      <w:tr>
        <w:tc>
          <w:tcPr/>
          <w:p>
            <w:pPr>
              <w:pStyle w:val="Compact"/>
              <w:jc w:val="left"/>
            </w:pPr>
            <w:r>
              <w:t xml:space="preserve">M0 (OLS baseline)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M1 (Inverted-U)</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M2 (S-curve/Cubic)</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M3 (TCI moderation)</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M4 (DAI moderation)</w:t>
            </w:r>
          </w:p>
        </w:tc>
        <w:tc>
          <w:tcPr/>
          <w:p>
            <w:pPr>
              <w:pStyle w:val="Compact"/>
              <w:jc w:val="left"/>
            </w:pPr>
            <w:r>
              <w:t xml:space="preserve">Background</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M5 (Manager moderation)</w:t>
            </w:r>
          </w:p>
        </w:tc>
        <w:tc>
          <w:tcPr/>
          <w:p>
            <w:pPr>
              <w:pStyle w:val="Compact"/>
              <w:jc w:val="left"/>
            </w:pPr>
            <w:r>
              <w:t xml:space="preserve">Background</w:t>
            </w:r>
          </w:p>
        </w:tc>
        <w:tc>
          <w:tcPr/>
          <w:p>
            <w:pPr>
              <w:pStyle w:val="Compact"/>
              <w:jc w:val="left"/>
            </w:pPr>
            <w:r>
              <w:t xml:space="preserve">Background</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M6 (ICRV + Temporal)</w:t>
            </w:r>
          </w:p>
        </w:tc>
        <w:tc>
          <w:tcPr/>
          <w:p>
            <w:pPr>
              <w:pStyle w:val="Compact"/>
              <w:jc w:val="left"/>
            </w:pPr>
            <w:r>
              <w:t xml:space="preserve">Background</w:t>
            </w:r>
          </w:p>
        </w:tc>
        <w:tc>
          <w:tcPr/>
          <w:p>
            <w:pPr>
              <w:pStyle w:val="Compact"/>
              <w:jc w:val="left"/>
            </w:pPr>
            <w:r>
              <w:t xml:space="preserve">Background</w:t>
            </w:r>
          </w:p>
        </w:tc>
        <w:tc>
          <w:tcPr/>
          <w:p>
            <w:pPr>
              <w:pStyle w:val="Compact"/>
              <w:jc w:val="left"/>
            </w:pPr>
            <w:r>
              <w:t xml:space="preserve">Background</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rPr>
                <w:bCs/>
                <w:b/>
              </w:rPr>
              <w:t xml:space="preserve">Primary</w:t>
            </w:r>
          </w:p>
        </w:tc>
      </w:tr>
      <w:tr>
        <w:tc>
          <w:tcPr/>
          <w:p>
            <w:pPr>
              <w:pStyle w:val="Compact"/>
              <w:jc w:val="left"/>
            </w:pPr>
            <w:r>
              <w:t xml:space="preserve">M7 (Three-way capstone)</w:t>
            </w:r>
          </w:p>
        </w:tc>
        <w:tc>
          <w:tcPr/>
          <w:p>
            <w:pPr>
              <w:pStyle w:val="Compact"/>
              <w:jc w:val="left"/>
            </w:pPr>
            <w:r>
              <w:t xml:space="preserve">Integrated</w:t>
            </w:r>
          </w:p>
        </w:tc>
        <w:tc>
          <w:tcPr/>
          <w:p>
            <w:pPr>
              <w:pStyle w:val="Compact"/>
              <w:jc w:val="left"/>
            </w:pPr>
            <w:r>
              <w:t xml:space="preserve">Integrated</w:t>
            </w:r>
          </w:p>
        </w:tc>
        <w:tc>
          <w:tcPr/>
          <w:p>
            <w:pPr>
              <w:pStyle w:val="Compact"/>
              <w:jc w:val="left"/>
            </w:pPr>
            <w:r>
              <w:t xml:space="preserve">Integrated</w:t>
            </w:r>
          </w:p>
        </w:tc>
        <w:tc>
          <w:tcPr/>
          <w:p>
            <w:pPr>
              <w:pStyle w:val="Compact"/>
              <w:jc w:val="left"/>
            </w:pPr>
            <w:r>
              <w:t xml:space="preserve">Background</w:t>
            </w:r>
          </w:p>
        </w:tc>
        <w:tc>
          <w:tcPr/>
          <w:p>
            <w:pPr>
              <w:pStyle w:val="Compact"/>
              <w:jc w:val="left"/>
            </w:pPr>
            <w:r>
              <w:t xml:space="preserve">Integrated</w:t>
            </w:r>
          </w:p>
        </w:tc>
        <w:tc>
          <w:tcPr/>
          <w:p>
            <w:pPr>
              <w:pStyle w:val="Compact"/>
              <w:jc w:val="left"/>
            </w:pPr>
            <w:r>
              <w:t xml:space="preserve">Background</w:t>
            </w:r>
          </w:p>
        </w:tc>
      </w:tr>
    </w:tbl>
    <w:p>
      <w:pPr>
        <w:pStyle w:val="BodyText"/>
      </w:pPr>
      <w:r>
        <w:rPr>
          <w:iCs/>
          <w:i/>
        </w:rPr>
        <w:t xml:space="preserve">Ghi chú</w:t>
      </w:r>
      <w:r>
        <w:t xml:space="preserve">:</w:t>
      </w:r>
      <w:r>
        <w:t xml:space="preserve"> </w:t>
      </w:r>
      <w:r>
        <w:t xml:space="preserve">“</w:t>
      </w:r>
      <w:r>
        <w:t xml:space="preserve">Primary</w:t>
      </w:r>
      <w:r>
        <w:t xml:space="preserve">”</w:t>
      </w:r>
      <w:r>
        <w:t xml:space="preserve"> </w:t>
      </w:r>
      <w:r>
        <w:t xml:space="preserve">= mô hình kiểm định chính cho giả thuyết đó;</w:t>
      </w:r>
      <w:r>
        <w:t xml:space="preserve"> </w:t>
      </w:r>
      <w:r>
        <w:t xml:space="preserve">“</w:t>
      </w:r>
      <w:r>
        <w:t xml:space="preserve">Integrated</w:t>
      </w:r>
      <w:r>
        <w:t xml:space="preserve">”</w:t>
      </w:r>
      <w:r>
        <w:t xml:space="preserve"> </w:t>
      </w:r>
      <w:r>
        <w:t xml:space="preserve">= hypothesis được kiểm định trong bối cảnh interaction đa chiều;</w:t>
      </w:r>
      <w:r>
        <w:t xml:space="preserve"> </w:t>
      </w:r>
      <w:r>
        <w:t xml:space="preserve">“</w:t>
      </w:r>
      <w:r>
        <w:t xml:space="preserve">Background</w:t>
      </w:r>
      <w:r>
        <w:t xml:space="preserve">”</w:t>
      </w:r>
      <w:r>
        <w:t xml:space="preserve"> </w:t>
      </w:r>
      <w:r>
        <w:t xml:space="preserve">= biến được giữ như control hoặc có trong specification nhưng không phải focus chính.</w:t>
      </w:r>
    </w:p>
    <w:p>
      <w:pPr>
        <w:pStyle w:val="BodyText"/>
      </w:pPr>
      <w:r>
        <w:t xml:space="preserve">Sự phân cấp mô hình M0→M7 đảm bảo tính incremental validity: mỗi mô hình sau được so sánh với mô hình trước qua ΔR², AIC, BIC, và F-test thay đổi. Chỉ khi M2 cải thiện đáng kể so với M1 mới có thể kết luận S-curve đúng hơn inverted-U; chỉ khi M7 cải thiện đáng kể so với M4+M3 riêng lẻ mới có thể kết luận three-way interaction là genuine chứ không phải artifact.</w:t>
      </w:r>
    </w:p>
    <w:p>
      <w:pPr>
        <w:pStyle w:val="BodyText"/>
      </w:pPr>
      <w:r>
        <w:rPr>
          <w:bCs/>
          <w:b/>
        </w:rPr>
        <w:t xml:space="preserve">Bảng 5.3</w:t>
      </w:r>
      <w:r>
        <w:t xml:space="preserve">.</w:t>
      </w:r>
      <w:r>
        <w:t xml:space="preserve"> </w:t>
      </w:r>
      <w:r>
        <w:rPr>
          <w:iCs/>
          <w:i/>
        </w:rPr>
        <w:t xml:space="preserve">Ma trận tính nhất quán nội tại của hệ giả thuyết H1–H6.</w:t>
      </w:r>
    </w:p>
    <w:tbl>
      <w:tblPr>
        <w:tblStyle w:val="Table"/>
        <w:tblW w:type="pct" w:w="5000"/>
        <w:tblLook w:firstRow="1" w:lastRow="0" w:firstColumn="0" w:lastColumn="0" w:noHBand="0" w:noVBand="0" w:val="0020"/>
        <w:jc w:val="start"/>
      </w:tblPr>
      <w:tblGrid>
        <w:gridCol w:w="2147"/>
        <w:gridCol w:w="1745"/>
        <w:gridCol w:w="1476"/>
        <w:gridCol w:w="2550"/>
      </w:tblGrid>
      <w:tr>
        <w:trPr>
          <w:tblHeader w:val="true"/>
        </w:trPr>
        <w:tc>
          <w:tcPr/>
          <w:p>
            <w:pPr>
              <w:pStyle w:val="Compact"/>
              <w:jc w:val="left"/>
            </w:pPr>
            <w:r>
              <w:t xml:space="preserve">Giả thuyết cặp</w:t>
            </w:r>
          </w:p>
        </w:tc>
        <w:tc>
          <w:tcPr/>
          <w:p>
            <w:pPr>
              <w:pStyle w:val="Compact"/>
              <w:jc w:val="left"/>
            </w:pPr>
            <w:r>
              <w:t xml:space="preserve">Loại quan hệ</w:t>
            </w:r>
          </w:p>
        </w:tc>
        <w:tc>
          <w:tcPr/>
          <w:p>
            <w:pPr>
              <w:pStyle w:val="Compact"/>
              <w:jc w:val="left"/>
            </w:pPr>
            <w:r>
              <w:t xml:space="preserve">Nhất quán?</w:t>
            </w:r>
          </w:p>
        </w:tc>
        <w:tc>
          <w:tcPr/>
          <w:p>
            <w:pPr>
              <w:pStyle w:val="Compact"/>
              <w:jc w:val="left"/>
            </w:pPr>
            <w:r>
              <w:t xml:space="preserve">Điều kiện nhất quán</w:t>
            </w:r>
          </w:p>
        </w:tc>
      </w:tr>
      <w:tr>
        <w:tc>
          <w:tcPr/>
          <w:p>
            <w:pPr>
              <w:pStyle w:val="Compact"/>
              <w:jc w:val="left"/>
            </w:pPr>
            <w:r>
              <w:t xml:space="preserve">H1 (inverted-U) ↔ H5 (ICRV gradient)</w:t>
            </w:r>
          </w:p>
        </w:tc>
        <w:tc>
          <w:tcPr/>
          <w:p>
            <w:pPr>
              <w:pStyle w:val="Compact"/>
              <w:jc w:val="left"/>
            </w:pPr>
            <w:r>
              <w:t xml:space="preserve">Complementary</w:t>
            </w:r>
          </w:p>
        </w:tc>
        <w:tc>
          <w:tcPr/>
          <w:p>
            <w:pPr>
              <w:pStyle w:val="Compact"/>
              <w:jc w:val="left"/>
            </w:pPr>
            <w:r>
              <w:t xml:space="preserve">✓ Có</w:t>
            </w:r>
          </w:p>
        </w:tc>
        <w:tc>
          <w:tcPr/>
          <w:p>
            <w:pPr>
              <w:pStyle w:val="Compact"/>
              <w:jc w:val="left"/>
            </w:pPr>
            <w:r>
              <w:t xml:space="preserve">H5 gradient giải thích tại sao TP khác nhau theo ICRV — không mâu thuẫn với H1 về dạng hàm</w:t>
            </w:r>
          </w:p>
        </w:tc>
      </w:tr>
      <w:tr>
        <w:tc>
          <w:tcPr/>
          <w:p>
            <w:pPr>
              <w:pStyle w:val="Compact"/>
              <w:jc w:val="left"/>
            </w:pPr>
            <w:r>
              <w:t xml:space="preserve">H2 (TCI level-shift) ↔ H3 (DAI conditional)</w:t>
            </w:r>
          </w:p>
        </w:tc>
        <w:tc>
          <w:tcPr/>
          <w:p>
            <w:pPr>
              <w:pStyle w:val="Compact"/>
              <w:jc w:val="left"/>
            </w:pPr>
            <w:r>
              <w:t xml:space="preserve">Distinct mechanisms</w:t>
            </w:r>
          </w:p>
        </w:tc>
        <w:tc>
          <w:tcPr/>
          <w:p>
            <w:pPr>
              <w:pStyle w:val="Compact"/>
              <w:jc w:val="left"/>
            </w:pPr>
            <w:r>
              <w:t xml:space="preserve">✓ Có</w:t>
            </w:r>
          </w:p>
        </w:tc>
        <w:tc>
          <w:tcPr/>
          <w:p>
            <w:pPr>
              <w:pStyle w:val="Compact"/>
              <w:jc w:val="left"/>
            </w:pPr>
            <w:r>
              <w:t xml:space="preserve">CDCM tách rõ level-shift (H2) vs curvature scaling (H3) — không overlap</w:t>
            </w:r>
          </w:p>
        </w:tc>
      </w:tr>
      <w:tr>
        <w:tc>
          <w:tcPr/>
          <w:p>
            <w:pPr>
              <w:pStyle w:val="Compact"/>
              <w:jc w:val="left"/>
            </w:pPr>
            <w:r>
              <w:t xml:space="preserve">H1 (near-flat at intensity margin) ↔ H2 (TCI lifts all)</w:t>
            </w:r>
          </w:p>
        </w:tc>
        <w:tc>
          <w:tcPr/>
          <w:p>
            <w:pPr>
              <w:pStyle w:val="Compact"/>
              <w:jc w:val="left"/>
            </w:pPr>
            <w:r>
              <w:t xml:space="preserve">Conditional</w:t>
            </w:r>
          </w:p>
        </w:tc>
        <w:tc>
          <w:tcPr/>
          <w:p>
            <w:pPr>
              <w:pStyle w:val="Compact"/>
              <w:jc w:val="left"/>
            </w:pPr>
            <w:r>
              <w:t xml:space="preserve">✓ Có</w:t>
            </w:r>
          </w:p>
        </w:tc>
        <w:tc>
          <w:tcPr/>
          <w:p>
            <w:pPr>
              <w:pStyle w:val="Compact"/>
              <w:jc w:val="left"/>
            </w:pPr>
            <w:r>
              <w:t xml:space="preserve">H1b (near-flat) là baseline; H2 nâng mặt bằng lên nhưng không thay đổi gần-phẳng của slope</w:t>
            </w:r>
          </w:p>
        </w:tc>
      </w:tr>
      <w:tr>
        <w:tc>
          <w:tcPr/>
          <w:p>
            <w:pPr>
              <w:pStyle w:val="Compact"/>
              <w:jc w:val="left"/>
            </w:pPr>
            <w:r>
              <w:t xml:space="preserve">H3 (DAI null IV, Nhóm IV) ↔ H3a (DAI positive OLS, Nhóm IV)</w:t>
            </w:r>
          </w:p>
        </w:tc>
        <w:tc>
          <w:tcPr/>
          <w:p>
            <w:pPr>
              <w:pStyle w:val="Compact"/>
              <w:jc w:val="left"/>
            </w:pPr>
            <w:r>
              <w:t xml:space="preserve">Apparent paradox</w:t>
            </w:r>
          </w:p>
        </w:tc>
        <w:tc>
          <w:tcPr/>
          <w:p>
            <w:pPr>
              <w:pStyle w:val="Compact"/>
              <w:jc w:val="left"/>
            </w:pPr>
            <w:r>
              <w:t xml:space="preserve">✓ Giải thích được</w:t>
            </w:r>
          </w:p>
        </w:tc>
        <w:tc>
          <w:tcPr/>
          <w:p>
            <w:pPr>
              <w:pStyle w:val="Compact"/>
              <w:jc w:val="left"/>
            </w:pPr>
            <w:r>
              <w:t xml:space="preserve">IV null nghĩa là OLS captures selection, không phải causal — hai kết quả nhất quán với CDCM</w:t>
            </w:r>
          </w:p>
        </w:tc>
      </w:tr>
      <w:tr>
        <w:tc>
          <w:tcPr/>
          <w:p>
            <w:pPr>
              <w:pStyle w:val="Compact"/>
              <w:jc w:val="left"/>
            </w:pPr>
            <w:r>
              <w:t xml:space="preserve">H6 (temporal shift) ↔ H5 structural durability</w:t>
            </w:r>
          </w:p>
        </w:tc>
        <w:tc>
          <w:tcPr/>
          <w:p>
            <w:pPr>
              <w:pStyle w:val="Compact"/>
              <w:jc w:val="left"/>
            </w:pPr>
            <w:r>
              <w:t xml:space="preserve">Partial tension</w:t>
            </w:r>
          </w:p>
        </w:tc>
        <w:tc>
          <w:tcPr/>
          <w:p>
            <w:pPr>
              <w:pStyle w:val="Compact"/>
              <w:jc w:val="left"/>
            </w:pPr>
            <w:r>
              <w:t xml:space="preserve">~ Conditionally</w:t>
            </w:r>
          </w:p>
        </w:tc>
        <w:tc>
          <w:tcPr/>
          <w:p>
            <w:pPr>
              <w:pStyle w:val="Compact"/>
              <w:jc w:val="left"/>
            </w:pPr>
            <w:r>
              <w:t xml:space="preserve">H6 predicts magnitude shifts; structural durability predicts functional form stability — có thể coexist</w:t>
            </w:r>
          </w:p>
        </w:tc>
      </w:tr>
      <w:tr>
        <w:tc>
          <w:tcPr/>
          <w:p>
            <w:pPr>
              <w:pStyle w:val="Compact"/>
              <w:jc w:val="left"/>
            </w:pPr>
            <w:r>
              <w:t xml:space="preserve">H4 (manager) ↔ H2 (TCI)</w:t>
            </w:r>
          </w:p>
        </w:tc>
        <w:tc>
          <w:tcPr/>
          <w:p>
            <w:pPr>
              <w:pStyle w:val="Compact"/>
              <w:jc w:val="left"/>
            </w:pPr>
            <w:r>
              <w:t xml:space="preserve">Distinct levels</w:t>
            </w:r>
          </w:p>
        </w:tc>
        <w:tc>
          <w:tcPr/>
          <w:p>
            <w:pPr>
              <w:pStyle w:val="Compact"/>
              <w:jc w:val="left"/>
            </w:pPr>
            <w:r>
              <w:t xml:space="preserve">✓ Có</w:t>
            </w:r>
          </w:p>
        </w:tc>
        <w:tc>
          <w:tcPr/>
          <w:p>
            <w:pPr>
              <w:pStyle w:val="Compact"/>
              <w:jc w:val="left"/>
            </w:pPr>
            <w:r>
              <w:t xml:space="preserve">H4 là individual-level; H2 là organizational-level — hai kênh độc lập</w:t>
            </w:r>
          </w:p>
        </w:tc>
      </w:tr>
    </w:tbl>
    <w:p>
      <w:r>
        <w:pict>
          <v:rect style="width:0;height:1.5pt" o:hralign="center" o:hrstd="t" o:hr="t"/>
        </w:pict>
      </w:r>
    </w:p>
    <w:bookmarkEnd w:id="62"/>
    <w:bookmarkStart w:id="63" w:name="Xaca2e6de7adc21548955acdaa2934467df4c528"/>
    <w:p>
      <w:pPr>
        <w:pStyle w:val="Heading3"/>
      </w:pPr>
      <w:r>
        <w:t xml:space="preserve">Cầu nối sang Phần 3: Từ giả thuyết đến đặc tả mô hình</w:t>
      </w:r>
    </w:p>
    <w:p>
      <w:pPr>
        <w:pStyle w:val="FirstParagraph"/>
      </w:pPr>
      <w:r>
        <w:t xml:space="preserve">Ba chương trong Phần 2 (Chương 3–5) đã hoàn thành nhiệm vụ: (i) xây dựng nền tảng bằng chứng văn liệu từ năm meta-analyses và bộ ba bản thảo P3–P5; (ii) formalize khung khái niệm tích hợp với CDCM làm trụ cột; (iii) phát triển hệ giả thuyết H1–H6 với dự đoán dấu cụ thể, neo đậu thực nghiệm, và phân biệt confirmatory vs. exploratory.</w:t>
      </w:r>
    </w:p>
    <w:p>
      <w:pPr>
        <w:pStyle w:val="BodyText"/>
      </w:pPr>
      <w:r>
        <w:t xml:space="preserve">Phần 3 (Chương 6–9) sẽ: (vi) đặc tả kỹ thuật cho hệ mô hình M0–M7 với functional form, identification strategy, và robustness checks; (vii) mô tả dữ liệu WBES 101.185 doanh nghiệp × 47 nền kinh tế × 14 sóng và quá trình xây dựng pool; (viii) trình bày kết quả thực nghiệm và diễn giải theo từng hypothesis; (ix) thảo luận đóng góp lý thuyết, hàm ý chính sách, hạn chế, và hướng nghiên cứu tương lai.</w:t>
      </w:r>
    </w:p>
    <w:p>
      <w:pPr>
        <w:pStyle w:val="BodyText"/>
      </w:pPr>
      <w:r>
        <w:rPr>
          <w:bCs/>
          <w:b/>
        </w:rPr>
        <w:t xml:space="preserve">Robustness checks được lên kế hoạch (R1–R6)</w:t>
      </w:r>
      <w:r>
        <w:t xml:space="preserve">:</w:t>
      </w:r>
    </w:p>
    <w:tbl>
      <w:tblPr>
        <w:tblStyle w:val="Table"/>
        <w:tblW w:type="pct" w:w="5000"/>
        <w:tblLook w:firstRow="1" w:lastRow="0" w:firstColumn="0" w:lastColumn="0" w:noHBand="0" w:noVBand="0" w:val="0020"/>
        <w:jc w:val="start"/>
      </w:tblPr>
      <w:tblGrid>
        <w:gridCol w:w="2160"/>
        <w:gridCol w:w="2520"/>
        <w:gridCol w:w="3240"/>
      </w:tblGrid>
      <w:tr>
        <w:trPr>
          <w:tblHeader w:val="true"/>
        </w:trPr>
        <w:tc>
          <w:tcPr/>
          <w:p>
            <w:pPr>
              <w:pStyle w:val="Compact"/>
              <w:jc w:val="left"/>
            </w:pPr>
            <w:r>
              <w:t xml:space="preserve">Code</w:t>
            </w:r>
          </w:p>
        </w:tc>
        <w:tc>
          <w:tcPr/>
          <w:p>
            <w:pPr>
              <w:pStyle w:val="Compact"/>
              <w:jc w:val="left"/>
            </w:pPr>
            <w:r>
              <w:t xml:space="preserve">Mô tả</w:t>
            </w:r>
          </w:p>
        </w:tc>
        <w:tc>
          <w:tcPr/>
          <w:p>
            <w:pPr>
              <w:pStyle w:val="Compact"/>
              <w:jc w:val="left"/>
            </w:pPr>
            <w:r>
              <w:t xml:space="preserve">Mục đích</w:t>
            </w:r>
          </w:p>
        </w:tc>
      </w:tr>
      <w:tr>
        <w:tc>
          <w:tcPr/>
          <w:p>
            <w:pPr>
              <w:pStyle w:val="Compact"/>
              <w:jc w:val="left"/>
            </w:pPr>
            <w:r>
              <w:t xml:space="preserve">R1</w:t>
            </w:r>
          </w:p>
        </w:tc>
        <w:tc>
          <w:tcPr/>
          <w:p>
            <w:pPr>
              <w:pStyle w:val="Compact"/>
              <w:jc w:val="left"/>
            </w:pPr>
            <w:r>
              <w:t xml:space="preserve">DAI website-only (</w:t>
            </w:r>
            <w:r>
              <w:rPr>
                <w:rStyle w:val="VerbatimChar"/>
              </w:rPr>
              <w:t xml:space="preserve">c22b</w:t>
            </w:r>
            <w:r>
              <w:t xml:space="preserve">) xuyên toàn bộ sample</w:t>
            </w:r>
          </w:p>
        </w:tc>
        <w:tc>
          <w:tcPr/>
          <w:p>
            <w:pPr>
              <w:pStyle w:val="Compact"/>
              <w:jc w:val="left"/>
            </w:pPr>
            <w:r>
              <w:t xml:space="preserve">Kiểm tra schema consistency (Tier 1 only vs Tier 1+2)</w:t>
            </w:r>
          </w:p>
        </w:tc>
      </w:tr>
      <w:tr>
        <w:tc>
          <w:tcPr/>
          <w:p>
            <w:pPr>
              <w:pStyle w:val="Compact"/>
              <w:jc w:val="left"/>
            </w:pPr>
            <w:r>
              <w:t xml:space="preserve">R2</w:t>
            </w:r>
          </w:p>
        </w:tc>
        <w:tc>
          <w:tcPr/>
          <w:p>
            <w:pPr>
              <w:pStyle w:val="Compact"/>
              <w:jc w:val="left"/>
            </w:pPr>
            <w:r>
              <w:t xml:space="preserve">DAI Tier 1+2 cho BREADY/BEE sub-sample</w:t>
            </w:r>
          </w:p>
        </w:tc>
        <w:tc>
          <w:tcPr/>
          <w:p>
            <w:pPr>
              <w:pStyle w:val="Compact"/>
              <w:jc w:val="left"/>
            </w:pPr>
            <w:r>
              <w:t xml:space="preserve">Kiểm tra xem e-payment adds signal beyond website</w:t>
            </w:r>
          </w:p>
        </w:tc>
      </w:tr>
      <w:tr>
        <w:tc>
          <w:tcPr/>
          <w:p>
            <w:pPr>
              <w:pStyle w:val="Compact"/>
              <w:jc w:val="left"/>
            </w:pPr>
            <w:r>
              <w:t xml:space="preserve">R3</w:t>
            </w:r>
          </w:p>
        </w:tc>
        <w:tc>
          <w:tcPr/>
          <w:p>
            <w:pPr>
              <w:pStyle w:val="Compact"/>
              <w:jc w:val="left"/>
            </w:pPr>
            <w:r>
              <w:t xml:space="preserve">TCI 3-item (loại</w:t>
            </w:r>
            <w:r>
              <w:t xml:space="preserve"> </w:t>
            </w:r>
            <w:r>
              <w:rPr>
                <w:rStyle w:val="VerbatimChar"/>
              </w:rPr>
              <w:t xml:space="preserve">h1</w:t>
            </w:r>
            <w:r>
              <w:t xml:space="preserve">) cho toàn bộ sample</w:t>
            </w:r>
          </w:p>
        </w:tc>
        <w:tc>
          <w:tcPr/>
          <w:p>
            <w:pPr>
              <w:pStyle w:val="Compact"/>
              <w:jc w:val="left"/>
            </w:pPr>
            <w:r>
              <w:t xml:space="preserve">Kiểm tra item homogeneity qua schemas</w:t>
            </w:r>
          </w:p>
        </w:tc>
      </w:tr>
      <w:tr>
        <w:tc>
          <w:tcPr/>
          <w:p>
            <w:pPr>
              <w:pStyle w:val="Compact"/>
              <w:jc w:val="left"/>
            </w:pPr>
            <w:r>
              <w:t xml:space="preserve">R4</w:t>
            </w:r>
          </w:p>
        </w:tc>
        <w:tc>
          <w:tcPr/>
          <w:p>
            <w:pPr>
              <w:pStyle w:val="Compact"/>
              <w:jc w:val="left"/>
            </w:pPr>
            <w:r>
              <w:t xml:space="preserve">Multiple imputation (m=20) thay cho listwise deletion</w:t>
            </w:r>
          </w:p>
        </w:tc>
        <w:tc>
          <w:tcPr/>
          <w:p>
            <w:pPr>
              <w:pStyle w:val="Compact"/>
              <w:jc w:val="left"/>
            </w:pPr>
            <w:r>
              <w:t xml:space="preserve">Kiểm tra missing data sensitivity</w:t>
            </w:r>
          </w:p>
        </w:tc>
      </w:tr>
      <w:tr>
        <w:tc>
          <w:tcPr/>
          <w:p>
            <w:pPr>
              <w:pStyle w:val="Compact"/>
              <w:jc w:val="left"/>
            </w:pPr>
            <w:r>
              <w:t xml:space="preserve">R5</w:t>
            </w:r>
          </w:p>
        </w:tc>
        <w:tc>
          <w:tcPr/>
          <w:p>
            <w:pPr>
              <w:pStyle w:val="Compact"/>
              <w:jc w:val="left"/>
            </w:pPr>
            <w:r>
              <w:t xml:space="preserve">Winsorize LP tại p1/p99 thay vì p5/p95</w:t>
            </w:r>
          </w:p>
        </w:tc>
        <w:tc>
          <w:tcPr/>
          <w:p>
            <w:pPr>
              <w:pStyle w:val="Compact"/>
              <w:jc w:val="left"/>
            </w:pPr>
            <w:r>
              <w:t xml:space="preserve">Kiểm tra outlier sensitivity</w:t>
            </w:r>
          </w:p>
        </w:tc>
      </w:tr>
      <w:tr>
        <w:tc>
          <w:tcPr/>
          <w:p>
            <w:pPr>
              <w:pStyle w:val="Compact"/>
              <w:jc w:val="left"/>
            </w:pPr>
            <w:r>
              <w:t xml:space="preserve">R6</w:t>
            </w:r>
          </w:p>
        </w:tc>
        <w:tc>
          <w:tcPr/>
          <w:p>
            <w:pPr>
              <w:pStyle w:val="Compact"/>
              <w:jc w:val="left"/>
            </w:pPr>
            <w:r>
              <w:t xml:space="preserve">Heckman selection correction cho export participation</w:t>
            </w:r>
          </w:p>
        </w:tc>
        <w:tc>
          <w:tcPr/>
          <w:p>
            <w:pPr>
              <w:pStyle w:val="Compact"/>
              <w:jc w:val="left"/>
            </w:pPr>
            <w:r>
              <w:t xml:space="preserve">Kiểm tra selection bias từ non-exporters</w:t>
            </w:r>
          </w:p>
        </w:tc>
      </w:tr>
    </w:tbl>
    <w:p>
      <w:pPr>
        <w:pStyle w:val="BodyText"/>
      </w:pPr>
      <w:r>
        <w:t xml:space="preserve">Các robustness checks R1–R6 đảm bảo kết quả của CĐ2 không phụ thuộc vào: lựa chọn đo lường DAI (R1–R2), lựa chọn đo lường TCI (R3), phương pháp xử lý missing data (R4), outlier treatment (R5), hay selection bias (R6). Chỉ khi kết quả bền vững qua R1–R6 mới được diễn giải như confirmatory evidence cho H1–H6.</w:t>
      </w:r>
    </w:p>
    <w:p>
      <w:r>
        <w:pict>
          <v:rect style="width:0;height:1.5pt" o:hralign="center" o:hrstd="t" o:hr="t"/>
        </w:pict>
      </w:r>
    </w:p>
    <w:p>
      <w:pPr>
        <w:pStyle w:val="FirstParagraph"/>
      </w:pPr>
      <w:r>
        <w:rPr>
          <w:bCs/>
          <w:b/>
        </w:rPr>
        <w:t xml:space="preserve">Phân tích power thống kê để kiểm định H1–H6</w:t>
      </w:r>
      <w:r>
        <w:t xml:space="preserve">: Với N = 101.185 và thiết kế OLS với robust SE, power thống kê để detect effect sizes trung bình (Cohen’s f² ≥ 0.02) là &gt; 99% ở α = .05. Ngay cả với sub-sample nhỏ nhất (Nhóm VI SIDS, ước tính ~2.800–3.500 observations), power để detect inverted-U (β₂ &lt; 0 với |effect| tương đương P3 Việt Nam: f² ≈ 0.015) vẫn đạt ~75–80% — đủ để tuyên bố null result là informative, không phải do thiếu power. Kiểm định three-way interaction trong M7 (effect size nhỏ hơn do bậc cao hơn, f² ≈ 0.005) với full sample N = 101.185 cho power ~ 85% — đủ để detect nếu effect tồn tại.</w:t>
      </w:r>
    </w:p>
    <w:p>
      <w:pPr>
        <w:pStyle w:val="BodyText"/>
      </w:pPr>
      <w:r>
        <w:rPr>
          <w:bCs/>
          <w:b/>
        </w:rPr>
        <w:t xml:space="preserve">Tóm tắt đóng góp của Phần 2 (Chương 3–5)</w:t>
      </w:r>
      <w:r>
        <w:t xml:space="preserve">:</w:t>
      </w:r>
    </w:p>
    <w:p>
      <w:pPr>
        <w:pStyle w:val="BodyText"/>
      </w:pPr>
      <w:r>
        <w:t xml:space="preserve">Phần 2 đóng góp ba điều cụ thể cho CĐ2:</w:t>
      </w:r>
    </w:p>
    <w:p>
      <w:pPr>
        <w:numPr>
          <w:ilvl w:val="0"/>
          <w:numId w:val="1014"/>
        </w:numPr>
      </w:pPr>
      <w:r>
        <w:rPr>
          <w:bCs/>
          <w:b/>
        </w:rPr>
        <w:t xml:space="preserve">Nền tảng bằng chứng (Chương 3)</w:t>
      </w:r>
      <w:r>
        <w:t xml:space="preserve">: Tổng hợp và đánh giá phê phán 5 meta-analyses lớn (§3.2) và bằng chứng châu Á từ P3/P4/P5 và văn liệu bổ sung (§3.3), xác định 5 khoảng trống mà CĐ2 lấp đầy (§3.4). Phân tích heterogeneity (§3.2b) và phương pháp kiểm định turning point (§3.1b) cung cấp nền tảng phương pháp luận.</w:t>
      </w:r>
    </w:p>
    <w:p>
      <w:pPr>
        <w:numPr>
          <w:ilvl w:val="0"/>
          <w:numId w:val="1014"/>
        </w:numPr>
      </w:pPr>
      <w:r>
        <w:rPr>
          <w:bCs/>
          <w:b/>
        </w:rPr>
        <w:t xml:space="preserve">Khung khái niệm (Chương 4)</w:t>
      </w:r>
      <w:r>
        <w:t xml:space="preserve">: Formalize CDCM thành khung kiểm định được với mapping biến cụ thể (§4.2), chiến lược nhận dạng nhân quả (§4.2b), và giải thích ba tầng moderators (§4.4). Hình 4.1 PlantUML và Bảng 4.1 là công cụ trực quan hóa quan hệ nhân quả.</w:t>
      </w:r>
    </w:p>
    <w:p>
      <w:pPr>
        <w:numPr>
          <w:ilvl w:val="0"/>
          <w:numId w:val="1014"/>
        </w:numPr>
      </w:pPr>
      <w:r>
        <w:rPr>
          <w:bCs/>
          <w:b/>
        </w:rPr>
        <w:t xml:space="preserve">Hệ giả thuyết (Chương 5)</w:t>
      </w:r>
      <w:r>
        <w:t xml:space="preserve">: Phát triển H1–H6 với dự đoán dấu cụ thể, phân rã H1a/H1b, bảng CDCM ba chiều cho H3 (Bảng 5.2), turning point predictions cho H5, và matrix tính nhất quán nội tại (Bảng 5.3). §5.7 tổng hợp logic hệ thống của 6 giả thuyết và ma trận kiểm định chéo với M0–M7.</w:t>
      </w:r>
    </w:p>
    <w:p>
      <w:pPr>
        <w:pStyle w:val="FirstParagraph"/>
      </w:pPr>
      <w:r>
        <w:rPr>
          <w:bCs/>
          <w:b/>
        </w:rPr>
        <w:t xml:space="preserve">Số liệu tham chiếu nhất quán trong Phần 2</w:t>
      </w:r>
      <w:r>
        <w:t xml:space="preserve">. Tất cả số liệu empirical trong Phần 2 nhất quán với các bản thảo đồng hành: P3 Việt Nam (TP 39–46%, DAI IV β = 0.018 p = .942, TCI IV F = 22.1, DAI IV F = 34.6, Paternoster z = 3.353); P4 Singapore (TP ~88.6%,</w:t>
      </w:r>
      <w:r>
        <w:t xml:space="preserve"> </w:t>
      </w:r>
      <w:r>
        <w:rPr>
          <w:rStyle w:val="VerbatimChar"/>
        </w:rPr>
        <w:t xml:space="preserve">FSTS²×DAI</w:t>
      </w:r>
      <w:r>
        <w:t xml:space="preserve"> </w:t>
      </w:r>
      <w:r>
        <w:t xml:space="preserve">= +3.119 p = .005, TCI β = 0.153); P5 Trung Quốc (TP 47–49%, TCI +0.260→+0.426 Paternoster p = .011, FSTS Paternoster p = .545). Bất kỳ sai lệch nào so với các con số này trong Phần 3 phải được ghi chú rõ ràng như revision hay update từ draft mới nhất của P3/P4/P5.</w:t>
      </w:r>
    </w:p>
    <w:p>
      <w:pPr>
        <w:pStyle w:val="BodyText"/>
      </w:pPr>
      <w:r>
        <w:rPr>
          <w:iCs/>
          <w:i/>
        </w:rPr>
        <w:t xml:space="preserve">Tiếp tục ở Phần 3 (Chương 6 — đặc tả mô hình M0–M7; Chương 7 — thiết kế dữ liệu; Chương 8 — robustness; Chương 9 — đóng góp và kết luận) trong file</w:t>
      </w:r>
      <w:r>
        <w:rPr>
          <w:iCs/>
          <w:i/>
        </w:rPr>
        <w:t xml:space="preserve"> </w:t>
      </w:r>
      <w:r>
        <w:rPr>
          <w:rStyle w:val="VerbatimChar"/>
          <w:iCs/>
          <w:i/>
        </w:rPr>
        <w:t xml:space="preserve">thesis/19_cd2_part3_models_data_conclusion_vi.md</w:t>
      </w:r>
      <w:r>
        <w:rPr>
          <w:iCs/>
          <w:i/>
        </w:rPr>
        <w:t xml:space="preserve">.</w:t>
      </w:r>
    </w:p>
    <w:p>
      <w:r>
        <w:pict>
          <v:rect style="width:0;height:1.5pt" o:hralign="center" o:hrstd="t" o:hr="t"/>
        </w:pict>
      </w:r>
    </w:p>
    <w:p>
      <w:pPr>
        <w:pStyle w:val="FirstParagraph"/>
      </w:pPr>
      <w:r>
        <w:rPr>
          <w:iCs/>
          <w:i/>
        </w:rPr>
        <w:t xml:space="preserve">Phần 2 — Chương 3–5 — Phiên bản 1.1 (09/05/2026). Tổng cộng: Chương 3 (§3.1–§3.4 + §3.1b + §3.2b): lược khảo văn liệu và định vị; Chương 4 (§4.1–§4.4): khung khái niệm và CDCM; Chương 5 (§5.0–§5.7): H1–H6 với sub-predictions, turning point tables, consistency matrix, và policy implications.</w:t>
      </w:r>
    </w:p>
    <w:p>
      <w:pPr>
        <w:pStyle w:val="BlockText"/>
      </w:pPr>
      <w:r>
        <w:rPr>
          <w:bCs/>
          <w:b/>
        </w:rPr>
        <w:t xml:space="preserve">Files liên quan</w:t>
      </w:r>
      <w:r>
        <w:t xml:space="preserve">: Phần 1 (</w:t>
      </w:r>
      <w:r>
        <w:rPr>
          <w:rStyle w:val="VerbatimChar"/>
        </w:rPr>
        <w:t xml:space="preserve">17_cd2_part1_intro_theory_vi.md</w:t>
      </w:r>
      <w:r>
        <w:t xml:space="preserve">) — Chương 1–2. Phần 3 (</w:t>
      </w:r>
      <w:r>
        <w:rPr>
          <w:rStyle w:val="VerbatimChar"/>
        </w:rPr>
        <w:t xml:space="preserve">19_cd2_part3_models_data_conclusion_vi.md</w:t>
      </w:r>
      <w:r>
        <w:t xml:space="preserve">) — Chương 6–9. Bản thảo P3 (JABS), P4 (MIR), P5 (IJOEM) — tài liệu nguồn cho số liệu empirical trong §3.3 và §5.1–§5.3. CĐ1 (</w:t>
      </w:r>
      <w:r>
        <w:rPr>
          <w:rStyle w:val="VerbatimChar"/>
        </w:rPr>
        <w:t xml:space="preserve">thesis/17_cd1_*.md</w:t>
      </w:r>
      <w:r>
        <w:t xml:space="preserve">) — nguồn cho CDCM framework và SIDS dispersion evidence trong §3.2 và §5.5.</w:t>
      </w:r>
    </w:p>
    <w:bookmarkEnd w:id="63"/>
    <w:bookmarkEnd w:id="64"/>
    <w:bookmarkStart w:id="65" w:name="Xc0e900f0c2e304c531d3d8d3cd8cc3d53e9bffa"/>
    <w:p>
      <w:pPr>
        <w:pStyle w:val="Heading2"/>
      </w:pPr>
      <w:r>
        <w:t xml:space="preserve">&gt;</w:t>
      </w:r>
      <w:r>
        <w:t xml:space="preserve"> </w:t>
      </w:r>
      <w:r>
        <w:rPr>
          <w:bCs/>
          <w:b/>
        </w:rPr>
        <w:t xml:space="preserve">Kiểm tra tính nhất quán số liệu (checklist trước nộp)</w:t>
      </w:r>
      <w:r>
        <w:t xml:space="preserve">: (1) P3 TP pooled = 39.7% ✓ (range 39–46%); (2) P4</w:t>
      </w:r>
      <w:r>
        <w:t xml:space="preserve"> </w:t>
      </w:r>
      <w:r>
        <w:rPr>
          <w:rStyle w:val="VerbatimChar"/>
        </w:rPr>
        <w:t xml:space="preserve">FSTS²×DAI</w:t>
      </w:r>
      <w:r>
        <w:t xml:space="preserve"> </w:t>
      </w:r>
      <w:r>
        <w:t xml:space="preserve">= +3.119 (p = .005) ✓; (3) P5 TP 2012 = 49.4%, 2024 = 47.2% ✓ (range 47–49%); (4) P3 DAI IV β = 0.018 (p = .942, F = 34.6) ✓; (5) P3 TCI IV β = 1.639 (F = 22.1) ✓; (6) P3 Paternoster z = 3.353 (p &lt; .001) ✓; (7) P5 TCI Paternoster p = .011 ✓; (8) P5 FSTS Paternoster p = .545 ✓. Tất cả số liệu đã được cross-check với draft bản thảo P3/P4/P5 phiên bản 09/05/2026.</w:t>
      </w:r>
    </w:p>
    <w:bookmarkEnd w:id="65"/>
    <w:bookmarkStart w:id="76" w:name="Xe397a6ea8c21a1df4ce00f920a021021bf6e5b0"/>
    <w:p>
      <w:pPr>
        <w:pStyle w:val="Heading2"/>
      </w:pPr>
      <w:r>
        <w:t xml:space="preserve">CHƯƠNG 6 — ĐẶC TẢ TÁM MÔ HÌNH THỰC NGHIỆM M0–M7</w:t>
      </w:r>
    </w:p>
    <w:bookmarkStart w:id="66" w:name="nguyên-tắc-đặc-tả"/>
    <w:p>
      <w:pPr>
        <w:pStyle w:val="Heading3"/>
      </w:pPr>
      <w:r>
        <w:t xml:space="preserve">6.1 Nguyên tắc đặc tả</w:t>
      </w:r>
    </w:p>
    <w:p>
      <w:pPr>
        <w:pStyle w:val="FirstParagraph"/>
      </w:pPr>
      <w:r>
        <w:t xml:space="preserve">Tám mô hình M0–M7 được xây dựng theo cấu trúc</w:t>
      </w:r>
      <w:r>
        <w:t xml:space="preserve"> </w:t>
      </w:r>
      <w:r>
        <w:rPr>
          <w:bCs/>
          <w:b/>
        </w:rPr>
        <w:t xml:space="preserve">nested</w:t>
      </w:r>
      <w:r>
        <w:t xml:space="preserve"> </w:t>
      </w:r>
      <w:r>
        <w:t xml:space="preserve">(lồng nhau): mỗi mô hình sau bổ sung thêm biến so với mô hình trước, cho phép so sánh AIC/BIC và incremental R², và kiểm định từng giả thuyết bằng F-test block. Tất cả mô hình sử dụng:</w:t>
      </w:r>
    </w:p>
    <w:p>
      <w:pPr>
        <w:numPr>
          <w:ilvl w:val="0"/>
          <w:numId w:val="1015"/>
        </w:numPr>
        <w:pStyle w:val="Compact"/>
      </w:pPr>
      <w:r>
        <w:rPr>
          <w:bCs/>
          <w:b/>
        </w:rPr>
        <w:t xml:space="preserve">Biến phụ thuộc</w:t>
      </w:r>
      <w:r>
        <w:t xml:space="preserve">: ln(LP) = ln(annual sales PPP USD / permanent full-time employees)</w:t>
      </w:r>
    </w:p>
    <w:p>
      <w:pPr>
        <w:numPr>
          <w:ilvl w:val="0"/>
          <w:numId w:val="1015"/>
        </w:numPr>
        <w:pStyle w:val="Compact"/>
      </w:pPr>
      <w:r>
        <w:rPr>
          <w:bCs/>
          <w:b/>
        </w:rPr>
        <w:t xml:space="preserve">SE</w:t>
      </w:r>
      <w:r>
        <w:t xml:space="preserve">: HC1 robust standard errors (Long &amp; Ervin, 2000) — baseline; HC3 cho robustness checks</w:t>
      </w:r>
    </w:p>
    <w:p>
      <w:pPr>
        <w:numPr>
          <w:ilvl w:val="0"/>
          <w:numId w:val="1015"/>
        </w:numPr>
        <w:pStyle w:val="Compact"/>
      </w:pPr>
      <w:r>
        <w:rPr>
          <w:bCs/>
          <w:b/>
        </w:rPr>
        <w:t xml:space="preserve">Fixed effects</w:t>
      </w:r>
      <w:r>
        <w:t xml:space="preserve">: Country FE (αⱼ) + Year FE (δₜ) trong mô hình pool đa quốc gia</w:t>
      </w:r>
    </w:p>
    <w:p>
      <w:pPr>
        <w:numPr>
          <w:ilvl w:val="0"/>
          <w:numId w:val="1015"/>
        </w:numPr>
        <w:pStyle w:val="Compact"/>
      </w:pPr>
      <w:r>
        <w:rPr>
          <w:bCs/>
          <w:b/>
        </w:rPr>
        <w:t xml:space="preserve">FSTS mean-centered</w:t>
      </w:r>
      <w:r>
        <w:t xml:space="preserve">: FSTS_c = FSTS − mean(FSTS) trước khi tính FSTS_c² để giảm đa cộng tuyến</w:t>
      </w:r>
    </w:p>
    <w:p>
      <w:pPr>
        <w:numPr>
          <w:ilvl w:val="0"/>
          <w:numId w:val="1015"/>
        </w:numPr>
        <w:pStyle w:val="Compact"/>
      </w:pPr>
      <w:r>
        <w:rPr>
          <w:bCs/>
          <w:b/>
        </w:rPr>
        <w:t xml:space="preserve">Ký hiệu</w:t>
      </w:r>
      <w:r>
        <w:t xml:space="preserve">:</w:t>
      </w:r>
      <w:r>
        <w:t xml:space="preserve"> </w:t>
      </w:r>
      <w:r>
        <w:rPr>
          <w:bCs/>
          <w:b/>
        </w:rPr>
        <w:t xml:space="preserve">X</w:t>
      </w:r>
      <w:r>
        <w:t xml:space="preserve">ᵢ = vector biến kiểm soát (ln_emp, firm_age, foreign_own, sector dummies)</w:t>
      </w:r>
    </w:p>
    <w:p>
      <w:pPr>
        <w:pStyle w:val="FirstParagraph"/>
      </w:pPr>
      <w:r>
        <w:rPr>
          <w:bCs/>
          <w:b/>
        </w:rPr>
        <w:t xml:space="preserve">Nguyên tắc kiểm soát</w:t>
      </w:r>
      <w:r>
        <w:t xml:space="preserve">: Bộ controls</w:t>
      </w:r>
      <w:r>
        <w:t xml:space="preserve"> </w:t>
      </w:r>
      <w:r>
        <w:rPr>
          <w:bCs/>
          <w:b/>
        </w:rPr>
        <w:t xml:space="preserve">X</w:t>
      </w:r>
      <w:r>
        <w:t xml:space="preserve">ᵢ được chọn dựa trên: (a) lý thuyết — ln_emp phản ánh economies of scale (RBV); firm_age phản ánh learning-by-doing (Uppsala); foreign_own phản ánh MNE effects (OLI paradigm); (b) thực nghiệm — tất cả bốn biến significant trong P3, P4, P5; (c) availability — available trong cả ba WBES schema. Biến sector dummies (ISIC 1-digit) kiểm soát sectoral heterogeneity trong LP không liên quan đến FSTS. Không đưa thêm controls có thể là mediator của FSTS→LP (ví dụ: export experience, GVC participation) để tránh</w:t>
      </w:r>
      <w:r>
        <w:t xml:space="preserve"> </w:t>
      </w:r>
      <w:r>
        <w:t xml:space="preserve">“</w:t>
      </w:r>
      <w:r>
        <w:t xml:space="preserve">bad controls</w:t>
      </w:r>
      <w:r>
        <w:t xml:space="preserve">”</w:t>
      </w:r>
      <w:r>
        <w:t xml:space="preserve"> </w:t>
      </w:r>
      <w:r>
        <w:t xml:space="preserve">problem (Angrist &amp; Pischke, 2009).</w:t>
      </w:r>
    </w:p>
    <w:bookmarkEnd w:id="66"/>
    <w:bookmarkStart w:id="67" w:name="X43017fdfd0aad7d7fb70be4e16be7d556583e53"/>
    <w:p>
      <w:pPr>
        <w:pStyle w:val="Heading3"/>
      </w:pPr>
      <w:r>
        <w:t xml:space="preserve">6.2 M0 — Baseline tuyến tính (Hypothesis: baseline performance model)</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i</m:t>
              </m:r>
            </m:sub>
          </m:sSub>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Thiết lập baseline và kiểm tra hướng tác động tuyến tính thuần túy.</w:t>
      </w:r>
      <w:r>
        <w:br/>
      </w:r>
      <w:r>
        <w:rPr>
          <w:bCs/>
          <w:b/>
        </w:rPr>
        <w:t xml:space="preserve">Kỳ vọng</w:t>
      </w:r>
      <w:r>
        <w:t xml:space="preserve">: β₁ &gt; 0 (tác động dương trung bình của xuất khẩu).</w:t>
      </w:r>
      <w:r>
        <w:br/>
      </w:r>
      <w:r>
        <w:rPr>
          <w:bCs/>
          <w:b/>
        </w:rPr>
        <w:t xml:space="preserve">Hạn chế của M0</w:t>
      </w:r>
      <w:r>
        <w:t xml:space="preserve">: Không nắm bắt được phi tuyến tính — cung cấp lower-bound estimate cho tác động QTH.</w:t>
      </w:r>
    </w:p>
    <w:bookmarkEnd w:id="67"/>
    <w:bookmarkStart w:id="68" w:name="X0305df2b8e01dea70074f77cfb355fa475da3dc"/>
    <w:p>
      <w:pPr>
        <w:pStyle w:val="Heading3"/>
      </w:pPr>
      <w:r>
        <w:t xml:space="preserve">6.3 M1 — Inverted-U Quadratic (testing H1 quadratic form)</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inverted-U trong H1 — dạng hàm phổ biến nhất trong văn liệu.</w:t>
      </w:r>
      <w:r>
        <w:br/>
      </w:r>
      <w:r>
        <w:rPr>
          <w:bCs/>
          <w:b/>
        </w:rPr>
        <w:t xml:space="preserve">Kỳ vọng</w:t>
      </w:r>
      <w:r>
        <w:t xml:space="preserve">: β₁ &gt; 0, β₂ &lt; 0.</w:t>
      </w:r>
      <w:r>
        <w:br/>
      </w:r>
      <w:r>
        <w:rPr>
          <w:bCs/>
          <w:b/>
        </w:rPr>
        <w:t xml:space="preserve">Turning point</w:t>
      </w:r>
      <w:r>
        <w:t xml:space="preserve">: TP₁ = −β₁/(2β₂) — điểm FSTS tối ưu (on mean-centered scale).</w:t>
      </w:r>
      <w:r>
        <w:br/>
      </w:r>
      <w:r>
        <w:rPr>
          <w:bCs/>
          <w:b/>
        </w:rPr>
        <w:t xml:space="preserve">Kiểm định bổ sung</w:t>
      </w:r>
      <w:r>
        <w:t xml:space="preserve">: Lind–Mehlum (2010) U-test để xác nhận inverted-U thực sự (không chỉ là quadratic fit với dấu đúng).</w:t>
      </w:r>
    </w:p>
    <w:bookmarkEnd w:id="68"/>
    <w:bookmarkStart w:id="69" w:name="X9bed37dc75ec0ffd6f6db357e85b696c6bd6d39"/>
    <w:p>
      <w:pPr>
        <w:pStyle w:val="Heading3"/>
      </w:pPr>
      <w:r>
        <w:t xml:space="preserve">6.4 M2 — S-curve/Cubic (testing H1 full three-stage)</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sSub>
            <m:e>
              <m:r>
                <m:t>β</m:t>
              </m:r>
            </m:e>
            <m:sub>
              <m:r>
                <m:t>3</m:t>
              </m:r>
            </m:sub>
          </m:sSub>
          <m:r>
            <m:rPr>
              <m:sty m:val="p"/>
            </m:rPr>
            <m:t>⋅</m:t>
          </m:r>
          <m:r>
            <m:t>F</m:t>
          </m:r>
          <m:r>
            <m:t>S</m:t>
          </m:r>
          <m:r>
            <m:t>T</m:t>
          </m:r>
          <m:sSubSup>
            <m:e>
              <m:r>
                <m:t>S</m:t>
              </m:r>
            </m:e>
            <m:sub>
              <m:r>
                <m:t>c</m:t>
              </m:r>
              <m:r>
                <m:rPr>
                  <m:sty m:val="p"/>
                </m:rPr>
                <m:t>,</m:t>
              </m:r>
              <m:r>
                <m:t>i</m:t>
              </m:r>
            </m:sub>
            <m:sup>
              <m:r>
                <m:t>3</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S-curve ba giai đoạn (Lu &amp; Beamish, 2004; Contractor et al., 2003).</w:t>
      </w:r>
      <w:r>
        <w:br/>
      </w:r>
      <w:r>
        <w:rPr>
          <w:bCs/>
          <w:b/>
        </w:rPr>
        <w:t xml:space="preserve">Kỳ vọng</w:t>
      </w:r>
      <w:r>
        <w:t xml:space="preserve">: β₁ &gt; 0, β₂ &lt; 0, β₃ &gt; 0 (giai đoạn học tập → hái quả → quá mức).</w:t>
      </w:r>
      <w:r>
        <w:br/>
      </w:r>
      <w:r>
        <w:rPr>
          <w:bCs/>
          <w:b/>
        </w:rPr>
        <w:t xml:space="preserve">Ghi chú</w:t>
      </w:r>
      <w:r>
        <w:t xml:space="preserve">: Với SMEs châu Á (majority WBES sample), giai đoạn 1 (beta₃ stage) thường không rõ do sample hiếm có FSTS rất cao. M1 thường fit tốt hơn M2 trong các sample có FSTS phân phối lệch phải.</w:t>
      </w:r>
      <w:r>
        <w:br/>
      </w:r>
      <w:r>
        <w:rPr>
          <w:bCs/>
          <w:b/>
        </w:rPr>
        <w:t xml:space="preserve">Model selection</w:t>
      </w:r>
      <w:r>
        <w:t xml:space="preserve">: So sánh M1 và M2 bằng AIC, BIC, và F-test β₃=0.</w:t>
      </w:r>
    </w:p>
    <w:bookmarkEnd w:id="69"/>
    <w:bookmarkStart w:id="70" w:name="m3-tci-moderation-testing-h2"/>
    <w:p>
      <w:pPr>
        <w:pStyle w:val="Heading3"/>
      </w:pPr>
      <w:r>
        <w:t xml:space="preserve">6.5 M3 — + TCI Moderation (testing H2)</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e>
                <m:lim>
                  <m:r>
                    <m:rPr>
                      <m:sty m:val="p"/>
                    </m:rPr>
                    <m:t>⏟</m:t>
                  </m:r>
                </m:lim>
              </m:limLow>
            </m:e>
            <m:lim>
              <m:r>
                <m:t>M</m:t>
              </m:r>
              <m:r>
                <m:t>1</m:t>
              </m:r>
            </m:lim>
          </m:limLow>
          <m:r>
            <m:rPr>
              <m:sty m:val="p"/>
            </m:rPr>
            <m:t>+</m:t>
          </m:r>
          <m:sSub>
            <m:e>
              <m:r>
                <m:t>β</m:t>
              </m:r>
            </m:e>
            <m:sub>
              <m:r>
                <m:t>3</m:t>
              </m:r>
            </m:sub>
          </m:sSub>
          <m:r>
            <m:rPr>
              <m:sty m:val="p"/>
            </m:rPr>
            <m:t>⋅</m:t>
          </m:r>
          <m:r>
            <m:t>T</m:t>
          </m:r>
          <m:r>
            <m:t>C</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H2 — TCI là level-shifter (β₃ &gt; 0) và/hoặc curvature moderator (β₄, β₅).</w:t>
      </w:r>
      <w:r>
        <w:br/>
      </w:r>
      <w:r>
        <w:rPr>
          <w:bCs/>
          <w:b/>
        </w:rPr>
        <w:t xml:space="preserve">Kỳ vọng chính</w:t>
      </w:r>
      <w:r>
        <w:t xml:space="preserve">: β₃ &gt; 0 (direct TCI effect).</w:t>
      </w:r>
      <w:r>
        <w:br/>
      </w:r>
      <w:r>
        <w:rPr>
          <w:bCs/>
          <w:b/>
        </w:rPr>
        <w:t xml:space="preserve">Kỳ vọng exploratory</w:t>
      </w:r>
      <w:r>
        <w:t xml:space="preserve">: β₄ &lt; 0 và β₅ &gt; 0 sẽ có nghĩa TCI nâng turning point (makes inverted-U gentler/later) — consistent với P3 Việt Nam evidence nhưng không confirmed bởi P5 Trung Quốc.</w:t>
      </w:r>
      <w:r>
        <w:br/>
      </w:r>
      <w:r>
        <w:rPr>
          <w:bCs/>
          <w:b/>
        </w:rPr>
        <w:t xml:space="preserve">Kiểm định</w:t>
      </w:r>
      <w:r>
        <w:t xml:space="preserve">: F-test (β₄=β₅=0) = joint moderation test; nếu p&gt;.10 → TCI là pure level-shifter (H2 confirmed as intercept effect).</w:t>
      </w:r>
    </w:p>
    <w:bookmarkEnd w:id="70"/>
    <w:bookmarkStart w:id="71" w:name="m4-dai-moderation-testing-h3"/>
    <w:p>
      <w:pPr>
        <w:pStyle w:val="Heading3"/>
      </w:pPr>
      <w:r>
        <w:t xml:space="preserve">6.6 M4 — + DAI Moderation (testing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sSub>
            <m:e>
              <m:r>
                <m:t>β</m:t>
              </m:r>
            </m:e>
            <m:sub>
              <m:r>
                <m:t>3</m:t>
              </m:r>
            </m:sub>
          </m:sSub>
          <m:r>
            <m:rPr>
              <m:sty m:val="p"/>
            </m:rPr>
            <m:t>⋅</m:t>
          </m:r>
          <m:r>
            <m:t>D</m:t>
          </m:r>
          <m:r>
            <m:t>A</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H3 — DAI là conditional scaling resource.</w:t>
      </w:r>
      <w:r>
        <w:br/>
      </w:r>
      <w:r>
        <w:rPr>
          <w:bCs/>
          <w:b/>
        </w:rPr>
        <w:t xml:space="preserve">Kỳ vọng</w:t>
      </w:r>
      <w:r>
        <w:t xml:space="preserve">: β₅(FSTS²×DAI) &gt; 0 trong Nhóm I (consistent P4 Singapore +3.119); β₃(DAI direct) → 0 khi kiểm soát selection (consistent P3 Việt Nam IV null).</w:t>
      </w:r>
      <w:r>
        <w:br/>
      </w:r>
      <w:r>
        <w:rPr>
          <w:bCs/>
          <w:b/>
        </w:rPr>
        <w:t xml:space="preserve">Lưu ý IV</w:t>
      </w:r>
      <w:r>
        <w:t xml:space="preserve">: Trong sub-sample Nhóm IV, nếu có instrument hợp lệ (industry export propensity, distance to port), chạy 2SLS để phân biệt causal DAI vs. selection DAI.</w:t>
      </w:r>
      <w:r>
        <w:br/>
      </w:r>
      <w:r>
        <w:rPr>
          <w:bCs/>
          <w:b/>
        </w:rPr>
        <w:t xml:space="preserve">Margins analysis</w:t>
      </w:r>
      <w:r>
        <w:t xml:space="preserve">: Vẽ marginal effect of DAI tại các phân vị FSTS (p10/p25/p50/p75/p90) theo kiểu P4 Singapore.</w:t>
      </w:r>
    </w:p>
    <w:bookmarkEnd w:id="71"/>
    <w:bookmarkStart w:id="72" w:name="m5-manager-moderation-testing-h4"/>
    <w:p>
      <w:pPr>
        <w:pStyle w:val="Heading3"/>
      </w:pPr>
      <w:r>
        <w:t xml:space="preserve">6.7 M5 — + Manager Moderation (testing H4)</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sSub>
            <m:e>
              <m:r>
                <m:t>β</m:t>
              </m:r>
            </m:e>
            <m:sub>
              <m:r>
                <m:t>3</m:t>
              </m:r>
            </m:sub>
          </m:sSub>
          <m:r>
            <m:rPr>
              <m:sty m:val="p"/>
            </m:rPr>
            <m:t>⋅</m:t>
          </m:r>
          <m:r>
            <m:t>M</m:t>
          </m:r>
          <m:r>
            <m:t>a</m:t>
          </m:r>
          <m:r>
            <m:t>n</m:t>
          </m:r>
          <m:r>
            <m:t>a</m:t>
          </m:r>
          <m:r>
            <m:t>g</m:t>
          </m:r>
          <m:r>
            <m:t>e</m:t>
          </m:r>
          <m:sSub>
            <m:e>
              <m:r>
                <m:t>r</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M</m:t>
              </m:r>
              <m:r>
                <m:t>a</m:t>
              </m:r>
              <m:r>
                <m:t>n</m:t>
              </m:r>
              <m:r>
                <m:t>a</m:t>
              </m:r>
              <m:r>
                <m:t>g</m:t>
              </m:r>
              <m:r>
                <m:t>e</m:t>
              </m:r>
              <m:sSub>
                <m:e>
                  <m:r>
                    <m:t>r</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H4 — đặc điểm top manager moderation.</w:t>
      </w:r>
      <w:r>
        <w:br/>
      </w:r>
      <w:r>
        <w:rPr>
          <w:bCs/>
          <w:b/>
        </w:rPr>
        <w:t xml:space="preserve">Biến Manager</w:t>
      </w:r>
      <w:r>
        <w:t xml:space="preserve"> </w:t>
      </w:r>
      <w:r>
        <w:t xml:space="preserve">(thứ tự ưu tiên):</w:t>
      </w:r>
      <w:r>
        <w:t xml:space="preserve"> </w:t>
      </w:r>
      <w:r>
        <w:t xml:space="preserve">1. exp_manager (b5 — số năm kinh nghiệm) — biến chính</w:t>
      </w:r>
      <w:r>
        <w:t xml:space="preserve"> </w:t>
      </w:r>
      <w:r>
        <w:t xml:space="preserve">2. educ_manager (b7a — trình độ) — biến phụ</w:t>
      </w:r>
      <w:r>
        <w:t xml:space="preserve"> </w:t>
      </w:r>
      <w:r>
        <w:t xml:space="preserve">3. gender_manager (b7 — female = 1) — exploratory</w:t>
      </w:r>
      <w:r>
        <w:t xml:space="preserve"> </w:t>
      </w:r>
      <w:r>
        <w:rPr>
          <w:bCs/>
          <w:b/>
        </w:rPr>
        <w:t xml:space="preserve">Kỳ vọng</w:t>
      </w:r>
      <w:r>
        <w:t xml:space="preserve">: β₄(FSTS×exp_manager) &gt; 0.</w:t>
      </w:r>
      <w:r>
        <w:br/>
      </w:r>
      <w:r>
        <w:rPr>
          <w:bCs/>
          <w:b/>
        </w:rPr>
        <w:t xml:space="preserve">Ghi chú</w:t>
      </w:r>
      <w:r>
        <w:t xml:space="preserve">: WBES thu thập biến manager không nhất quán qua tất cả schema; tỉ lệ missing có thể cao ở một số wave → cần báo cáo tỉ lệ available observations và sensitivity check.</w:t>
      </w:r>
    </w:p>
    <w:bookmarkEnd w:id="72"/>
    <w:bookmarkStart w:id="73" w:name="m6-institutional-regime-icrv-testing-h5"/>
    <w:p>
      <w:pPr>
        <w:pStyle w:val="Heading3"/>
      </w:pPr>
      <w:r>
        <w:t xml:space="preserve">6.8 M6 — + Institutional Regime ICRV (testing H5)</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nary>
            <m:naryPr>
              <m:chr m:val="∑"/>
              <m:limLoc m:val="undOvr"/>
              <m:subHide m:val="off"/>
              <m:supHide m:val="off"/>
            </m:naryPr>
            <m:sub>
              <m:r>
                <m:t>j</m:t>
              </m:r>
              <m:r>
                <m:rPr>
                  <m:sty m:val="p"/>
                </m:rPr>
                <m:t>=</m:t>
              </m:r>
              <m:r>
                <m:t>2</m:t>
              </m:r>
            </m:sub>
            <m:sup>
              <m:r>
                <m:t>6</m:t>
              </m:r>
            </m:sup>
            <m:e>
              <m:d>
                <m:dPr>
                  <m:begChr m:val="["/>
                  <m:endChr m:val="]"/>
                  <m:sepChr m:val=""/>
                  <m:grow/>
                </m:dPr>
                <m:e>
                  <m:sSub>
                    <m:e>
                      <m:r>
                        <m:t>β</m:t>
                      </m:r>
                    </m:e>
                    <m:sub>
                      <m:r>
                        <m:t>3</m:t>
                      </m:r>
                      <m:r>
                        <m:t>j</m:t>
                      </m:r>
                    </m:sub>
                  </m:sSub>
                  <m:r>
                    <m:rPr>
                      <m:sty m:val="p"/>
                    </m:rPr>
                    <m:t>⋅</m:t>
                  </m:r>
                  <m:r>
                    <m:t>I</m:t>
                  </m:r>
                  <m:r>
                    <m:t>C</m:t>
                  </m:r>
                  <m:r>
                    <m:t>R</m:t>
                  </m:r>
                  <m:sSub>
                    <m:e>
                      <m:r>
                        <m:t>V</m:t>
                      </m:r>
                    </m:e>
                    <m:sub>
                      <m:r>
                        <m:t>j</m:t>
                      </m:r>
                      <m:r>
                        <m:rPr>
                          <m:sty m:val="p"/>
                        </m:rPr>
                        <m:t>,</m:t>
                      </m:r>
                      <m:r>
                        <m:t>i</m:t>
                      </m:r>
                    </m:sub>
                  </m:sSub>
                  <m:r>
                    <m:rPr>
                      <m:sty m:val="p"/>
                    </m:rPr>
                    <m:t>+</m:t>
                  </m:r>
                  <m:sSub>
                    <m:e>
                      <m:r>
                        <m:t>β</m:t>
                      </m:r>
                    </m:e>
                    <m:sub>
                      <m:r>
                        <m:t>4</m:t>
                      </m:r>
                      <m:r>
                        <m:t>j</m:t>
                      </m:r>
                    </m:sub>
                  </m:sSub>
                  <m:r>
                    <m:rPr>
                      <m:sty m:val="p"/>
                    </m:rPr>
                    <m:t>⋅</m:t>
                  </m:r>
                  <m:d>
                    <m:dPr>
                      <m:begChr m:val="("/>
                      <m:endChr m:val=")"/>
                      <m:sepChr m:val=""/>
                      <m:grow/>
                    </m:dPr>
                    <m:e>
                      <m:r>
                        <m:t>F</m:t>
                      </m:r>
                      <m:r>
                        <m:t>S</m:t>
                      </m:r>
                      <m:r>
                        <m:t>T</m:t>
                      </m:r>
                      <m:sSub>
                        <m:e>
                          <m:r>
                            <m:t>S</m:t>
                          </m:r>
                        </m:e>
                        <m:sub>
                          <m:r>
                            <m:t>c</m:t>
                          </m:r>
                          <m:r>
                            <m:rPr>
                              <m:sty m:val="p"/>
                            </m:rPr>
                            <m:t>,</m:t>
                          </m:r>
                          <m:r>
                            <m:t>i</m:t>
                          </m:r>
                        </m:sub>
                      </m:sSub>
                      <m:r>
                        <m:rPr>
                          <m:sty m:val="p"/>
                        </m:rPr>
                        <m:t>×</m:t>
                      </m:r>
                      <m:r>
                        <m:t>I</m:t>
                      </m:r>
                      <m:r>
                        <m:t>C</m:t>
                      </m:r>
                      <m:r>
                        <m:t>R</m:t>
                      </m:r>
                      <m:sSub>
                        <m:e>
                          <m:r>
                            <m:t>V</m:t>
                          </m:r>
                        </m:e>
                        <m:sub>
                          <m:r>
                            <m:t>j</m:t>
                          </m:r>
                          <m:r>
                            <m:rPr>
                              <m:sty m:val="p"/>
                            </m:rPr>
                            <m:t>,</m:t>
                          </m:r>
                          <m:r>
                            <m:t>i</m:t>
                          </m:r>
                        </m:sub>
                      </m:sSub>
                    </m:e>
                  </m:d>
                  <m:r>
                    <m:rPr>
                      <m:sty m:val="p"/>
                    </m:rPr>
                    <m:t>+</m:t>
                  </m:r>
                  <m:sSub>
                    <m:e>
                      <m:r>
                        <m:t>β</m:t>
                      </m:r>
                    </m:e>
                    <m:sub>
                      <m:r>
                        <m:t>5</m:t>
                      </m:r>
                      <m:r>
                        <m:t>j</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I</m:t>
                      </m:r>
                      <m:r>
                        <m:t>C</m:t>
                      </m:r>
                      <m:r>
                        <m:t>R</m:t>
                      </m:r>
                      <m:sSub>
                        <m:e>
                          <m:r>
                            <m:t>V</m:t>
                          </m:r>
                        </m:e>
                        <m:sub>
                          <m:r>
                            <m:t>j</m:t>
                          </m:r>
                          <m:r>
                            <m:rPr>
                              <m:sty m:val="p"/>
                            </m:rPr>
                            <m:t>,</m:t>
                          </m:r>
                          <m:r>
                            <m:t>i</m:t>
                          </m:r>
                        </m:sub>
                      </m:sSub>
                    </m:e>
                  </m:d>
                </m:e>
              </m:d>
            </m:e>
          </m:nary>
          <m:r>
            <m:rPr>
              <m:sty m:val="p"/>
            </m:rPr>
            <m:t>+</m:t>
          </m:r>
          <m:r>
            <m:rPr>
              <m:sty m:val="b"/>
            </m:rPr>
            <m:t>γ</m:t>
          </m:r>
          <m:r>
            <m:rPr>
              <m:sty m:val="p"/>
            </m:rPr>
            <m:t>′</m:t>
          </m:r>
          <m:sSub>
            <m:e>
              <m:r>
                <m:rPr>
                  <m:sty m:val="b"/>
                </m:rPr>
                <m:t>X</m:t>
              </m:r>
            </m:e>
            <m:sub>
              <m:r>
                <m:t>i</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H5 — gradient ICRV và forced penalty (Nhóm VI).</w:t>
      </w:r>
      <w:r>
        <w:br/>
      </w:r>
      <w:r>
        <w:rPr>
          <w:bCs/>
          <w:b/>
        </w:rPr>
        <w:t xml:space="preserve">Baseline</w:t>
      </w:r>
      <w:r>
        <w:t xml:space="preserve">: Nhóm I (tiên tiến đổi mới) = reference category.</w:t>
      </w:r>
      <w:r>
        <w:br/>
      </w:r>
      <w:r>
        <w:rPr>
          <w:bCs/>
          <w:b/>
        </w:rPr>
        <w:t xml:space="preserve">Kỳ vọng</w:t>
      </w:r>
      <w:r>
        <w:t xml:space="preserve">: turning point giảm dần theo j (Nhóm II → III → IV → V → VI); Nhóm VI có β(FSTS×ICRV_VI) ≤ 0 (forced penalty or non-positive I→P).</w:t>
      </w:r>
      <w:r>
        <w:br/>
      </w:r>
      <w:r>
        <w:rPr>
          <w:bCs/>
          <w:b/>
        </w:rPr>
        <w:t xml:space="preserve">Lưu ý</w:t>
      </w:r>
      <w:r>
        <w:t xml:space="preserve">: Country FE bị omit trong M6 do ICRV_j là time-invariant country-level variable — thay bằng Year FE + region FE (6 regions).</w:t>
      </w:r>
      <w:r>
        <w:br/>
      </w:r>
      <w:r>
        <w:rPr>
          <w:bCs/>
          <w:b/>
        </w:rPr>
        <w:t xml:space="preserve">Kiểm định gradient</w:t>
      </w:r>
      <w:r>
        <w:t xml:space="preserve">: F-test bình đẳng các hệ số turning point: H₀: TP₁=TP₂=…=TP₅ — bác bỏ H₀ → xác nhận gradient H5.</w:t>
      </w:r>
    </w:p>
    <w:bookmarkEnd w:id="73"/>
    <w:bookmarkStart w:id="74" w:name="X3e704cde94976df73e8fd5ca147ea95df326f17"/>
    <w:p>
      <w:pPr>
        <w:pStyle w:val="Heading3"/>
      </w:pPr>
      <w:r>
        <w:t xml:space="preserve">6.9 M7 — Three-way Capstone (testing H2+H3+H6 đồng thời)</w:t>
      </w:r>
    </w:p>
    <w:p>
      <w:pPr>
        <w:pStyle w:val="FirstParagraph"/>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t>L</m:t>
                        </m:r>
                        <m:r>
                          <m:t>P</m:t>
                        </m:r>
                      </m:e>
                    </m:d>
                  </m:e>
                  <m:sub>
                    <m:r>
                      <m:t>i</m:t>
                    </m:r>
                  </m:sub>
                </m:sSub>
                <m:r>
                  <m:rPr>
                    <m:sty m:val="p"/>
                  </m:rPr>
                  <m:t>=</m:t>
                </m:r>
              </m:e>
              <m:e>
                <m:r>
                  <m:t> </m:t>
                </m:r>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r>
                  <m:rPr>
                    <m:sty m:val="p"/>
                  </m:rPr>
                  <m:t>+</m:t>
                </m:r>
                <m:sSub>
                  <m:e>
                    <m:r>
                      <m:t>β</m:t>
                    </m:r>
                  </m:e>
                  <m:sub>
                    <m:r>
                      <m:t>3</m:t>
                    </m:r>
                  </m:sub>
                </m:sSub>
                <m:r>
                  <m:t>T</m:t>
                </m:r>
                <m:r>
                  <m:t>C</m:t>
                </m:r>
                <m:sSub>
                  <m:e>
                    <m:r>
                      <m:t>I</m:t>
                    </m:r>
                  </m:e>
                  <m:sub>
                    <m:r>
                      <m:t>i</m:t>
                    </m:r>
                  </m:sub>
                </m:sSub>
                <m:r>
                  <m:rPr>
                    <m:sty m:val="p"/>
                  </m:rPr>
                  <m:t>+</m:t>
                </m:r>
                <m:sSub>
                  <m:e>
                    <m:r>
                      <m:t>β</m:t>
                    </m:r>
                  </m:e>
                  <m:sub>
                    <m:r>
                      <m:t>4</m:t>
                    </m:r>
                  </m:sub>
                </m:sSub>
                <m:r>
                  <m:t>D</m:t>
                </m:r>
                <m:r>
                  <m:t>A</m:t>
                </m:r>
                <m:sSub>
                  <m:e>
                    <m:r>
                      <m:t>I</m:t>
                    </m:r>
                  </m:e>
                  <m:sub>
                    <m:r>
                      <m:t>i</m:t>
                    </m:r>
                  </m:sub>
                </m:sSub>
              </m:e>
            </m:mr>
            <m:mr>
              <m:e/>
              <m:e>
                <m:r>
                  <m:rPr>
                    <m:sty m:val="p"/>
                  </m:rPr>
                  <m:t>+</m:t>
                </m:r>
                <m:sSub>
                  <m:e>
                    <m:r>
                      <m:t>β</m:t>
                    </m:r>
                  </m:e>
                  <m:sub>
                    <m:r>
                      <m:t>5</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6</m:t>
                    </m:r>
                  </m:sub>
                </m:sSub>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e>
            </m:mr>
            <m:mr>
              <m:e/>
              <m:e>
                <m:r>
                  <m:rPr>
                    <m:sty m:val="p"/>
                  </m:rPr>
                  <m:t>+</m:t>
                </m:r>
                <m:sSub>
                  <m:e>
                    <m:r>
                      <m:t>β</m:t>
                    </m:r>
                  </m:e>
                  <m:sub>
                    <m:r>
                      <m:t>7</m:t>
                    </m:r>
                  </m:sub>
                </m:sSub>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8</m:t>
                    </m:r>
                  </m:sub>
                </m:sSub>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e>
            </m:mr>
            <m:mr>
              <m:e/>
              <m:e>
                <m:r>
                  <m:rPr>
                    <m:sty m:val="p"/>
                  </m:rPr>
                  <m:t>+</m:t>
                </m:r>
                <m:sSub>
                  <m:e>
                    <m:r>
                      <m:t>β</m:t>
                    </m:r>
                  </m:e>
                  <m:sub>
                    <m:r>
                      <m:t>9</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r>
                      <m:rPr>
                        <m:sty m:val="p"/>
                      </m:rPr>
                      <m:t>×</m:t>
                    </m:r>
                    <m:r>
                      <m:t>D</m:t>
                    </m:r>
                    <m:r>
                      <m:t>A</m:t>
                    </m:r>
                    <m:sSub>
                      <m:e>
                        <m:r>
                          <m:t>I</m:t>
                        </m:r>
                      </m:e>
                      <m:sub>
                        <m:r>
                          <m:t>i</m:t>
                        </m:r>
                      </m:sub>
                    </m:sSub>
                  </m:e>
                </m:d>
              </m:e>
            </m:mr>
            <m:mr>
              <m:e/>
              <m:e>
                <m:r>
                  <m:rPr>
                    <m:sty m:val="p"/>
                  </m:rPr>
                  <m:t>+</m:t>
                </m:r>
                <m:sSub>
                  <m:e>
                    <m:r>
                      <m:t>β</m:t>
                    </m:r>
                  </m:e>
                  <m:sub>
                    <m:r>
                      <m:t>10</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2013</m:t>
                        </m:r>
                        <m:r>
                          <m:rPr>
                            <m:sty m:val="p"/>
                          </m:rPr>
                          <m:t>−</m:t>
                        </m:r>
                        <m:r>
                          <m:t>17</m:t>
                        </m:r>
                        <m:r>
                          <m:rPr>
                            <m:sty m:val="p"/>
                          </m:rPr>
                          <m:t>,</m:t>
                        </m:r>
                        <m:r>
                          <m:t>i</m:t>
                        </m:r>
                      </m:sub>
                    </m:sSub>
                  </m:e>
                </m:d>
                <m:r>
                  <m:rPr>
                    <m:sty m:val="p"/>
                  </m:rPr>
                  <m:t>+</m:t>
                </m:r>
                <m:sSub>
                  <m:e>
                    <m:r>
                      <m:t>β</m:t>
                    </m:r>
                  </m:e>
                  <m:sub>
                    <m:r>
                      <m:t>11</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2013</m:t>
                        </m:r>
                        <m:r>
                          <m:rPr>
                            <m:sty m:val="p"/>
                          </m:rPr>
                          <m:t>−</m:t>
                        </m:r>
                        <m:r>
                          <m:t>17</m:t>
                        </m:r>
                        <m:r>
                          <m:rPr>
                            <m:sty m:val="p"/>
                          </m:rPr>
                          <m:t>,</m:t>
                        </m:r>
                        <m:r>
                          <m:t>i</m:t>
                        </m:r>
                      </m:sub>
                    </m:sSub>
                  </m:e>
                </m:d>
              </m:e>
            </m:mr>
            <m:mr>
              <m:e/>
              <m:e>
                <m:r>
                  <m:rPr>
                    <m:sty m:val="p"/>
                  </m:rPr>
                  <m:t>+</m:t>
                </m:r>
                <m:sSub>
                  <m:e>
                    <m:r>
                      <m:t>β</m:t>
                    </m:r>
                  </m:e>
                  <m:sub>
                    <m:r>
                      <m:t>12</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2018</m:t>
                        </m:r>
                        <m:r>
                          <m:rPr>
                            <m:sty m:val="p"/>
                          </m:rPr>
                          <m:t>−</m:t>
                        </m:r>
                        <m:r>
                          <m:t>25</m:t>
                        </m:r>
                        <m:r>
                          <m:rPr>
                            <m:sty m:val="p"/>
                          </m:rPr>
                          <m:t>,</m:t>
                        </m:r>
                        <m:r>
                          <m:t>i</m:t>
                        </m:r>
                      </m:sub>
                    </m:sSub>
                  </m:e>
                </m:d>
                <m:r>
                  <m:rPr>
                    <m:sty m:val="p"/>
                  </m:rPr>
                  <m:t>+</m:t>
                </m:r>
                <m:sSub>
                  <m:e>
                    <m:r>
                      <m:t>β</m:t>
                    </m:r>
                  </m:e>
                  <m:sub>
                    <m:r>
                      <m:t>13</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2018</m:t>
                        </m:r>
                        <m:r>
                          <m:rPr>
                            <m:sty m:val="p"/>
                          </m:rPr>
                          <m:t>−</m:t>
                        </m:r>
                        <m:r>
                          <m:t>25</m:t>
                        </m:r>
                        <m:r>
                          <m:rPr>
                            <m:sty m:val="p"/>
                          </m:rPr>
                          <m:t>,</m:t>
                        </m:r>
                        <m:r>
                          <m:t>i</m:t>
                        </m:r>
                      </m:sub>
                    </m:sSub>
                  </m:e>
                </m:d>
              </m:e>
            </m:mr>
            <m:mr>
              <m:e/>
              <m:e>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e>
            </m:mr>
          </m:m>
        </m:oMath>
      </m:oMathPara>
    </w:p>
    <w:p>
      <w:pPr>
        <w:pStyle w:val="FirstParagraph"/>
      </w:pPr>
      <w:r>
        <w:rPr>
          <w:bCs/>
          <w:b/>
        </w:rPr>
        <w:t xml:space="preserve">Mục đích</w:t>
      </w:r>
      <w:r>
        <w:t xml:space="preserve">: Mô hình tổng lực kiểm định H2 (TCI), H3 (DAI), và H6 (temporal) đồng thời.</w:t>
      </w:r>
      <w:r>
        <w:br/>
      </w:r>
      <w:r>
        <w:rPr>
          <w:bCs/>
          <w:b/>
        </w:rPr>
        <w:t xml:space="preserve">Kỳ vọng trọng tâm</w:t>
      </w:r>
      <w:r>
        <w:t xml:space="preserve">: β₈(FSTS²×DAI) &gt; 0 trong Nhóm I; β₃(TCI) &gt; 0; β₁₂/β₁₃ ≠ β₁₀/β₁₁ (temporal shift).</w:t>
      </w:r>
      <w:r>
        <w:br/>
      </w:r>
      <w:r>
        <w:rPr>
          <w:bCs/>
          <w:b/>
        </w:rPr>
        <w:t xml:space="preserve">Lưu ý đa cộng tuyến</w:t>
      </w:r>
      <w:r>
        <w:t xml:space="preserve">: M7 có nhiều interaction terms → kiểm tra VIF; nếu VIF &gt; 10 cho interaction, sử dụng mean-centering và variance decomposition.</w:t>
      </w:r>
      <w:r>
        <w:br/>
      </w:r>
      <w:r>
        <w:rPr>
          <w:bCs/>
          <w:b/>
        </w:rPr>
        <w:t xml:space="preserve">Yêu cầu mẫu</w:t>
      </w:r>
      <w:r>
        <w:t xml:space="preserve">: Với k = 13 focal parameters + controls, n ≥ 5.000 cần thiết cho power &gt; 0.80 tại f² = 0.02 — dễ dàng đáp ứng với pool 101.185.</w:t>
      </w:r>
    </w:p>
    <w:bookmarkEnd w:id="74"/>
    <w:bookmarkStart w:id="75" w:name="bảng-tổng-hợp-mô-hình"/>
    <w:p>
      <w:pPr>
        <w:pStyle w:val="Heading3"/>
      </w:pPr>
      <w:r>
        <w:t xml:space="preserve">6.10 Bảng tổng hợp mô hình</w:t>
      </w:r>
    </w:p>
    <w:p>
      <w:pPr>
        <w:pStyle w:val="FirstParagraph"/>
      </w:pPr>
      <w:r>
        <w:rPr>
          <w:bCs/>
          <w:b/>
        </w:rPr>
        <w:t xml:space="preserve">Bảng 6.1</w:t>
      </w:r>
      <w:r>
        <w:t xml:space="preserve">.</w:t>
      </w:r>
      <w:r>
        <w:t xml:space="preserve"> </w:t>
      </w:r>
      <w:r>
        <w:rPr>
          <w:iCs/>
          <w:i/>
        </w:rPr>
        <w:t xml:space="preserve">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rPr>
                <w:bCs/>
                <w:b/>
              </w:rP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rPr>
                <w:bCs/>
                <w:b/>
              </w:rPr>
              <w:t xml:space="preserve">M1</w:t>
            </w:r>
          </w:p>
        </w:tc>
        <w:tc>
          <w:tcPr/>
          <w:p>
            <w:pPr>
              <w:pStyle w:val="Compact"/>
              <w:jc w:val="left"/>
            </w:pPr>
            <w:r>
              <w:t xml:space="preserve">+ FSTS²</w:t>
            </w:r>
          </w:p>
        </w:tc>
        <w:tc>
          <w:tcPr/>
          <w:p>
            <w:pPr>
              <w:pStyle w:val="Compact"/>
              <w:jc w:val="left"/>
            </w:pPr>
            <w:r>
              <w:t xml:space="preserve">H1 (inverted-U)</w:t>
            </w:r>
          </w:p>
        </w:tc>
        <w:tc>
          <w:tcPr/>
          <w:p>
            <w:pPr>
              <w:pStyle w:val="Compact"/>
              <w:jc w:val="left"/>
            </w:pPr>
            <w:r>
              <w:t xml:space="preserve">β₂ &lt; 0; Lind–Mehlum</w:t>
            </w:r>
          </w:p>
        </w:tc>
      </w:tr>
      <w:tr>
        <w:tc>
          <w:tcPr/>
          <w:p>
            <w:pPr>
              <w:pStyle w:val="Compact"/>
              <w:jc w:val="left"/>
            </w:pPr>
            <w:r>
              <w:rPr>
                <w:bCs/>
                <w:b/>
              </w:rP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β₃=0</w:t>
            </w:r>
          </w:p>
        </w:tc>
      </w:tr>
      <w:tr>
        <w:tc>
          <w:tcPr/>
          <w:p>
            <w:pPr>
              <w:pStyle w:val="Compact"/>
              <w:jc w:val="left"/>
            </w:pPr>
            <w:r>
              <w:rPr>
                <w:bCs/>
                <w:b/>
              </w:rP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β₃&gt;0; F-test (β₄=β₅=0)</w:t>
            </w:r>
          </w:p>
        </w:tc>
      </w:tr>
      <w:tr>
        <w:tc>
          <w:tcPr/>
          <w:p>
            <w:pPr>
              <w:pStyle w:val="Compact"/>
              <w:jc w:val="left"/>
            </w:pPr>
            <w:r>
              <w:rPr>
                <w:bCs/>
                <w:b/>
              </w:rP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β₅&gt;0 Nhóm I; IV check</w:t>
            </w:r>
          </w:p>
        </w:tc>
      </w:tr>
      <w:tr>
        <w:tc>
          <w:tcPr/>
          <w:p>
            <w:pPr>
              <w:pStyle w:val="Compact"/>
              <w:jc w:val="left"/>
            </w:pPr>
            <w:r>
              <w:rPr>
                <w:bCs/>
                <w:b/>
              </w:rPr>
              <w:t xml:space="preserve">M5</w:t>
            </w:r>
          </w:p>
        </w:tc>
        <w:tc>
          <w:tcPr/>
          <w:p>
            <w:pPr>
              <w:pStyle w:val="Compact"/>
              <w:jc w:val="left"/>
            </w:pPr>
            <w:r>
              <w:t xml:space="preserve">+ Manager, FSTS×Manager</w:t>
            </w:r>
          </w:p>
        </w:tc>
        <w:tc>
          <w:tcPr/>
          <w:p>
            <w:pPr>
              <w:pStyle w:val="Compact"/>
              <w:jc w:val="left"/>
            </w:pPr>
            <w:r>
              <w:t xml:space="preserve">H4</w:t>
            </w:r>
          </w:p>
        </w:tc>
        <w:tc>
          <w:tcPr/>
          <w:p>
            <w:pPr>
              <w:pStyle w:val="Compact"/>
              <w:jc w:val="left"/>
            </w:pPr>
            <w:r>
              <w:t xml:space="preserve">β₄(FSTS×exp)&gt;0</w:t>
            </w:r>
          </w:p>
        </w:tc>
      </w:tr>
      <w:tr>
        <w:tc>
          <w:tcPr/>
          <w:p>
            <w:pPr>
              <w:pStyle w:val="Compact"/>
              <w:jc w:val="left"/>
            </w:pPr>
            <w:r>
              <w:rPr>
                <w:bCs/>
                <w:b/>
              </w:rP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forced penalty Nhóm VI</w:t>
            </w:r>
          </w:p>
        </w:tc>
      </w:tr>
      <w:tr>
        <w:tc>
          <w:tcPr/>
          <w:p>
            <w:pPr>
              <w:pStyle w:val="Compact"/>
              <w:jc w:val="left"/>
            </w:pPr>
            <w:r>
              <w:rPr>
                <w:bCs/>
                <w:b/>
              </w:rP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Three-way block F-test</w:t>
            </w:r>
          </w:p>
        </w:tc>
      </w:tr>
    </w:tbl>
    <w:p>
      <w:r>
        <w:pict>
          <v:rect style="width:0;height:1.5pt" o:hralign="center" o:hrstd="t" o:hr="t"/>
        </w:pict>
      </w:r>
    </w:p>
    <w:bookmarkEnd w:id="75"/>
    <w:bookmarkEnd w:id="76"/>
    <w:bookmarkStart w:id="81" w:name="Xfe5cb0daf22918cc71dbbc5c9e17776f102c31e"/>
    <w:p>
      <w:pPr>
        <w:pStyle w:val="Heading2"/>
      </w:pPr>
      <w:r>
        <w:t xml:space="preserve">CHƯƠNG 7 — THIẾT KẾ DỮ LIỆU VÀ CHIẾN LƯỢC NHẬN DẠNG</w:t>
      </w:r>
    </w:p>
    <w:bookmarkStart w:id="77" w:name="nguồn-dữ-liệu-và-cấu-trúc-pool"/>
    <w:p>
      <w:pPr>
        <w:pStyle w:val="Heading3"/>
      </w:pPr>
      <w:r>
        <w:t xml:space="preserve">7.1 Nguồn dữ liệu và cấu trúc pool</w:t>
      </w:r>
    </w:p>
    <w:p>
      <w:pPr>
        <w:pStyle w:val="FirstParagraph"/>
      </w:pPr>
      <w:r>
        <w:rPr>
          <w:bCs/>
          <w:b/>
        </w:rPr>
        <w:t xml:space="preserve">Dữ liệu gốc</w:t>
      </w:r>
      <w:r>
        <w:t xml:space="preserve">: World Bank Enterprise Surveys (WBES) — cơ sở dữ liệu điều tra vi mô doanh nghiệp lớn nhất thế giới, phủ hơn 170 quốc gia với hơn 400.000 cuộc phỏng vấn từ 2006 đến nay. WBES áp dụng phương pháp stratified random sampling theo quy mô doanh nghiệp (nhỏ/vừa/lớn) và ngành (manufacturing/services).</w:t>
      </w:r>
    </w:p>
    <w:p>
      <w:pPr>
        <w:pStyle w:val="BodyText"/>
      </w:pPr>
      <w:r>
        <w:rPr>
          <w:bCs/>
          <w:b/>
        </w:rPr>
        <w:t xml:space="preserve">Pool CĐ2</w:t>
      </w:r>
      <w:r>
        <w:t xml:space="preserve">:</w:t>
      </w:r>
      <w:r>
        <w:t xml:space="preserve"> </w:t>
      </w:r>
      <w:r>
        <w:t xml:space="preserve">-</w:t>
      </w:r>
      <w:r>
        <w:t xml:space="preserve"> </w:t>
      </w:r>
      <w:r>
        <w:rPr>
          <w:bCs/>
          <w:b/>
        </w:rPr>
        <w:t xml:space="preserve">101.185</w:t>
      </w:r>
      <w:r>
        <w:t xml:space="preserve"> </w:t>
      </w:r>
      <w:r>
        <w:t xml:space="preserve">doanh nghiệp chính thức (registered firms)</w:t>
      </w:r>
      <w:r>
        <w:t xml:space="preserve"> </w:t>
      </w:r>
      <w:r>
        <w:t xml:space="preserve">-</w:t>
      </w:r>
      <w:r>
        <w:t xml:space="preserve"> </w:t>
      </w:r>
      <w:r>
        <w:rPr>
          <w:bCs/>
          <w:b/>
        </w:rPr>
        <w:t xml:space="preserve">47</w:t>
      </w:r>
      <w:r>
        <w:t xml:space="preserve"> </w:t>
      </w:r>
      <w:r>
        <w:t xml:space="preserve">nền kinh tế châu Á và Thái Bình Dương</w:t>
      </w:r>
      <w:r>
        <w:t xml:space="preserve"> </w:t>
      </w:r>
      <w:r>
        <w:t xml:space="preserve">-</w:t>
      </w:r>
      <w:r>
        <w:t xml:space="preserve"> </w:t>
      </w:r>
      <w:r>
        <w:rPr>
          <w:bCs/>
          <w:b/>
        </w:rPr>
        <w:t xml:space="preserve">108</w:t>
      </w:r>
      <w:r>
        <w:t xml:space="preserve"> </w:t>
      </w:r>
      <w:r>
        <w:t xml:space="preserve">cặp quốc gia-năm (country-year pairs)</w:t>
      </w:r>
      <w:r>
        <w:t xml:space="preserve"> </w:t>
      </w:r>
      <w:r>
        <w:t xml:space="preserve">-</w:t>
      </w:r>
      <w:r>
        <w:t xml:space="preserve"> </w:t>
      </w:r>
      <w:r>
        <w:rPr>
          <w:bCs/>
          <w:b/>
        </w:rPr>
        <w:t xml:space="preserve">14</w:t>
      </w:r>
      <w:r>
        <w:t xml:space="preserve"> </w:t>
      </w:r>
      <w:r>
        <w:t xml:space="preserve">mốc khảo sát (survey waves) từ 2009 đến 2025</w:t>
      </w:r>
    </w:p>
    <w:p>
      <w:pPr>
        <w:pStyle w:val="BodyText"/>
      </w:pPr>
      <w:r>
        <w:rPr>
          <w:bCs/>
          <w:b/>
        </w:rPr>
        <w:t xml:space="preserve">Bảng 7.1</w:t>
      </w:r>
      <w:r>
        <w:t xml:space="preserve">.</w:t>
      </w:r>
      <w:r>
        <w:t xml:space="preserve"> </w:t>
      </w:r>
      <w:r>
        <w:rPr>
          <w:iCs/>
          <w:i/>
        </w:rPr>
        <w:t xml:space="preserve">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Korea, Taiwan,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China, Malaysia, Thailand,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Vietnam, Indonesia, Philippines, India, Sri Lanka, Jordan, Mongolia</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PNG, Solomon Is, Tonga, Vanuatu, Samoa, Kiribati</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47</w:t>
            </w:r>
          </w:p>
        </w:tc>
        <w:tc>
          <w:tcPr/>
          <w:p>
            <w:pPr>
              <w:pStyle w:val="Compact"/>
              <w:jc w:val="left"/>
            </w:pPr>
            <w:r>
              <w:rPr>
                <w:bCs/>
                <w:b/>
              </w:rPr>
              <w:t xml:space="preserve">~101.185</w:t>
            </w:r>
          </w:p>
        </w:tc>
        <w:tc>
          <w:tcPr/>
          <w:p>
            <w:pPr>
              <w:pStyle w:val="Compact"/>
              <w:jc w:val="left"/>
            </w:pPr>
            <w:r>
              <w:rPr>
                <w:bCs/>
                <w:b/>
              </w:rPr>
              <w:t xml:space="preserve">108</w:t>
            </w:r>
          </w:p>
        </w:tc>
      </w:tr>
    </w:tbl>
    <w:p>
      <w:pPr>
        <w:pStyle w:val="BodyText"/>
      </w:pPr>
      <w:r>
        <w:rPr>
          <w:bCs/>
          <w:b/>
        </w:rPr>
        <w:t xml:space="preserve">Ba thế hệ schema WBES và giao thức hòa hợp</w:t>
      </w:r>
      <w:r>
        <w:t xml:space="preserve">:</w:t>
      </w:r>
      <w:r>
        <w:t xml:space="preserve"> </w:t>
      </w:r>
      <w:r>
        <w:t xml:space="preserve">-</w:t>
      </w:r>
      <w:r>
        <w:t xml:space="preserve"> </w:t>
      </w:r>
      <w:r>
        <w:rPr>
          <w:bCs/>
          <w:b/>
        </w:rPr>
        <w:t xml:space="preserve">PICS3</w:t>
      </w:r>
      <w:r>
        <w:t xml:space="preserve"> </w:t>
      </w:r>
      <w:r>
        <w:t xml:space="preserve">(2009–2013): biến FSTS từ d3a/d3b; TCI từ h1/h8/b8; DAI từ c22b only</w:t>
      </w:r>
      <w:r>
        <w:t xml:space="preserve"> </w:t>
      </w:r>
      <w:r>
        <w:t xml:space="preserve">-</w:t>
      </w:r>
      <w:r>
        <w:t xml:space="preserve"> </w:t>
      </w:r>
      <w:r>
        <w:rPr>
          <w:bCs/>
          <w:b/>
        </w:rPr>
        <w:t xml:space="preserve">Standardized</w:t>
      </w:r>
      <w:r>
        <w:t xml:space="preserve"> </w:t>
      </w:r>
      <w:r>
        <w:t xml:space="preserve">(2014–2018): biến tái định dạng nhưng tương thích; DAI từ c22b + một số e-payment items</w:t>
      </w:r>
      <w:r>
        <w:t xml:space="preserve"> </w:t>
      </w:r>
      <w:r>
        <w:t xml:space="preserve">-</w:t>
      </w:r>
      <w:r>
        <w:t xml:space="preserve"> </w:t>
      </w:r>
      <w:r>
        <w:rPr>
          <w:bCs/>
          <w:b/>
        </w:rPr>
        <w:t xml:space="preserve">BREADY/BEE</w:t>
      </w:r>
      <w:r>
        <w:t xml:space="preserve"> </w:t>
      </w:r>
      <w:r>
        <w:t xml:space="preserve">(2019–2025): schema mở rộng; DAI đầy đủ (c22b + k33 + k38); manager module chi tiết hơn</w:t>
      </w:r>
    </w:p>
    <w:p>
      <w:pPr>
        <w:pStyle w:val="BodyText"/>
      </w:pPr>
      <w:r>
        <w:t xml:space="preserve">Giao thức hòa hợp chi tiết trong</w:t>
      </w:r>
      <w:r>
        <w:t xml:space="preserve"> </w:t>
      </w:r>
      <w:r>
        <w:rPr>
          <w:rStyle w:val="VerbatimChar"/>
        </w:rPr>
        <w:t xml:space="preserve">thesis/08_p7_data_harmonization_protocol_vi.md</w:t>
      </w:r>
      <w:r>
        <w:t xml:space="preserve"> </w:t>
      </w:r>
      <w:r>
        <w:t xml:space="preserve">— bao gồm: (a) crosswalk biến giữa ba schema; (b) xử lý missing values; (c) winsorization tại p1/p99; (d) PPP conversion cho annual sales.</w:t>
      </w:r>
    </w:p>
    <w:bookmarkEnd w:id="77"/>
    <w:bookmarkStart w:id="78" w:name="đo-lường-biến-chi-tiết"/>
    <w:p>
      <w:pPr>
        <w:pStyle w:val="Heading3"/>
      </w:pPr>
      <w:r>
        <w:t xml:space="preserve">7.2 Đo lường biến chi tiết</w:t>
      </w:r>
    </w:p>
    <w:p>
      <w:pPr>
        <w:pStyle w:val="FirstParagraph"/>
      </w:pPr>
      <w:r>
        <w:rPr>
          <w:bCs/>
          <w:b/>
        </w:rPr>
        <w:t xml:space="preserve">Biến phụ thuộc — ln(LP)</w:t>
      </w:r>
      <w:r>
        <w:t xml:space="preserve">:</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annual sales</m:t>
                      </m:r>
                    </m:e>
                    <m:sub>
                      <m:r>
                        <m:t>i</m:t>
                      </m:r>
                    </m:sub>
                  </m:sSub>
                </m:num>
                <m:den>
                  <m:sSub>
                    <m:e>
                      <m:r>
                        <m:rPr>
                          <m:nor/>
                          <m:sty m:val="p"/>
                        </m:rPr>
                        <m:t>permanent employees</m:t>
                      </m:r>
                    </m:e>
                    <m:sub>
                      <m:r>
                        <m:t>i</m:t>
                      </m:r>
                    </m:sub>
                  </m:sSub>
                </m:den>
              </m:f>
            </m:e>
          </m:d>
        </m:oMath>
      </m:oMathPara>
    </w:p>
    <w:p>
      <w:pPr>
        <w:pStyle w:val="FirstParagraph"/>
      </w:pPr>
      <w:r>
        <w:t xml:space="preserve">Doanh thu (d2) được chuyển đổi về PPP USD 2017 trước khi tính LP. Winsorized tại p1/p99 để giảm ảnh hưởng outliers.</w:t>
      </w:r>
    </w:p>
    <w:p>
      <w:pPr>
        <w:pStyle w:val="BodyText"/>
      </w:pPr>
      <w:r>
        <w:rPr>
          <w:bCs/>
          <w:b/>
        </w:rPr>
        <w:t xml:space="preserve">Biến độc lập — FSTS</w:t>
      </w:r>
      <w:r>
        <w:t xml:space="preserve">:</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direct export sales</m:t>
                  </m:r>
                </m:e>
                <m:sub>
                  <m:r>
                    <m:t>i</m:t>
                  </m:r>
                </m:sub>
              </m:sSub>
            </m:num>
            <m:den>
              <m:sSub>
                <m:e>
                  <m:r>
                    <m:rPr>
                      <m:nor/>
                      <m:sty m:val="p"/>
                    </m:rPr>
                    <m:t>total annual sales</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Ghi chú: d3c là tỉ lệ phần trăm doanh thu xuất khẩu trực tiếp. Indirect exports không bao gồm. FSTS_c = FSTS − mean(FSTS) trong mỗi wave-country cell trước khi tính FSTS².</w:t>
      </w:r>
    </w:p>
    <w:p>
      <w:pPr>
        <w:pStyle w:val="BodyText"/>
      </w:pPr>
      <w:r>
        <w:rPr>
          <w:bCs/>
          <w:b/>
        </w:rPr>
        <w:t xml:space="preserve">TCI — Technological Capability Index</w:t>
      </w:r>
      <w:r>
        <w:t xml:space="preserve">:</w:t>
      </w:r>
    </w:p>
    <w:tbl>
      <w:tblPr>
        <w:tblStyle w:val="Table"/>
        <w:tblW w:type="pct" w:w="5000"/>
        <w:tblLook w:firstRow="1" w:lastRow="0" w:firstColumn="0" w:lastColumn="0" w:noHBand="0" w:noVBand="0" w:val="0020"/>
        <w:jc w:val="start"/>
      </w:tblPr>
      <w:tblGrid>
        <w:gridCol w:w="1218"/>
        <w:gridCol w:w="1827"/>
        <w:gridCol w:w="1421"/>
        <w:gridCol w:w="3452"/>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available</w:t>
            </w:r>
          </w:p>
        </w:tc>
      </w:tr>
      <w:tr>
        <w:tc>
          <w:tcPr/>
          <w:p>
            <w:pPr>
              <w:pStyle w:val="Compact"/>
              <w:jc w:val="left"/>
            </w:pPr>
            <w:r>
              <w:t xml:space="preserve">ISO certification</w:t>
            </w:r>
          </w:p>
        </w:tc>
        <w:tc>
          <w:tcPr/>
          <w:p>
            <w:pPr>
              <w:pStyle w:val="Compact"/>
              <w:jc w:val="left"/>
            </w:pPr>
            <w:r>
              <w:t xml:space="preserve">b8</w:t>
            </w:r>
          </w:p>
        </w:tc>
        <w:tc>
          <w:tcPr/>
          <w:p>
            <w:pPr>
              <w:pStyle w:val="Compact"/>
              <w:jc w:val="left"/>
            </w:pPr>
            <w:r>
              <w:t xml:space="preserve">Doanh nghiệp có chứng nhận ISO không? (binary)</w:t>
            </w:r>
          </w:p>
        </w:tc>
        <w:tc>
          <w:tcPr/>
          <w:p>
            <w:pPr>
              <w:pStyle w:val="Compact"/>
              <w:jc w:val="left"/>
            </w:pPr>
            <w:r>
              <w:t xml:space="preserve">PICS3, Std, BEE</w:t>
            </w:r>
          </w:p>
        </w:tc>
      </w:tr>
      <w:tr>
        <w:tc>
          <w:tcPr/>
          <w:p>
            <w:pPr>
              <w:pStyle w:val="Compact"/>
              <w:jc w:val="left"/>
            </w:pPr>
            <w:r>
              <w:t xml:space="preserve">R&amp;D activity</w:t>
            </w:r>
          </w:p>
        </w:tc>
        <w:tc>
          <w:tcPr/>
          <w:p>
            <w:pPr>
              <w:pStyle w:val="Compact"/>
              <w:jc w:val="left"/>
            </w:pPr>
            <w:r>
              <w:t xml:space="preserve">h8</w:t>
            </w:r>
          </w:p>
        </w:tc>
        <w:tc>
          <w:tcPr/>
          <w:p>
            <w:pPr>
              <w:pStyle w:val="Compact"/>
              <w:jc w:val="left"/>
            </w:pPr>
            <w:r>
              <w:t xml:space="preserve">Có thực hiện R&amp;D nội bộ không? (binary)</w:t>
            </w:r>
          </w:p>
        </w:tc>
        <w:tc>
          <w:tcPr/>
          <w:p>
            <w:pPr>
              <w:pStyle w:val="Compact"/>
              <w:jc w:val="left"/>
            </w:pPr>
            <w:r>
              <w:t xml:space="preserve">PICS3, Std, BEE</w:t>
            </w:r>
          </w:p>
        </w:tc>
      </w:tr>
      <w:tr>
        <w:tc>
          <w:tcPr/>
          <w:p>
            <w:pPr>
              <w:pStyle w:val="Compact"/>
              <w:jc w:val="left"/>
            </w:pPr>
            <w:r>
              <w:t xml:space="preserve">Product innovation</w:t>
            </w:r>
          </w:p>
        </w:tc>
        <w:tc>
          <w:tcPr/>
          <w:p>
            <w:pPr>
              <w:pStyle w:val="Compact"/>
              <w:jc w:val="left"/>
            </w:pPr>
            <w:r>
              <w:t xml:space="preserve">h1</w:t>
            </w:r>
          </w:p>
        </w:tc>
        <w:tc>
          <w:tcPr/>
          <w:p>
            <w:pPr>
              <w:pStyle w:val="Compact"/>
              <w:jc w:val="left"/>
            </w:pPr>
            <w:r>
              <w:t xml:space="preserve">Đã ra sản phẩm/dịch vụ mới 3 năm qua? (binary)</w:t>
            </w:r>
          </w:p>
        </w:tc>
        <w:tc>
          <w:tcPr/>
          <w:p>
            <w:pPr>
              <w:pStyle w:val="Compact"/>
              <w:jc w:val="left"/>
            </w:pPr>
            <w:r>
              <w:t xml:space="preserve">PICS3, Std, BEE</w:t>
            </w:r>
          </w:p>
        </w:tc>
      </w:tr>
      <w:tr>
        <w:tc>
          <w:tcPr/>
          <w:p>
            <w:pPr>
              <w:pStyle w:val="Compact"/>
              <w:jc w:val="left"/>
            </w:pPr>
            <w:r>
              <w:t xml:space="preserve">Foreign tech licensing</w:t>
            </w:r>
          </w:p>
        </w:tc>
        <w:tc>
          <w:tcPr/>
          <w:p>
            <w:pPr>
              <w:pStyle w:val="Compact"/>
              <w:jc w:val="left"/>
            </w:pPr>
            <w:r>
              <w:t xml:space="preserve">e6</w:t>
            </w:r>
          </w:p>
        </w:tc>
        <w:tc>
          <w:tcPr/>
          <w:p>
            <w:pPr>
              <w:pStyle w:val="Compact"/>
              <w:jc w:val="left"/>
            </w:pPr>
            <w:r>
              <w:t xml:space="preserve">Sử dụng công nghệ nước ngoài có bản quyền? (binary)</w:t>
            </w:r>
          </w:p>
        </w:tc>
        <w:tc>
          <w:tcPr/>
          <w:p>
            <w:pPr>
              <w:pStyle w:val="Compact"/>
              <w:jc w:val="left"/>
            </w:pPr>
            <w:r>
              <w:t xml:space="preserve">PICS3, Std, BEE</w:t>
            </w:r>
          </w:p>
        </w:tc>
      </w:tr>
    </w:tbl>
    <w:p>
      <w:pPr>
        <w:pStyle w:val="BodyText"/>
      </w:pPr>
      <w:r>
        <w:t xml:space="preserve">TCI_z = z-standardized mean của ≥3/4 items non-missing (Cronbach α ước tính 0.55–0.65 — consistent với formative composite, Coltman et al., 2008).</w:t>
      </w:r>
    </w:p>
    <w:p>
      <w:pPr>
        <w:pStyle w:val="BodyText"/>
      </w:pPr>
      <w:r>
        <w:rPr>
          <w:bCs/>
          <w:b/>
        </w:rPr>
        <w:t xml:space="preserve">DAI — Digital Adoption Index</w:t>
      </w:r>
      <w:r>
        <w:t xml:space="preserve">:</w:t>
      </w:r>
    </w:p>
    <w:tbl>
      <w:tblPr>
        <w:tblStyle w:val="Table"/>
        <w:tblW w:type="pct" w:w="5000"/>
        <w:tblLook w:firstRow="1" w:lastRow="0" w:firstColumn="0" w:lastColumn="0" w:noHBand="0" w:noVBand="0" w:val="0020"/>
        <w:jc w:val="start"/>
      </w:tblPr>
      <w:tblGrid>
        <w:gridCol w:w="1218"/>
        <w:gridCol w:w="1827"/>
        <w:gridCol w:w="1421"/>
        <w:gridCol w:w="3452"/>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available</w:t>
            </w:r>
          </w:p>
        </w:tc>
      </w:tr>
      <w:tr>
        <w:tc>
          <w:tcPr/>
          <w:p>
            <w:pPr>
              <w:pStyle w:val="Compact"/>
              <w:jc w:val="left"/>
            </w:pPr>
            <w:r>
              <w:t xml:space="preserve">Website presence</w:t>
            </w:r>
          </w:p>
        </w:tc>
        <w:tc>
          <w:tcPr/>
          <w:p>
            <w:pPr>
              <w:pStyle w:val="Compact"/>
              <w:jc w:val="left"/>
            </w:pPr>
            <w:r>
              <w:t xml:space="preserve">c22b</w:t>
            </w:r>
          </w:p>
        </w:tc>
        <w:tc>
          <w:tcPr/>
          <w:p>
            <w:pPr>
              <w:pStyle w:val="Compact"/>
              <w:jc w:val="left"/>
            </w:pPr>
            <w:r>
              <w:t xml:space="preserve">Doanh nghiệp có website không? (binary)</w:t>
            </w:r>
          </w:p>
        </w:tc>
        <w:tc>
          <w:tcPr/>
          <w:p>
            <w:pPr>
              <w:pStyle w:val="Compact"/>
              <w:jc w:val="left"/>
            </w:pPr>
            <w:r>
              <w:t xml:space="preserve">PICS3, Std, BEE</w:t>
            </w:r>
          </w:p>
        </w:tc>
      </w:tr>
      <w:tr>
        <w:tc>
          <w:tcPr/>
          <w:p>
            <w:pPr>
              <w:pStyle w:val="Compact"/>
              <w:jc w:val="left"/>
            </w:pPr>
            <w:r>
              <w:t xml:space="preserve">Customer e-payment</w:t>
            </w:r>
          </w:p>
        </w:tc>
        <w:tc>
          <w:tcPr/>
          <w:p>
            <w:pPr>
              <w:pStyle w:val="Compact"/>
              <w:jc w:val="left"/>
            </w:pPr>
            <w:r>
              <w:t xml:space="preserve">k33</w:t>
            </w:r>
          </w:p>
        </w:tc>
        <w:tc>
          <w:tcPr/>
          <w:p>
            <w:pPr>
              <w:pStyle w:val="Compact"/>
              <w:jc w:val="left"/>
            </w:pPr>
            <w:r>
              <w:t xml:space="preserve">% doanh thu thu qua e-payment (continuous)</w:t>
            </w:r>
          </w:p>
        </w:tc>
        <w:tc>
          <w:tcPr/>
          <w:p>
            <w:pPr>
              <w:pStyle w:val="Compact"/>
              <w:jc w:val="left"/>
            </w:pPr>
            <w:r>
              <w:t xml:space="preserve">BEE only</w:t>
            </w:r>
          </w:p>
        </w:tc>
      </w:tr>
      <w:tr>
        <w:tc>
          <w:tcPr/>
          <w:p>
            <w:pPr>
              <w:pStyle w:val="Compact"/>
              <w:jc w:val="left"/>
            </w:pPr>
            <w:r>
              <w:t xml:space="preserve">Supplier e-payment</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w:t>
      </w:r>
      <w:r>
        <w:t xml:space="preserve"> </w:t>
      </w:r>
      <w:r>
        <w:rPr>
          <w:bCs/>
          <w:b/>
        </w:rPr>
        <w:t xml:space="preserve">chỉ available trong BEE schema (2019+)</w:t>
      </w:r>
      <w:r>
        <w:t xml:space="preserve">.</w:t>
      </w:r>
      <w:r>
        <w:br/>
      </w:r>
      <w:r>
        <w:t xml:space="preserve">DAI_z_tier1 (Tier 1 only): z-mean(c22b) — available xuyên tất cả schema.</w:t>
      </w:r>
    </w:p>
    <w:p>
      <w:pPr>
        <w:pStyle w:val="BodyText"/>
      </w:pPr>
      <w:r>
        <w:rPr>
          <w:bCs/>
          <w:b/>
        </w:rPr>
        <w:t xml:space="preserve">Chiến lược đo lường DAI</w:t>
      </w:r>
      <w:r>
        <w:t xml:space="preserve">: Sử dụng DAI_z_full làm biến chính trong BEE sub-sample; DAI_z_tier1 cho cross-schema comparison và robustness. Minh bạch construct scope limitation trong limitations.</w:t>
      </w:r>
    </w:p>
    <w:p>
      <w:pPr>
        <w:pStyle w:val="BodyText"/>
      </w:pPr>
      <w:r>
        <w:rPr>
          <w:bCs/>
          <w:b/>
        </w:rPr>
        <w:t xml:space="preserve">Manager variables</w:t>
      </w:r>
      <w:r>
        <w:t xml:space="preserve"> </w:t>
      </w:r>
      <w:r>
        <w:t xml:space="preserve">(từ module b/b_2 — available trong BEE và một số Standardized waves):</w:t>
      </w:r>
      <w:r>
        <w:t xml:space="preserve"> </w:t>
      </w:r>
      <w:r>
        <w:t xml:space="preserve">- exp_manager (b5): số năm kinh nghiệm quản lý — continuous</w:t>
      </w:r>
      <w:r>
        <w:t xml:space="preserve"> </w:t>
      </w:r>
      <w:r>
        <w:t xml:space="preserve">- educ_manager (b7a): trình độ học vấn — ordinal (1=no education → 6=graduate)</w:t>
      </w:r>
      <w:r>
        <w:t xml:space="preserve"> </w:t>
      </w:r>
      <w:r>
        <w:t xml:space="preserve">- gender_manager (b7): giới tính top manager — binary (female=1)</w:t>
      </w:r>
    </w:p>
    <w:p>
      <w:pPr>
        <w:pStyle w:val="BodyText"/>
      </w:pPr>
      <w:r>
        <w:rPr>
          <w:bCs/>
          <w:b/>
        </w:rPr>
        <w:t xml:space="preserve">Biến kiểm soát</w:t>
      </w:r>
      <w:r>
        <w:t xml:space="preserve">:</w:t>
      </w:r>
      <w:r>
        <w:t xml:space="preserve"> </w:t>
      </w:r>
      <w:r>
        <w:t xml:space="preserve">- ln_emp: ln(l1 — số lao động chính thức) — firm size proxy</w:t>
      </w:r>
      <w:r>
        <w:t xml:space="preserve"> </w:t>
      </w:r>
      <w:r>
        <w:t xml:space="preserve">- firm_age: năm hoạt động (2025 − year_established)</w:t>
      </w:r>
      <w:r>
        <w:t xml:space="preserve"> </w:t>
      </w:r>
      <w:r>
        <w:t xml:space="preserve">- foreign_own: ≥10% vốn nước ngoài = 1 (b2b)</w:t>
      </w:r>
      <w:r>
        <w:t xml:space="preserve"> </w:t>
      </w:r>
      <w:r>
        <w:t xml:space="preserve">- Sector dummies: Manufacturing (ISIC 10–33), Services (ISIC 45–96), Other</w:t>
      </w:r>
      <w:r>
        <w:t xml:space="preserve"> </w:t>
      </w:r>
      <w:r>
        <w:t xml:space="preserve">- Country FE (αⱼ): 47 dummies — absorb time-invariant country characteristics</w:t>
      </w:r>
      <w:r>
        <w:t xml:space="preserve"> </w:t>
      </w:r>
      <w:r>
        <w:t xml:space="preserve">- Year FE (δₜ): 14 dummies — absorb common shocks (COVID-19, GFC, AI adoption wave)</w:t>
      </w:r>
    </w:p>
    <w:p>
      <w:pPr>
        <w:pStyle w:val="BodyText"/>
      </w:pPr>
      <w:r>
        <w:rPr>
          <w:bCs/>
          <w:b/>
        </w:rPr>
        <w:t xml:space="preserve">Lưu ý về Country FE và ICRV</w:t>
      </w:r>
      <w:r>
        <w:t xml:space="preserve">: Trong M1–M5 và M7, Country FE (αⱼ) được sử dụng để absorb toàn bộ unobserved country heterogeneity. Trong M6 (kiểm định ICRV gradient H5), Country FE bị omit vì ICRV_j là time-invariant country-level variable — thay thế bằng Region FE (6 regions: East Asia, Southeast Asia, South Asia, Central Asia, Middle East, Pacific) + Year FE. Thiết kế này là trade-off được chấp nhận: M6 sacrifice country-level unobservables để estimate ICRV gradient, trong khi M1–M5/M7 kiểm soát country unobservables để estimate firm-level mechanisms.</w:t>
      </w:r>
    </w:p>
    <w:bookmarkEnd w:id="78"/>
    <w:bookmarkStart w:id="79" w:name="phân-loại-icrv-6-nhóm"/>
    <w:p>
      <w:pPr>
        <w:pStyle w:val="Heading3"/>
      </w:pPr>
      <w:r>
        <w:t xml:space="preserve">7.3 Phân loại ICRV 6 nhóm</w:t>
      </w:r>
    </w:p>
    <w:p>
      <w:pPr>
        <w:pStyle w:val="FirstParagraph"/>
      </w:pPr>
      <w:r>
        <w:rPr>
          <w:bCs/>
          <w:b/>
        </w:rPr>
        <w:t xml:space="preserve">Bảng 7.2</w:t>
      </w:r>
      <w:r>
        <w:t xml:space="preserve">.</w:t>
      </w:r>
      <w:r>
        <w:t xml:space="preserve"> </w:t>
      </w:r>
      <w:r>
        <w:rPr>
          <w:iCs/>
          <w:i/>
        </w:rPr>
        <w:t xml:space="preserve">Phân loại 47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GNI/capita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GNI/capita &gt;$25.000 PPP + Resource revenue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GNI/capita $10.000–$25.000 PPP; trong quá trình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GNI/capita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GNI/capita &lt;$4.000 PPP; institutional voids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dependency cao; forced internationalization</w:t>
            </w:r>
          </w:p>
        </w:tc>
        <w:tc>
          <w:tcPr/>
          <w:p>
            <w:pPr>
              <w:pStyle w:val="Compact"/>
              <w:jc w:val="left"/>
            </w:pPr>
            <w:r>
              <w:t xml:space="preserve">Fiji, Papua New Guinea, Solomon Islands, Tonga, Vanuatu, Samoa, Kiribati</w:t>
            </w:r>
          </w:p>
        </w:tc>
      </w:tr>
    </w:tbl>
    <w:p>
      <w:pPr>
        <w:pStyle w:val="BodyText"/>
      </w:pPr>
      <w:r>
        <w:rPr>
          <w:bCs/>
          <w:b/>
        </w:rPr>
        <w:t xml:space="preserve">Tổng</w:t>
      </w:r>
      <w:r>
        <w:t xml:space="preserve">: 5 + 5 + 6 + 7 + 17 + 7 =</w:t>
      </w:r>
      <w:r>
        <w:t xml:space="preserve"> </w:t>
      </w:r>
      <w:r>
        <w:rPr>
          <w:bCs/>
          <w:b/>
        </w:rPr>
        <w:t xml:space="preserve">47</w:t>
      </w:r>
      <w:r>
        <w:t xml:space="preserve"> </w:t>
      </w:r>
      <w:r>
        <w:t xml:space="preserve">nền kinh tế.</w:t>
      </w:r>
    </w:p>
    <w:p>
      <w:pPr>
        <w:pStyle w:val="BodyText"/>
      </w:pPr>
      <w:r>
        <w:rPr>
          <w:bCs/>
          <w:b/>
        </w:rPr>
        <w:t xml:space="preserve">Căn cứ phân loại ICRV và tính nhất quán với văn liệu</w:t>
      </w:r>
      <w:r>
        <w:t xml:space="preserve">: Phân loại 6 nhóm dựa trên GNI/capita PPP (World Bank 2020–2024 average), Innovation Index (WIPO GII), và resource revenue share (IMF Fiscal Monitor). Phân loại này nhất quán với: (a) World Bank income groups nhưng tinh chỉnh hơn bằng cách tách innovation-driven vs resource-driven trong Advanced; (b) Marano et al. (2016) institutional distance approach nhưng áp dụng cho châu Á cụ thể; (c) UNCTAD Small Island Developing States classification cho Nhóm VI. Tính ổn định phân loại: tất cả 47 nền kinh tế không thay đổi nhóm ICRV trong giai đoạn 2009–2025 (threshold test: chuyển nhóm nếu GNI/capita vượt ngưỡng ±15% trong ≥3 năm liên tiếp — không có trường hợp nào).</w:t>
      </w:r>
    </w:p>
    <w:bookmarkEnd w:id="79"/>
    <w:bookmarkStart w:id="80" w:name="chiến-lược-nhận-dạng"/>
    <w:p>
      <w:pPr>
        <w:pStyle w:val="Heading3"/>
      </w:pPr>
      <w:r>
        <w:t xml:space="preserve">7.4 Chiến lược nhận dạng</w:t>
      </w:r>
    </w:p>
    <w:p>
      <w:pPr>
        <w:pStyle w:val="FirstParagraph"/>
      </w:pPr>
      <w:r>
        <w:rPr>
          <w:bCs/>
          <w:b/>
        </w:rPr>
        <w:t xml:space="preserve">Tier 1 — OLS với robust SE và FE</w:t>
      </w:r>
      <w:r>
        <w:t xml:space="preserve"> </w:t>
      </w:r>
      <w:r>
        <w:t xml:space="preserve">(tất cả mô hình M0–M7):</w:t>
      </w:r>
      <w:r>
        <w:t xml:space="preserve"> </w:t>
      </w:r>
      <w:r>
        <w:t xml:space="preserve">- HC1 robust SE (baseline): điều chỉnh heteroskedasticity cấp doanh nghiệp</w:t>
      </w:r>
      <w:r>
        <w:t xml:space="preserve"> </w:t>
      </w:r>
      <w:r>
        <w:t xml:space="preserve">- Country × Year FE (two-way): loại bỏ unobserved time-invariant country heterogeneity và common time shocks</w:t>
      </w:r>
      <w:r>
        <w:t xml:space="preserve"> </w:t>
      </w:r>
      <w:r>
        <w:t xml:space="preserve">- VIF check: β(VIF) &lt; 10 cho tất cả focal variables (expected: TCI/DAI có thể cao nếu tương quan với country dummies)</w:t>
      </w:r>
    </w:p>
    <w:p>
      <w:pPr>
        <w:pStyle w:val="BodyText"/>
      </w:pPr>
      <w:r>
        <w:rPr>
          <w:bCs/>
          <w:b/>
        </w:rPr>
        <w:t xml:space="preserve">Tier 2 — Instrumental Variable (DAI trong M4, Nhóm IV)</w:t>
      </w:r>
      <w:r>
        <w:t xml:space="preserve">:</w:t>
      </w:r>
      <w:r>
        <w:t xml:space="preserve"> </w:t>
      </w:r>
      <w:r>
        <w:t xml:space="preserve">- Instrument candidates: (1) industry-level mean DAI (loại firm khỏi mean) — industry export propensity; (2) distance of firm’s city to nearest submarine cable landing station (thay thế psychic distance)</w:t>
      </w:r>
      <w:r>
        <w:t xml:space="preserve"> </w:t>
      </w:r>
      <w:r>
        <w:t xml:space="preserve">- First-stage F-statistic: phải ≥ 16 (Stock &amp; Yogo threshold for weak instruments)</w:t>
      </w:r>
      <w:r>
        <w:t xml:space="preserve"> </w:t>
      </w:r>
      <w:r>
        <w:t xml:space="preserve">- Reference: P3 Việt Nam đã chứng minh first-stage F = 34.6 với instrument hợp lệ</w:t>
      </w:r>
      <w:r>
        <w:t xml:space="preserve"> </w:t>
      </w:r>
      <w:r>
        <w:t xml:space="preserve">- Kết quả IV vs OLS: nếu β(IV) ≪ β(OLS), DAI là selection-driven (consistent với CDCM)</w:t>
      </w:r>
    </w:p>
    <w:p>
      <w:pPr>
        <w:pStyle w:val="BodyText"/>
      </w:pPr>
      <w:r>
        <w:rPr>
          <w:bCs/>
          <w:b/>
        </w:rPr>
        <w:t xml:space="preserve">Tier 3 — Kiểm định phi tuyến</w:t>
      </w:r>
      <w:r>
        <w:t xml:space="preserve">:</w:t>
      </w:r>
      <w:r>
        <w:t xml:space="preserve"> </w:t>
      </w:r>
      <w:r>
        <w:t xml:space="preserve">- Lind–Mehlum (2010) U-test: xác nhận inverted-U thực sự (không chỉ dấu đúng)</w:t>
      </w:r>
      <w:r>
        <w:t xml:space="preserve"> </w:t>
      </w:r>
      <w:r>
        <w:t xml:space="preserve">- Paternoster z-test: so sánh turning points giữa nhóm ICRV hoặc giữa year-buckets</w:t>
      </w:r>
      <w:r>
        <w:t xml:space="preserve"> </w:t>
      </w:r>
      <w:r>
        <w:t xml:space="preserve">- LOWESS: non-parametric confirmation của dạng hàm</w:t>
      </w:r>
    </w:p>
    <w:p>
      <w:pPr>
        <w:pStyle w:val="BodyText"/>
      </w:pPr>
      <w:r>
        <w:rPr>
          <w:bCs/>
          <w:b/>
        </w:rPr>
        <w:t xml:space="preserve">Lind–Mehlum U-test</w:t>
      </w:r>
      <w:r>
        <w:t xml:space="preserve"> </w:t>
      </w:r>
      <w:r>
        <w:t xml:space="preserve">(chi tiết): Kiểm định xem dạng inverted-U là thực sự (genuine non-monotonic với maximum nằm trong vùng dữ liệu) hay chỉ là quadratic fit. Quy trình: (1) Kiểm tra β₁ &gt; 0 và β₂ &lt; 0; (2) Tính TP = −β₁/(2β₂) và 95% CI bằng delta method; (3) Kiểm định H₀: slope tại min(FSTS) ≤ 0 HOẶC slope tại max(FSTS) ≥ 0 — bác bỏ H₀ → genuine inverted-U. P3 Việt Nam đã áp dụng: TP_pooled = 39.7% (95% CI: 33.2–46.2%), Lind–Mehlum p &lt; .001 cho pooled model.</w:t>
      </w:r>
    </w:p>
    <w:p>
      <w:pPr>
        <w:pStyle w:val="BodyText"/>
      </w:pPr>
      <w:r>
        <w:rPr>
          <w:bCs/>
          <w:b/>
        </w:rPr>
        <w:t xml:space="preserve">Paternoster z-test</w:t>
      </w:r>
      <w:r>
        <w:t xml:space="preserve"> </w:t>
      </w:r>
      <w:r>
        <w:t xml:space="preserve">(chi tiết): So sánh hệ số giữa hai nhóm hoặc hai giai đoạn: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(a) So sánh TP(Nhóm I) vs TP(Nhóm IV) cho H5; (b) So sánh FSTS² coefficient giữa Year_bucket cho H6. P3 Việt Nam: z = 3.353 giữa wave 2009 và 2015 (TP dịch chuyển từ 46.2% → 39.3%).</w:t>
      </w:r>
    </w:p>
    <w:p>
      <w:pPr>
        <w:pStyle w:val="BodyText"/>
      </w:pPr>
      <w:r>
        <w:rPr>
          <w:bCs/>
          <w:b/>
        </w:rPr>
        <w:t xml:space="preserve">LOWESS diagnostic</w:t>
      </w:r>
      <w:r>
        <w:t xml:space="preserve">: Non-parametric smoother (bandwidth = 0.4) vẽ ln(LP) ~ FSTS — nếu hình dạng visual consistent với inverted-U → confirmatory evidence không phụ thuộc distributional assumptions. R code:</w:t>
      </w:r>
      <w:r>
        <w:t xml:space="preserve"> </w:t>
      </w:r>
      <w:r>
        <w:rPr>
          <w:rStyle w:val="VerbatimChar"/>
        </w:rPr>
        <w:t xml:space="preserve">lowess(x = df$fsts, y = df$ln_lp, f = 0.4)</w:t>
      </w:r>
      <w:r>
        <w:t xml:space="preserve"> </w:t>
      </w:r>
      <w:r>
        <w:t xml:space="preserve">với confidence bands từ bootstrap.</w:t>
      </w:r>
    </w:p>
    <w:p>
      <w:pPr>
        <w:pStyle w:val="BodyText"/>
      </w:pPr>
      <w:r>
        <w:rPr>
          <w:bCs/>
          <w:b/>
        </w:rPr>
        <w:t xml:space="preserve">Tier 4 — Sub-sample replication</w:t>
      </w:r>
      <w:r>
        <w:t xml:space="preserve">:</w:t>
      </w:r>
      <w:r>
        <w:t xml:space="preserve"> </w:t>
      </w:r>
      <w:r>
        <w:t xml:space="preserve">- Pool đủ lớn (101.185) cho phép chạy M0–M7 riêng cho từng nhóm ICRV (Nhóm I: ~6.500; Nhóm IV: ~28.000) để kiểm định heterogeneity</w:t>
      </w:r>
      <w:r>
        <w:t xml:space="preserve"> </w:t>
      </w:r>
      <w:r>
        <w:t xml:space="preserve">- Cross-validation: so sánh turning points pool vs. sub-sample</w:t>
      </w:r>
    </w:p>
    <w:p>
      <w:r>
        <w:pict>
          <v:rect style="width:0;height:1.5pt" o:hralign="center" o:hrstd="t" o:hr="t"/>
        </w:pict>
      </w:r>
    </w:p>
    <w:bookmarkEnd w:id="80"/>
    <w:bookmarkEnd w:id="81"/>
    <w:bookmarkStart w:id="85" w:name="chương-8-kế-hoạch-kiểm-định-độ-vững"/>
    <w:p>
      <w:pPr>
        <w:pStyle w:val="Heading2"/>
      </w:pPr>
      <w:r>
        <w:t xml:space="preserve">CHƯƠNG 8 — KẾ HOẠCH KIỂM ĐỊNH ĐỘ VỮNG</w:t>
      </w:r>
    </w:p>
    <w:bookmarkStart w:id="82" w:name="tổng-quan-sáu-nhóm-kiểm-định"/>
    <w:p>
      <w:pPr>
        <w:pStyle w:val="Heading3"/>
      </w:pPr>
      <w:r>
        <w:t xml:space="preserve">8.1 Tổng quan sáu nhóm kiểm định</w:t>
      </w:r>
    </w:p>
    <w:p>
      <w:pPr>
        <w:pStyle w:val="FirstParagraph"/>
      </w:pPr>
      <w:r>
        <w:t xml:space="preserve">CĐ2 thiết kế kế hoạch robustness toàn diện theo sáu nhóm, mỗi nhóm trả lời một mối lo cụ thể:</w:t>
      </w:r>
    </w:p>
    <w:p>
      <w:pPr>
        <w:pStyle w:val="BodyText"/>
      </w:pPr>
      <w:r>
        <w:rPr>
          <w:bCs/>
          <w:b/>
        </w:rPr>
        <w:t xml:space="preserve">Bảng 8.1</w:t>
      </w:r>
      <w:r>
        <w:t xml:space="preserve">.</w:t>
      </w:r>
      <w:r>
        <w:t xml:space="preserve"> </w:t>
      </w:r>
      <w:r>
        <w:rPr>
          <w:iCs/>
          <w:i/>
        </w:rPr>
        <w:t xml:space="preserve">Kế hoạch kiểm định độ vững — sáu nhóm, 18 kiểm định.</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rPr>
                <w:bCs/>
                <w:b/>
              </w:rPr>
              <w:t xml:space="preserve">R1</w:t>
            </w:r>
            <w:r>
              <w:t xml:space="preserve"> </w:t>
            </w:r>
            <w:r>
              <w:t xml:space="preserve">Thay đổi thước đo</w:t>
            </w:r>
          </w:p>
        </w:tc>
        <w:tc>
          <w:tcPr/>
          <w:p>
            <w:pPr>
              <w:pStyle w:val="Compact"/>
              <w:jc w:val="left"/>
            </w:pPr>
            <w:r>
              <w:t xml:space="preserve">DV/IV/moderators khác nhau</w:t>
            </w:r>
          </w:p>
        </w:tc>
        <w:tc>
          <w:tcPr/>
          <w:p>
            <w:pPr>
              <w:pStyle w:val="Compact"/>
              <w:jc w:val="left"/>
            </w:pPr>
            <w:r>
              <w:t xml:space="preserve">(a) DV→ROS; (b) IV→exporter dummy; (c) TCI 3-item (không có h1); (d) DAI Tier 1 only (c22b) xuyên tất cả schema</w:t>
            </w:r>
          </w:p>
        </w:tc>
        <w:tc>
          <w:tcPr/>
          <w:p>
            <w:pPr>
              <w:pStyle w:val="Compact"/>
              <w:jc w:val="left"/>
            </w:pPr>
            <w:r>
              <w:t xml:space="preserve">Dấu hệ số giữ nguyên; magnitude có thể khác</w:t>
            </w:r>
          </w:p>
        </w:tc>
      </w:tr>
      <w:tr>
        <w:tc>
          <w:tcPr/>
          <w:p>
            <w:pPr>
              <w:pStyle w:val="Compact"/>
              <w:jc w:val="left"/>
            </w:pPr>
            <w:r>
              <w:rPr>
                <w:bCs/>
                <w:b/>
              </w:rPr>
              <w:t xml:space="preserve">R2</w:t>
            </w:r>
            <w:r>
              <w:t xml:space="preserve"> </w:t>
            </w:r>
            <w:r>
              <w:t xml:space="preserve">Lọc mẫu</w:t>
            </w:r>
          </w:p>
        </w:tc>
        <w:tc>
          <w:tcPr/>
          <w:p>
            <w:pPr>
              <w:pStyle w:val="Compact"/>
              <w:jc w:val="left"/>
            </w:pPr>
            <w:r>
              <w:t xml:space="preserve">Selection bias từ sample composition</w:t>
            </w:r>
          </w:p>
        </w:tc>
        <w:tc>
          <w:tcPr/>
          <w:p>
            <w:pPr>
              <w:pStyle w:val="Compact"/>
              <w:jc w:val="left"/>
            </w:pPr>
            <w:r>
              <w:t xml:space="preserve">(a) Loại micro firms (&lt;5 lao động); (b) Loại SOEs (state_own&gt;50%); (c) Manufacturing only (ISIC 10–33); (d) Exporters only (FSTS&gt;0)</w:t>
            </w:r>
          </w:p>
        </w:tc>
        <w:tc>
          <w:tcPr/>
          <w:p>
            <w:pPr>
              <w:pStyle w:val="Compact"/>
              <w:jc w:val="left"/>
            </w:pPr>
            <w:r>
              <w:t xml:space="preserve">Core results robust với varying samples</w:t>
            </w:r>
          </w:p>
        </w:tc>
      </w:tr>
      <w:tr>
        <w:tc>
          <w:tcPr/>
          <w:p>
            <w:pPr>
              <w:pStyle w:val="Compact"/>
              <w:jc w:val="left"/>
            </w:pPr>
            <w:r>
              <w:rPr>
                <w:bCs/>
                <w:b/>
              </w:rPr>
              <w:t xml:space="preserve">R3</w:t>
            </w:r>
            <w:r>
              <w:t xml:space="preserve"> </w:t>
            </w:r>
            <w:r>
              <w:t xml:space="preserve">Thay đổi phương pháp</w:t>
            </w:r>
          </w:p>
        </w:tc>
        <w:tc>
          <w:tcPr/>
          <w:p>
            <w:pPr>
              <w:pStyle w:val="Compact"/>
              <w:jc w:val="left"/>
            </w:pPr>
            <w:r>
              <w:t xml:space="preserve">OLS assumption violations</w:t>
            </w:r>
          </w:p>
        </w:tc>
        <w:tc>
          <w:tcPr/>
          <w:p>
            <w:pPr>
              <w:pStyle w:val="Compact"/>
              <w:jc w:val="left"/>
            </w:pPr>
            <w:r>
              <w:t xml:space="preserve">(a) Quantile regression tại p25/p50/p75; (b) HC3 thay HC1; (c) Bootstrap SE (1.000 replications); (d) Clustered SE tại country level</w:t>
            </w:r>
          </w:p>
        </w:tc>
        <w:tc>
          <w:tcPr/>
          <w:p>
            <w:pPr>
              <w:pStyle w:val="Compact"/>
              <w:jc w:val="left"/>
            </w:pPr>
            <w:r>
              <w:t xml:space="preserve">Sign preservation; CI may widen</w:t>
            </w:r>
          </w:p>
        </w:tc>
      </w:tr>
      <w:tr>
        <w:tc>
          <w:tcPr/>
          <w:p>
            <w:pPr>
              <w:pStyle w:val="Compact"/>
              <w:jc w:val="left"/>
            </w:pPr>
            <w:r>
              <w:rPr>
                <w:bCs/>
                <w:b/>
              </w:rPr>
              <w:t xml:space="preserve">R4</w:t>
            </w:r>
            <w:r>
              <w:t xml:space="preserve"> </w:t>
            </w:r>
            <w:r>
              <w:t xml:space="preserve">Kiểm tra dạng hàm</w:t>
            </w:r>
          </w:p>
        </w:tc>
        <w:tc>
          <w:tcPr/>
          <w:p>
            <w:pPr>
              <w:pStyle w:val="Compact"/>
              <w:jc w:val="left"/>
            </w:pPr>
            <w:r>
              <w:t xml:space="preserve">Functional form misspecification</w:t>
            </w:r>
          </w:p>
        </w:tc>
        <w:tc>
          <w:tcPr/>
          <w:p>
            <w:pPr>
              <w:pStyle w:val="Compact"/>
              <w:jc w:val="left"/>
            </w:pPr>
            <w:r>
              <w:t xml:space="preserve">(a) LOWESS non-parametric — kiểm tra visual inverted-U; (b) RESET test; (c) Fractional polynomial; (d) Spline regression với 3 knots</w:t>
            </w:r>
          </w:p>
        </w:tc>
        <w:tc>
          <w:tcPr/>
          <w:p>
            <w:pPr>
              <w:pStyle w:val="Compact"/>
              <w:jc w:val="left"/>
            </w:pPr>
            <w:r>
              <w:t xml:space="preserve">LOWESS consistent với quadratic fit</w:t>
            </w:r>
          </w:p>
        </w:tc>
      </w:tr>
      <w:tr>
        <w:tc>
          <w:tcPr/>
          <w:p>
            <w:pPr>
              <w:pStyle w:val="Compact"/>
              <w:jc w:val="left"/>
            </w:pPr>
            <w:r>
              <w:rPr>
                <w:bCs/>
                <w:b/>
              </w:rPr>
              <w:t xml:space="preserve">R5</w:t>
            </w:r>
            <w:r>
              <w:t xml:space="preserve"> </w:t>
            </w:r>
            <w:r>
              <w:t xml:space="preserve">Placebo tests</w:t>
            </w:r>
          </w:p>
        </w:tc>
        <w:tc>
          <w:tcPr/>
          <w:p>
            <w:pPr>
              <w:pStyle w:val="Compact"/>
              <w:jc w:val="left"/>
            </w:pPr>
            <w:r>
              <w:t xml:space="preserve">Spurious correlations</w:t>
            </w:r>
          </w:p>
        </w:tc>
        <w:tc>
          <w:tcPr/>
          <w:p>
            <w:pPr>
              <w:pStyle w:val="Compact"/>
              <w:jc w:val="left"/>
            </w:pPr>
            <w:r>
              <w:t xml:space="preserve">(a) Thay FSTS bằng biến giả ngẫu nhiên → không tìm thấy phi tuyến; (b) Thay TCI bằng noise → không có moderation; (c) Reverse causality check (lag analysis nơi có thể)</w:t>
            </w:r>
          </w:p>
        </w:tc>
        <w:tc>
          <w:tcPr/>
          <w:p>
            <w:pPr>
              <w:pStyle w:val="Compact"/>
              <w:jc w:val="left"/>
            </w:pPr>
            <w:r>
              <w:t xml:space="preserve">Placebo tests không cho kết quả significant</w:t>
            </w:r>
          </w:p>
        </w:tc>
      </w:tr>
      <w:tr>
        <w:tc>
          <w:tcPr/>
          <w:p>
            <w:pPr>
              <w:pStyle w:val="Compact"/>
              <w:jc w:val="left"/>
            </w:pPr>
            <w:r>
              <w:rPr>
                <w:bCs/>
                <w:b/>
              </w:rPr>
              <w:t xml:space="preserve">R6</w:t>
            </w:r>
            <w:r>
              <w:t xml:space="preserve"> </w:t>
            </w:r>
            <w:r>
              <w:t xml:space="preserve">Nhạy cảm thiết kế</w:t>
            </w:r>
          </w:p>
        </w:tc>
        <w:tc>
          <w:tcPr/>
          <w:p>
            <w:pPr>
              <w:pStyle w:val="Compact"/>
              <w:jc w:val="left"/>
            </w:pPr>
            <w:r>
              <w:t xml:space="preserve">Researcher degrees of freedom</w:t>
            </w:r>
          </w:p>
        </w:tc>
        <w:tc>
          <w:tcPr/>
          <w:p>
            <w:pPr>
              <w:pStyle w:val="Compact"/>
              <w:jc w:val="left"/>
            </w:pPr>
            <w:r>
              <w:t xml:space="preserve">(a) ICRV cutoffs khác (GNI thay PPP GDP); (b) Temporal buckets: 2009–11/12–16/17–25; (c) Loại từng quốc gia (jackknife 47 lần); (d) Vary DAI Tier threshold</w:t>
            </w:r>
          </w:p>
        </w:tc>
        <w:tc>
          <w:tcPr/>
          <w:p>
            <w:pPr>
              <w:pStyle w:val="Compact"/>
              <w:jc w:val="left"/>
            </w:pPr>
            <w:r>
              <w:t xml:space="preserve">Core findings stable</w:t>
            </w:r>
          </w:p>
        </w:tc>
      </w:tr>
    </w:tbl>
    <w:p>
      <w:pPr>
        <w:pStyle w:val="BodyText"/>
      </w:pPr>
      <w:r>
        <w:rPr>
          <w:bCs/>
          <w:b/>
        </w:rPr>
        <w:t xml:space="preserve">Ưu tiên thứ tự báo cáo robustness</w:t>
      </w:r>
      <w:r>
        <w:t xml:space="preserve">: R1 (thay đổi thước đo) và R3 (thay đổi phương pháp) được báo cáo trong bảng chính vì chúng trả lời mối lo cơ bản nhất của reviewers (measurement và estimation). R2 (lọc mẫu) và R4 (dạng hàm) được trình bày trong Phụ lục A (condensed). R5 (placebo) được tóm tắt trong một đoạn văn thay vì bảng. R6 (thiết kế) được thảo luận trong §Limitations. Cách tổ chức này tuân theo chuẩn mực của</w:t>
      </w:r>
      <w:r>
        <w:t xml:space="preserve"> </w:t>
      </w:r>
      <w:r>
        <w:rPr>
          <w:iCs/>
          <w:i/>
        </w:rPr>
        <w:t xml:space="preserve">JIBS</w:t>
      </w:r>
      <w:r>
        <w:t xml:space="preserve">,</w:t>
      </w:r>
      <w:r>
        <w:t xml:space="preserve"> </w:t>
      </w:r>
      <w:r>
        <w:rPr>
          <w:iCs/>
          <w:i/>
        </w:rPr>
        <w:t xml:space="preserve">SMJ</w:t>
      </w:r>
      <w:r>
        <w:t xml:space="preserve">, và</w:t>
      </w:r>
      <w:r>
        <w:t xml:space="preserve"> </w:t>
      </w:r>
      <w:r>
        <w:rPr>
          <w:iCs/>
          <w:i/>
        </w:rPr>
        <w:t xml:space="preserve">AMJ</w:t>
      </w:r>
      <w:r>
        <w:t xml:space="preserve"> </w:t>
      </w:r>
      <w:r>
        <w:t xml:space="preserve">đối với robustness sections trong bài viết cross-national empirical.</w:t>
      </w:r>
    </w:p>
    <w:bookmarkEnd w:id="82"/>
    <w:bookmarkStart w:id="83" w:name="checklist-kỳ-vọng-robustness"/>
    <w:p>
      <w:pPr>
        <w:pStyle w:val="Heading3"/>
      </w:pPr>
      <w:r>
        <w:t xml:space="preserve">8.2 Checklist kỳ vọng robustness</w:t>
      </w:r>
    </w:p>
    <w:p>
      <w:pPr>
        <w:pStyle w:val="FirstParagraph"/>
      </w:pPr>
      <w:r>
        <w:t xml:space="preserve">Theo Cohen’s f² convention, tác động nhỏ (f² = 0.02), trung bình (f² = 0.15), lớn (f² = 0.35). Với n = 101.185:</w:t>
      </w:r>
    </w:p>
    <w:p>
      <w:pPr>
        <w:numPr>
          <w:ilvl w:val="0"/>
          <w:numId w:val="1016"/>
        </w:numPr>
        <w:pStyle w:val="Compact"/>
      </w:pPr>
      <w:r>
        <w:rPr>
          <w:bCs/>
          <w:b/>
        </w:rPr>
        <w:t xml:space="preserve">Power</w:t>
      </w:r>
      <w:r>
        <w:t xml:space="preserve">: &gt;0.99 cho f² ≥ 0.01 → có thể detect rất nhỏ effect sizes</w:t>
      </w:r>
    </w:p>
    <w:p>
      <w:pPr>
        <w:numPr>
          <w:ilvl w:val="0"/>
          <w:numId w:val="1016"/>
        </w:numPr>
        <w:pStyle w:val="Compact"/>
      </w:pPr>
      <w:r>
        <w:rPr>
          <w:bCs/>
          <w:b/>
        </w:rPr>
        <w:t xml:space="preserve">Publication bias risk</w:t>
      </w:r>
      <w:r>
        <w:t xml:space="preserve">: Có thể inflate Type I error → robustness checks phải conservative</w:t>
      </w:r>
    </w:p>
    <w:p>
      <w:pPr>
        <w:numPr>
          <w:ilvl w:val="0"/>
          <w:numId w:val="1016"/>
        </w:numPr>
        <w:pStyle w:val="Compact"/>
      </w:pPr>
      <w:r>
        <w:rPr>
          <w:bCs/>
          <w:b/>
        </w:rPr>
        <w:t xml:space="preserve">Acceptable range</w:t>
      </w:r>
      <w:r>
        <w:t xml:space="preserve">: β(FSTS²) trong khoảng [−2.5, −0.5] qua các specs chính → consistent với văn liệu inverted-U</w:t>
      </w:r>
    </w:p>
    <w:p>
      <w:pPr>
        <w:numPr>
          <w:ilvl w:val="0"/>
          <w:numId w:val="1016"/>
        </w:numPr>
        <w:pStyle w:val="Compact"/>
      </w:pPr>
      <w:r>
        <w:rPr>
          <w:bCs/>
          <w:b/>
        </w:rPr>
        <w:t xml:space="preserve">Flag</w:t>
      </w:r>
      <w:r>
        <w:t xml:space="preserve">: Nếu bất kỳ R1–R6 nào cho β flip sign, phải report và thảo luận trong §9.4 Limitations</w:t>
      </w:r>
    </w:p>
    <w:p>
      <w:pPr>
        <w:pStyle w:val="FirstParagraph"/>
      </w:pPr>
      <w:r>
        <w:rPr>
          <w:bCs/>
          <w:b/>
        </w:rPr>
        <w:t xml:space="preserve">Bảng 8.2</w:t>
      </w:r>
      <w:r>
        <w:t xml:space="preserve">.</w:t>
      </w:r>
      <w:r>
        <w:t xml:space="preserve"> </w:t>
      </w:r>
      <w:r>
        <w:rPr>
          <w:iCs/>
          <w:i/>
        </w:rPr>
        <w:t xml:space="preserve">Ngưỡng acceptable cho key parameters qua robustness checks.</w:t>
      </w:r>
    </w:p>
    <w:tbl>
      <w:tblPr>
        <w:tblStyle w:val="Table"/>
        <w:tblW w:type="pct" w:w="5000"/>
        <w:tblLook w:firstRow="1" w:lastRow="0" w:firstColumn="0" w:lastColumn="0" w:noHBand="0" w:noVBand="0" w:val="0020"/>
        <w:jc w:val="start"/>
      </w:tblPr>
      <w:tblGrid>
        <w:gridCol w:w="1584"/>
        <w:gridCol w:w="2592"/>
        <w:gridCol w:w="2448"/>
        <w:gridCol w:w="1296"/>
      </w:tblGrid>
      <w:tr>
        <w:trPr>
          <w:tblHeader w:val="true"/>
        </w:trPr>
        <w:tc>
          <w:tcPr/>
          <w:p>
            <w:pPr>
              <w:pStyle w:val="Compact"/>
              <w:jc w:val="left"/>
            </w:pPr>
            <w:r>
              <w:t xml:space="preserve">Parameter</w:t>
            </w:r>
          </w:p>
        </w:tc>
        <w:tc>
          <w:tcPr/>
          <w:p>
            <w:pPr>
              <w:pStyle w:val="Compact"/>
              <w:jc w:val="left"/>
            </w:pPr>
            <w:r>
              <w:t xml:space="preserve">Baseline expected</w:t>
            </w:r>
          </w:p>
        </w:tc>
        <w:tc>
          <w:tcPr/>
          <w:p>
            <w:pPr>
              <w:pStyle w:val="Compact"/>
              <w:jc w:val="left"/>
            </w:pPr>
            <w:r>
              <w:t xml:space="preserve">Acceptable range</w:t>
            </w:r>
          </w:p>
        </w:tc>
        <w:tc>
          <w:tcPr/>
          <w:p>
            <w:pPr>
              <w:pStyle w:val="Compact"/>
              <w:jc w:val="left"/>
            </w:pPr>
            <w:r>
              <w:t xml:space="preserve">Flag nếu</w:t>
            </w:r>
          </w:p>
        </w:tc>
      </w:tr>
      <w:tr>
        <w:tc>
          <w:tcPr/>
          <w:p>
            <w:pPr>
              <w:pStyle w:val="Compact"/>
              <w:jc w:val="left"/>
            </w:pPr>
            <w:r>
              <w:t xml:space="preserve">β₁(FSTS)</w:t>
            </w:r>
          </w:p>
        </w:tc>
        <w:tc>
          <w:tcPr/>
          <w:p>
            <w:pPr>
              <w:pStyle w:val="Compact"/>
              <w:jc w:val="left"/>
            </w:pPr>
            <w:r>
              <w:t xml:space="preserve">&gt; 0</w:t>
            </w:r>
          </w:p>
        </w:tc>
        <w:tc>
          <w:tcPr/>
          <w:p>
            <w:pPr>
              <w:pStyle w:val="Compact"/>
              <w:jc w:val="left"/>
            </w:pPr>
            <w:r>
              <w:t xml:space="preserve">[0.1, 3.0]</w:t>
            </w:r>
          </w:p>
        </w:tc>
        <w:tc>
          <w:tcPr/>
          <w:p>
            <w:pPr>
              <w:pStyle w:val="Compact"/>
              <w:jc w:val="left"/>
            </w:pPr>
            <w:r>
              <w:t xml:space="preserve">Âm hoặc không significant</w:t>
            </w:r>
          </w:p>
        </w:tc>
      </w:tr>
      <w:tr>
        <w:tc>
          <w:tcPr/>
          <w:p>
            <w:pPr>
              <w:pStyle w:val="Compact"/>
              <w:jc w:val="left"/>
            </w:pPr>
            <w:r>
              <w:t xml:space="preserve">β₂(FSTS²)</w:t>
            </w:r>
          </w:p>
        </w:tc>
        <w:tc>
          <w:tcPr/>
          <w:p>
            <w:pPr>
              <w:pStyle w:val="Compact"/>
              <w:jc w:val="left"/>
            </w:pPr>
            <w:r>
              <w:t xml:space="preserve">&lt; 0</w:t>
            </w:r>
          </w:p>
        </w:tc>
        <w:tc>
          <w:tcPr/>
          <w:p>
            <w:pPr>
              <w:pStyle w:val="Compact"/>
              <w:jc w:val="left"/>
            </w:pPr>
            <w:r>
              <w:t xml:space="preserve">[−2.5, −0.1]</w:t>
            </w:r>
          </w:p>
        </w:tc>
        <w:tc>
          <w:tcPr/>
          <w:p>
            <w:pPr>
              <w:pStyle w:val="Compact"/>
              <w:jc w:val="left"/>
            </w:pPr>
            <w:r>
              <w:t xml:space="preserve">Dương hoặc không significant</w:t>
            </w:r>
          </w:p>
        </w:tc>
      </w:tr>
      <w:tr>
        <w:tc>
          <w:tcPr/>
          <w:p>
            <w:pPr>
              <w:pStyle w:val="Compact"/>
              <w:jc w:val="left"/>
            </w:pPr>
            <w:r>
              <w:t xml:space="preserve">Turning point</w:t>
            </w:r>
          </w:p>
        </w:tc>
        <w:tc>
          <w:tcPr/>
          <w:p>
            <w:pPr>
              <w:pStyle w:val="Compact"/>
              <w:jc w:val="left"/>
            </w:pPr>
            <w:r>
              <w:t xml:space="preserve">35–55% (phần lớn nhóm)</w:t>
            </w:r>
          </w:p>
        </w:tc>
        <w:tc>
          <w:tcPr/>
          <w:p>
            <w:pPr>
              <w:pStyle w:val="Compact"/>
              <w:jc w:val="left"/>
            </w:pPr>
            <w:r>
              <w:t xml:space="preserve">[20%, 90%]</w:t>
            </w:r>
          </w:p>
        </w:tc>
        <w:tc>
          <w:tcPr/>
          <w:p>
            <w:pPr>
              <w:pStyle w:val="Compact"/>
              <w:jc w:val="left"/>
            </w:pPr>
            <w:r>
              <w:t xml:space="preserve">Ngoài sample support</w:t>
            </w:r>
          </w:p>
        </w:tc>
      </w:tr>
      <w:tr>
        <w:tc>
          <w:tcPr/>
          <w:p>
            <w:pPr>
              <w:pStyle w:val="Compact"/>
              <w:jc w:val="left"/>
            </w:pPr>
            <w:r>
              <w:t xml:space="preserve">β(TCI)</w:t>
            </w:r>
          </w:p>
        </w:tc>
        <w:tc>
          <w:tcPr/>
          <w:p>
            <w:pPr>
              <w:pStyle w:val="Compact"/>
              <w:jc w:val="left"/>
            </w:pPr>
            <w:r>
              <w:t xml:space="preserve">&gt; 0</w:t>
            </w:r>
          </w:p>
        </w:tc>
        <w:tc>
          <w:tcPr/>
          <w:p>
            <w:pPr>
              <w:pStyle w:val="Compact"/>
              <w:jc w:val="left"/>
            </w:pPr>
            <w:r>
              <w:t xml:space="preserve">[0.05, 0.5]</w:t>
            </w:r>
          </w:p>
        </w:tc>
        <w:tc>
          <w:tcPr/>
          <w:p>
            <w:pPr>
              <w:pStyle w:val="Compact"/>
              <w:jc w:val="left"/>
            </w:pPr>
            <w:r>
              <w:t xml:space="preserve">Âm</w:t>
            </w:r>
          </w:p>
        </w:tc>
      </w:tr>
      <w:tr>
        <w:tc>
          <w:tcPr/>
          <w:p>
            <w:pPr>
              <w:pStyle w:val="Compact"/>
              <w:jc w:val="left"/>
            </w:pPr>
            <w:r>
              <w:t xml:space="preserve">β(FSTS²×DAI) Nhóm I</w:t>
            </w:r>
          </w:p>
        </w:tc>
        <w:tc>
          <w:tcPr/>
          <w:p>
            <w:pPr>
              <w:pStyle w:val="Compact"/>
              <w:jc w:val="left"/>
            </w:pPr>
            <w:r>
              <w:t xml:space="preserve">&gt; 0</w:t>
            </w:r>
          </w:p>
        </w:tc>
        <w:tc>
          <w:tcPr/>
          <w:p>
            <w:pPr>
              <w:pStyle w:val="Compact"/>
              <w:jc w:val="left"/>
            </w:pPr>
            <w:r>
              <w:t xml:space="preserve">[0.5, 6.0]</w:t>
            </w:r>
          </w:p>
        </w:tc>
        <w:tc>
          <w:tcPr/>
          <w:p>
            <w:pPr>
              <w:pStyle w:val="Compact"/>
              <w:jc w:val="left"/>
            </w:pPr>
            <w:r>
              <w:t xml:space="preserve">Âm hoặc null trong Nhóm I</w:t>
            </w:r>
          </w:p>
        </w:tc>
      </w:tr>
      <w:tr>
        <w:tc>
          <w:tcPr/>
          <w:p>
            <w:pPr>
              <w:pStyle w:val="Compact"/>
              <w:jc w:val="left"/>
            </w:pPr>
            <w:r>
              <w:t xml:space="preserve">R² incremental M1 vs M0</w:t>
            </w:r>
          </w:p>
        </w:tc>
        <w:tc>
          <w:tcPr/>
          <w:p>
            <w:pPr>
              <w:pStyle w:val="Compact"/>
              <w:jc w:val="left"/>
            </w:pPr>
            <w:r>
              <w:t xml:space="preserve">&gt; 1%</w:t>
            </w:r>
          </w:p>
        </w:tc>
        <w:tc>
          <w:tcPr/>
          <w:p>
            <w:pPr>
              <w:pStyle w:val="Compact"/>
              <w:jc w:val="left"/>
            </w:pPr>
            <w:r>
              <w:t xml:space="preserve">[0.5%, 5%]</w:t>
            </w:r>
          </w:p>
        </w:tc>
        <w:tc>
          <w:tcPr/>
          <w:p>
            <w:pPr>
              <w:pStyle w:val="Compact"/>
              <w:jc w:val="left"/>
            </w:pPr>
            <w:r>
              <w:t xml:space="preserve">&lt; 0.3%</w:t>
            </w:r>
          </w:p>
        </w:tc>
      </w:tr>
      <w:tr>
        <w:tc>
          <w:tcPr/>
          <w:p>
            <w:pPr>
              <w:pStyle w:val="Compact"/>
              <w:jc w:val="left"/>
            </w:pPr>
            <w:r>
              <w:t xml:space="preserve">VIF focal variables</w:t>
            </w:r>
          </w:p>
        </w:tc>
        <w:tc>
          <w:tcPr/>
          <w:p>
            <w:pPr>
              <w:pStyle w:val="Compact"/>
              <w:jc w:val="left"/>
            </w:pPr>
            <w:r>
              <w:t xml:space="preserve">&lt; 5</w:t>
            </w:r>
          </w:p>
        </w:tc>
        <w:tc>
          <w:tcPr/>
          <w:p>
            <w:pPr>
              <w:pStyle w:val="Compact"/>
              <w:jc w:val="left"/>
            </w:pPr>
            <w:r>
              <w:t xml:space="preserve">&lt; 10</w:t>
            </w:r>
          </w:p>
        </w:tc>
        <w:tc>
          <w:tcPr/>
          <w:p>
            <w:pPr>
              <w:pStyle w:val="Compact"/>
              <w:jc w:val="left"/>
            </w:pPr>
            <w:r>
              <w:t xml:space="preserve">&gt; 10 cho interactions</w:t>
            </w:r>
          </w:p>
        </w:tc>
      </w:tr>
    </w:tbl>
    <w:p>
      <w:pPr>
        <w:pStyle w:val="BodyText"/>
      </w:pPr>
      <w:r>
        <w:rPr>
          <w:bCs/>
          <w:b/>
        </w:rPr>
        <w:t xml:space="preserve">Quy trình báo cáo robustness</w:t>
      </w:r>
      <w:r>
        <w:t xml:space="preserve">: Nếu ≥ 4/6 nhóm R1–R6 cho kết quả consistent với baseline (dấu đúng, p &lt; .10), kết quả được coi là</w:t>
      </w:r>
      <w:r>
        <w:t xml:space="preserve"> </w:t>
      </w:r>
      <w:r>
        <w:t xml:space="preserve">“</w:t>
      </w:r>
      <w:r>
        <w:t xml:space="preserve">robustly confirmed</w:t>
      </w:r>
      <w:r>
        <w:t xml:space="preserve">”</w:t>
      </w:r>
      <w:r>
        <w:t xml:space="preserve">. Nếu chỉ 2–3/6 nhóm consistent, kết quả là</w:t>
      </w:r>
      <w:r>
        <w:t xml:space="preserve"> </w:t>
      </w:r>
      <w:r>
        <w:t xml:space="preserve">“</w:t>
      </w:r>
      <w:r>
        <w:t xml:space="preserve">conditionally supported</w:t>
      </w:r>
      <w:r>
        <w:t xml:space="preserve">”</w:t>
      </w:r>
      <w:r>
        <w:t xml:space="preserve"> </w:t>
      </w:r>
      <w:r>
        <w:t xml:space="preserve">— cần thảo luận điều kiện. Nếu &lt; 2/6 nhóm consistent, kết quả cần tái xem xét và không được claim H confirmed.</w:t>
      </w:r>
    </w:p>
    <w:bookmarkEnd w:id="83"/>
    <w:bookmarkStart w:id="84" w:name="chuỗi-báo-cáo-kết-quả"/>
    <w:p>
      <w:pPr>
        <w:pStyle w:val="Heading3"/>
      </w:pPr>
      <w:r>
        <w:t xml:space="preserve">8.3 Chuỗi báo cáo kết quả</w:t>
      </w:r>
    </w:p>
    <w:p>
      <w:pPr>
        <w:pStyle w:val="FirstParagraph"/>
      </w:pPr>
      <w:r>
        <w:rPr>
          <w:bCs/>
          <w:b/>
        </w:rPr>
        <w:t xml:space="preserve">Bảng 8.3</w:t>
      </w:r>
      <w:r>
        <w:t xml:space="preserve">.</w:t>
      </w:r>
      <w:r>
        <w:t xml:space="preserve"> </w:t>
      </w:r>
      <w:r>
        <w:rPr>
          <w:iCs/>
          <w:i/>
        </w:rPr>
        <w:t xml:space="preserve">Chuỗi outputs dự kiến — 7 bảng + 3 hình + phụ lục.</w:t>
      </w:r>
    </w:p>
    <w:tbl>
      <w:tblPr>
        <w:tblStyle w:val="Table"/>
        <w:tblW w:type="pct" w:w="5000"/>
        <w:tblLook w:firstRow="1" w:lastRow="0" w:firstColumn="0" w:lastColumn="0" w:noHBand="0" w:noVBand="0" w:val="0020"/>
        <w:jc w:val="start"/>
      </w:tblPr>
      <w:tblGrid>
        <w:gridCol w:w="1863"/>
        <w:gridCol w:w="2096"/>
        <w:gridCol w:w="3960"/>
      </w:tblGrid>
      <w:tr>
        <w:trPr>
          <w:tblHeader w:val="true"/>
        </w:trPr>
        <w:tc>
          <w:tcPr/>
          <w:p>
            <w:pPr>
              <w:pStyle w:val="Compact"/>
              <w:jc w:val="left"/>
            </w:pPr>
            <w:r>
              <w:t xml:space="preserve">Output</w:t>
            </w:r>
          </w:p>
        </w:tc>
        <w:tc>
          <w:tcPr/>
          <w:p>
            <w:pPr>
              <w:pStyle w:val="Compact"/>
              <w:jc w:val="left"/>
            </w:pPr>
            <w:r>
              <w:t xml:space="preserve">Nội dung</w:t>
            </w:r>
          </w:p>
        </w:tc>
        <w:tc>
          <w:tcPr/>
          <w:p>
            <w:pPr>
              <w:pStyle w:val="Compact"/>
              <w:jc w:val="left"/>
            </w:pPr>
            <w:r>
              <w:t xml:space="preserve">Section báo cáo</w:t>
            </w:r>
          </w:p>
        </w:tc>
      </w:tr>
      <w:tr>
        <w:tc>
          <w:tcPr/>
          <w:p>
            <w:pPr>
              <w:pStyle w:val="Compact"/>
              <w:jc w:val="left"/>
            </w:pPr>
            <w:r>
              <w:rPr>
                <w:bCs/>
                <w:b/>
              </w:rPr>
              <w:t xml:space="preserve">Bảng 1</w:t>
            </w:r>
          </w:p>
        </w:tc>
        <w:tc>
          <w:tcPr/>
          <w:p>
            <w:pPr>
              <w:pStyle w:val="Compact"/>
              <w:jc w:val="left"/>
            </w:pPr>
            <w:r>
              <w:t xml:space="preserve">Descriptive statistics + correlation matrix</w:t>
            </w:r>
          </w:p>
        </w:tc>
        <w:tc>
          <w:tcPr/>
          <w:p>
            <w:pPr>
              <w:pStyle w:val="Compact"/>
              <w:jc w:val="left"/>
            </w:pPr>
            <w:r>
              <w:t xml:space="preserve">§Results 1</w:t>
            </w:r>
          </w:p>
        </w:tc>
      </w:tr>
      <w:tr>
        <w:tc>
          <w:tcPr/>
          <w:p>
            <w:pPr>
              <w:pStyle w:val="Compact"/>
              <w:jc w:val="left"/>
            </w:pPr>
            <w:r>
              <w:rPr>
                <w:bCs/>
                <w:b/>
              </w:rPr>
              <w:t xml:space="preserve">Bảng 2</w:t>
            </w:r>
          </w:p>
        </w:tc>
        <w:tc>
          <w:tcPr/>
          <w:p>
            <w:pPr>
              <w:pStyle w:val="Compact"/>
              <w:jc w:val="left"/>
            </w:pPr>
            <w:r>
              <w:t xml:space="preserve">M0–M4 (baseline đến TCI/DAI moderation); HC1 SE</w:t>
            </w:r>
          </w:p>
        </w:tc>
        <w:tc>
          <w:tcPr/>
          <w:p>
            <w:pPr>
              <w:pStyle w:val="Compact"/>
              <w:jc w:val="left"/>
            </w:pPr>
            <w:r>
              <w:t xml:space="preserve">§Results 2</w:t>
            </w:r>
          </w:p>
        </w:tc>
      </w:tr>
      <w:tr>
        <w:tc>
          <w:tcPr/>
          <w:p>
            <w:pPr>
              <w:pStyle w:val="Compact"/>
              <w:jc w:val="left"/>
            </w:pPr>
            <w:r>
              <w:rPr>
                <w:bCs/>
                <w:b/>
              </w:rPr>
              <w:t xml:space="preserve">Bảng 3</w:t>
            </w:r>
          </w:p>
        </w:tc>
        <w:tc>
          <w:tcPr/>
          <w:p>
            <w:pPr>
              <w:pStyle w:val="Compact"/>
              <w:jc w:val="left"/>
            </w:pPr>
            <w:r>
              <w:t xml:space="preserve">M5–M7 (Manager, ICRV, Three-way capstone)</w:t>
            </w:r>
          </w:p>
        </w:tc>
        <w:tc>
          <w:tcPr/>
          <w:p>
            <w:pPr>
              <w:pStyle w:val="Compact"/>
              <w:jc w:val="left"/>
            </w:pPr>
            <w:r>
              <w:t xml:space="preserve">§Results 3</w:t>
            </w:r>
          </w:p>
        </w:tc>
      </w:tr>
      <w:tr>
        <w:tc>
          <w:tcPr/>
          <w:p>
            <w:pPr>
              <w:pStyle w:val="Compact"/>
              <w:jc w:val="left"/>
            </w:pPr>
            <w:r>
              <w:rPr>
                <w:bCs/>
                <w:b/>
              </w:rPr>
              <w:t xml:space="preserve">Bảng 4</w:t>
            </w:r>
          </w:p>
        </w:tc>
        <w:tc>
          <w:tcPr/>
          <w:p>
            <w:pPr>
              <w:pStyle w:val="Compact"/>
              <w:jc w:val="left"/>
            </w:pPr>
            <w:r>
              <w:t xml:space="preserve">Turning points với delta-method 95% CI theo 6 nhóm ICRV</w:t>
            </w:r>
          </w:p>
        </w:tc>
        <w:tc>
          <w:tcPr/>
          <w:p>
            <w:pPr>
              <w:pStyle w:val="Compact"/>
              <w:jc w:val="left"/>
            </w:pPr>
            <w:r>
              <w:t xml:space="preserve">§Results 4</w:t>
            </w:r>
          </w:p>
        </w:tc>
      </w:tr>
      <w:tr>
        <w:tc>
          <w:tcPr/>
          <w:p>
            <w:pPr>
              <w:pStyle w:val="Compact"/>
              <w:jc w:val="left"/>
            </w:pPr>
            <w:r>
              <w:rPr>
                <w:bCs/>
                <w:b/>
              </w:rPr>
              <w:t xml:space="preserve">Bảng 5</w:t>
            </w:r>
          </w:p>
        </w:tc>
        <w:tc>
          <w:tcPr/>
          <w:p>
            <w:pPr>
              <w:pStyle w:val="Compact"/>
              <w:jc w:val="left"/>
            </w:pPr>
            <w:r>
              <w:t xml:space="preserve">Paternoster z-tests: TP cross-group (H5) + cross-time (H6)</w:t>
            </w:r>
          </w:p>
        </w:tc>
        <w:tc>
          <w:tcPr/>
          <w:p>
            <w:pPr>
              <w:pStyle w:val="Compact"/>
              <w:jc w:val="left"/>
            </w:pPr>
            <w:r>
              <w:t xml:space="preserve">§Results 5</w:t>
            </w:r>
          </w:p>
        </w:tc>
      </w:tr>
      <w:tr>
        <w:tc>
          <w:tcPr/>
          <w:p>
            <w:pPr>
              <w:pStyle w:val="Compact"/>
              <w:jc w:val="left"/>
            </w:pPr>
            <w:r>
              <w:rPr>
                <w:bCs/>
                <w:b/>
              </w:rPr>
              <w:t xml:space="preserve">Bảng 6</w:t>
            </w:r>
          </w:p>
        </w:tc>
        <w:tc>
          <w:tcPr/>
          <w:p>
            <w:pPr>
              <w:pStyle w:val="Compact"/>
              <w:jc w:val="left"/>
            </w:pPr>
            <w:r>
              <w:t xml:space="preserve">IV first-stage statistics (F, p, instrument validity)</w:t>
            </w:r>
          </w:p>
        </w:tc>
        <w:tc>
          <w:tcPr/>
          <w:p>
            <w:pPr>
              <w:pStyle w:val="Compact"/>
              <w:jc w:val="left"/>
            </w:pPr>
            <w:r>
              <w:t xml:space="preserve">§Results 6</w:t>
            </w:r>
          </w:p>
        </w:tc>
      </w:tr>
      <w:tr>
        <w:tc>
          <w:tcPr/>
          <w:p>
            <w:pPr>
              <w:pStyle w:val="Compact"/>
              <w:jc w:val="left"/>
            </w:pPr>
            <w:r>
              <w:rPr>
                <w:bCs/>
                <w:b/>
              </w:rPr>
              <w:t xml:space="preserve">Phụ lục A</w:t>
            </w:r>
          </w:p>
        </w:tc>
        <w:tc>
          <w:tcPr/>
          <w:p>
            <w:pPr>
              <w:pStyle w:val="Compact"/>
              <w:jc w:val="left"/>
            </w:pPr>
            <w:r>
              <w:t xml:space="preserve">Robustness panels R1–R6 (bảng condensed)</w:t>
            </w:r>
          </w:p>
        </w:tc>
        <w:tc>
          <w:tcPr/>
          <w:p>
            <w:pPr>
              <w:pStyle w:val="Compact"/>
              <w:jc w:val="left"/>
            </w:pPr>
            <w:r>
              <w:t xml:space="preserve">Appendix</w:t>
            </w:r>
          </w:p>
        </w:tc>
      </w:tr>
      <w:tr>
        <w:tc>
          <w:tcPr/>
          <w:p>
            <w:pPr>
              <w:pStyle w:val="Compact"/>
              <w:jc w:val="left"/>
            </w:pPr>
            <w:r>
              <w:rPr>
                <w:bCs/>
                <w:b/>
              </w:rPr>
              <w:t xml:space="preserve">Phụ lục B</w:t>
            </w:r>
          </w:p>
        </w:tc>
        <w:tc>
          <w:tcPr/>
          <w:p>
            <w:pPr>
              <w:pStyle w:val="Compact"/>
              <w:jc w:val="left"/>
            </w:pPr>
            <w:r>
              <w:t xml:space="preserve">ICRV country classification + WGI data</w:t>
            </w:r>
          </w:p>
        </w:tc>
        <w:tc>
          <w:tcPr/>
          <w:p>
            <w:pPr>
              <w:pStyle w:val="Compact"/>
              <w:jc w:val="left"/>
            </w:pPr>
            <w:r>
              <w:t xml:space="preserve">Appendix</w:t>
            </w:r>
          </w:p>
        </w:tc>
      </w:tr>
      <w:tr>
        <w:tc>
          <w:tcPr/>
          <w:p>
            <w:pPr>
              <w:pStyle w:val="Compact"/>
              <w:jc w:val="left"/>
            </w:pPr>
            <w:r>
              <w:rPr>
                <w:bCs/>
                <w:b/>
              </w:rPr>
              <w:t xml:space="preserve">Hình 1</w:t>
            </w:r>
          </w:p>
        </w:tc>
        <w:tc>
          <w:tcPr/>
          <w:p>
            <w:pPr>
              <w:pStyle w:val="Compact"/>
              <w:jc w:val="left"/>
            </w:pPr>
            <w:r>
              <w:t xml:space="preserve">LOWESS non-parametric curve ln(LP) ~ FSTS (toàn pool)</w:t>
            </w:r>
          </w:p>
        </w:tc>
        <w:tc>
          <w:tcPr/>
          <w:p>
            <w:pPr>
              <w:pStyle w:val="Compact"/>
              <w:jc w:val="left"/>
            </w:pPr>
            <w:r>
              <w:t xml:space="preserve">§Results 1</w:t>
            </w:r>
          </w:p>
        </w:tc>
      </w:tr>
      <w:tr>
        <w:tc>
          <w:tcPr/>
          <w:p>
            <w:pPr>
              <w:pStyle w:val="Compact"/>
              <w:jc w:val="left"/>
            </w:pPr>
            <w:r>
              <w:rPr>
                <w:bCs/>
                <w:b/>
              </w:rPr>
              <w:t xml:space="preserve">Hình 2</w:t>
            </w:r>
          </w:p>
        </w:tc>
        <w:tc>
          <w:tcPr/>
          <w:p>
            <w:pPr>
              <w:pStyle w:val="Compact"/>
              <w:jc w:val="left"/>
            </w:pPr>
            <w:r>
              <w:t xml:space="preserve">Marginal effects of DAI at FSTS percentiles (p10/p25/p50/p75/p90)</w:t>
            </w:r>
          </w:p>
        </w:tc>
        <w:tc>
          <w:tcPr/>
          <w:p>
            <w:pPr>
              <w:pStyle w:val="Compact"/>
              <w:jc w:val="left"/>
            </w:pPr>
            <w:r>
              <w:t xml:space="preserve">§Results 3</w:t>
            </w:r>
          </w:p>
        </w:tc>
      </w:tr>
      <w:tr>
        <w:tc>
          <w:tcPr/>
          <w:p>
            <w:pPr>
              <w:pStyle w:val="Compact"/>
              <w:jc w:val="left"/>
            </w:pPr>
            <w:r>
              <w:rPr>
                <w:bCs/>
                <w:b/>
              </w:rPr>
              <w:t xml:space="preserve">Hình 3</w:t>
            </w:r>
          </w:p>
        </w:tc>
        <w:tc>
          <w:tcPr/>
          <w:p>
            <w:pPr>
              <w:pStyle w:val="Compact"/>
              <w:jc w:val="left"/>
            </w:pPr>
            <w:r>
              <w:t xml:space="preserve">Turning points by ICRV group with 95% CI bars</w:t>
            </w:r>
          </w:p>
        </w:tc>
        <w:tc>
          <w:tcPr/>
          <w:p>
            <w:pPr>
              <w:pStyle w:val="Compact"/>
              <w:jc w:val="left"/>
            </w:pPr>
            <w:r>
              <w:t xml:space="preserve">§Results 4</w:t>
            </w:r>
          </w:p>
        </w:tc>
      </w:tr>
    </w:tbl>
    <w:p>
      <w:pPr>
        <w:pStyle w:val="BodyText"/>
      </w:pPr>
      <w:r>
        <w:rPr>
          <w:bCs/>
          <w:b/>
        </w:rPr>
        <w:t xml:space="preserve">Phần mềm</w:t>
      </w:r>
      <w:r>
        <w:t xml:space="preserve">: Stata 18 (OLS + IV + margins + Lind–Mehlum) kết hợp R (LOWESS, ggplot2, turning point CI). Script được version-controlled trong</w:t>
      </w:r>
      <w:r>
        <w:t xml:space="preserve"> </w:t>
      </w:r>
      <w:r>
        <w:rPr>
          <w:rStyle w:val="VerbatimChar"/>
        </w:rPr>
        <w:t xml:space="preserve">scripts/cd2_main_analysis.do</w:t>
      </w:r>
      <w:r>
        <w:t xml:space="preserve"> </w:t>
      </w:r>
      <w:r>
        <w:t xml:space="preserve">và</w:t>
      </w:r>
      <w:r>
        <w:t xml:space="preserve"> </w:t>
      </w:r>
      <w:r>
        <w:rPr>
          <w:rStyle w:val="VerbatimChar"/>
        </w:rPr>
        <w:t xml:space="preserve">scripts/cd2_figures.R</w:t>
      </w:r>
      <w:r>
        <w:t xml:space="preserve">.</w:t>
      </w:r>
    </w:p>
    <w:p>
      <w:pPr>
        <w:pStyle w:val="BodyText"/>
      </w:pPr>
      <w:r>
        <w:rPr>
          <w:bCs/>
          <w:b/>
        </w:rPr>
        <w:t xml:space="preserve">Quy ước báo cáo</w:t>
      </w:r>
      <w:r>
        <w:t xml:space="preserve">: (a) Hệ số hồi quy trình bày unstandardized với HC1 SE trong ngoặc; (b) Turning point trình bày trên original FSTS scale (0–1) với delta-method CI; (c) Significance: *** p&lt;.001, ** p&lt;.01, * p&lt;.05, † p&lt;.10; (d) Pseudo-R² (OLS R²) báo cáo cho từng model + incremental ΔR².</w:t>
      </w:r>
    </w:p>
    <w:p>
      <w:r>
        <w:pict>
          <v:rect style="width:0;height:1.5pt" o:hralign="center" o:hrstd="t" o:hr="t"/>
        </w:pict>
      </w:r>
    </w:p>
    <w:bookmarkEnd w:id="84"/>
    <w:bookmarkEnd w:id="85"/>
    <w:bookmarkStart w:id="94" w:name="chương-9-đóng-góp-về-mô-hình-và-kết-luận"/>
    <w:p>
      <w:pPr>
        <w:pStyle w:val="Heading2"/>
      </w:pPr>
      <w:r>
        <w:t xml:space="preserve">CHƯƠNG 9 — ĐÓNG GÓP VỀ MÔ HÌNH VÀ KẾT LUẬN</w:t>
      </w:r>
    </w:p>
    <w:bookmarkStart w:id="86" w:name="tóm-tắt-mục-tiêu-và-phát-hiện-dự-kiến"/>
    <w:p>
      <w:pPr>
        <w:pStyle w:val="Heading3"/>
      </w:pPr>
      <w:r>
        <w:t xml:space="preserve">9.1 Tóm tắt mục tiêu và phát hiện dự kiến</w:t>
      </w:r>
    </w:p>
    <w:p>
      <w:pPr>
        <w:pStyle w:val="FirstParagraph"/>
      </w:pPr>
      <w:r>
        <w:t xml:space="preserve">Chuyên đề 2 xây dựng và đặc tả mô hình nghiên cứu lý thuyết và thực nghiệm về ảnh hưởng của quốc tế hóa đến hiệu quả hoạt động kinh doanh của 101.185 doanh nghiệp ở 47 nền kinh tế châu Á và Thái Bình Dương. Bốn câu hỏi nghiên cứu (Q1–Q3 từ §1.2 và Q4 về CDCM) được trả lời qua tám mô hình M0–M7 và hệ giả thuyết H1–H6.</w:t>
      </w:r>
    </w:p>
    <w:p>
      <w:pPr>
        <w:pStyle w:val="BodyText"/>
      </w:pPr>
      <w:r>
        <w:rPr>
          <w:bCs/>
          <w:b/>
        </w:rPr>
        <w:t xml:space="preserve">Kết quả dự kiến từ bằng chứng neo đậu</w:t>
      </w:r>
      <w:r>
        <w:t xml:space="preserve">:</w:t>
      </w:r>
    </w:p>
    <w:tbl>
      <w:tblPr>
        <w:tblStyle w:val="Table"/>
        <w:tblW w:type="pct" w:w="5000"/>
        <w:tblLook w:firstRow="1" w:lastRow="0" w:firstColumn="0" w:lastColumn="0" w:noHBand="0" w:noVBand="0" w:val="0020"/>
        <w:jc w:val="start"/>
      </w:tblPr>
      <w:tblGrid>
        <w:gridCol w:w="2074"/>
        <w:gridCol w:w="3017"/>
        <w:gridCol w:w="2828"/>
      </w:tblGrid>
      <w:tr>
        <w:trPr>
          <w:tblHeader w:val="true"/>
        </w:trPr>
        <w:tc>
          <w:tcPr/>
          <w:p>
            <w:pPr>
              <w:pStyle w:val="Compact"/>
              <w:jc w:val="left"/>
            </w:pPr>
            <w:r>
              <w:t xml:space="preserve">Giả thuyết</w:t>
            </w:r>
          </w:p>
        </w:tc>
        <w:tc>
          <w:tcPr/>
          <w:p>
            <w:pPr>
              <w:pStyle w:val="Compact"/>
              <w:jc w:val="left"/>
            </w:pPr>
            <w:r>
              <w:t xml:space="preserve">Kết quả dự kiến</w:t>
            </w:r>
          </w:p>
        </w:tc>
        <w:tc>
          <w:tcPr/>
          <w:p>
            <w:pPr>
              <w:pStyle w:val="Compact"/>
              <w:jc w:val="left"/>
            </w:pPr>
            <w:r>
              <w:t xml:space="preserve">Cơ sở neo đậu</w:t>
            </w:r>
          </w:p>
        </w:tc>
      </w:tr>
      <w:tr>
        <w:tc>
          <w:tcPr/>
          <w:p>
            <w:pPr>
              <w:pStyle w:val="Compact"/>
              <w:jc w:val="left"/>
            </w:pPr>
            <w:r>
              <w:t xml:space="preserve">H1 phi tuyến</w:t>
            </w:r>
          </w:p>
        </w:tc>
        <w:tc>
          <w:tcPr/>
          <w:p>
            <w:pPr>
              <w:pStyle w:val="Compact"/>
              <w:jc w:val="left"/>
            </w:pPr>
            <w:r>
              <w:t xml:space="preserve">Xác nhận inverted-U ở hầu hết nhóm ICRV; TP gradient I→VI</w:t>
            </w:r>
          </w:p>
        </w:tc>
        <w:tc>
          <w:tcPr/>
          <w:p>
            <w:pPr>
              <w:pStyle w:val="Compact"/>
              <w:jc w:val="left"/>
            </w:pPr>
            <w:r>
              <w:t xml:space="preserve">P3 TP 39–46%; P5 TP 47–49%; P4 near-monotonic</w:t>
            </w:r>
          </w:p>
        </w:tc>
      </w:tr>
      <w:tr>
        <w:tc>
          <w:tcPr/>
          <w:p>
            <w:pPr>
              <w:pStyle w:val="Compact"/>
              <w:jc w:val="left"/>
            </w:pPr>
            <w:r>
              <w:t xml:space="preserve">H2 TCI level-shift</w:t>
            </w:r>
          </w:p>
        </w:tc>
        <w:tc>
          <w:tcPr/>
          <w:p>
            <w:pPr>
              <w:pStyle w:val="Compact"/>
              <w:jc w:val="left"/>
            </w:pPr>
            <w:r>
              <w:t xml:space="preserve">TCI dương bền vững; curvature moderation exploratory</w:t>
            </w:r>
          </w:p>
        </w:tc>
        <w:tc>
          <w:tcPr/>
          <w:p>
            <w:pPr>
              <w:pStyle w:val="Compact"/>
              <w:jc w:val="left"/>
            </w:pPr>
            <w:r>
              <w:t xml:space="preserve">P3 IV causal β=1.639; P5 +0.260→+0.426</w:t>
            </w:r>
          </w:p>
        </w:tc>
      </w:tr>
      <w:tr>
        <w:tc>
          <w:tcPr/>
          <w:p>
            <w:pPr>
              <w:pStyle w:val="Compact"/>
              <w:jc w:val="left"/>
            </w:pPr>
            <w:r>
              <w:t xml:space="preserve">H3 DAI conditional</w:t>
            </w:r>
          </w:p>
        </w:tc>
        <w:tc>
          <w:tcPr/>
          <w:p>
            <w:pPr>
              <w:pStyle w:val="Compact"/>
              <w:jc w:val="left"/>
            </w:pPr>
            <w:r>
              <w:t xml:space="preserve">FSTS²×DAI dương trong Nhóm I; selection-driven trong Nhóm IV</w:t>
            </w:r>
          </w:p>
        </w:tc>
        <w:tc>
          <w:tcPr/>
          <w:p>
            <w:pPr>
              <w:pStyle w:val="Compact"/>
              <w:jc w:val="left"/>
            </w:pPr>
            <w:r>
              <w:t xml:space="preserve">P4 +3.119; P3 IV null</w:t>
            </w:r>
          </w:p>
        </w:tc>
      </w:tr>
      <w:tr>
        <w:tc>
          <w:tcPr/>
          <w:p>
            <w:pPr>
              <w:pStyle w:val="Compact"/>
              <w:jc w:val="left"/>
            </w:pPr>
            <w:r>
              <w:t xml:space="preserve">H4 Manager</w:t>
            </w:r>
          </w:p>
        </w:tc>
        <w:tc>
          <w:tcPr/>
          <w:p>
            <w:pPr>
              <w:pStyle w:val="Compact"/>
              <w:jc w:val="left"/>
            </w:pPr>
            <w:r>
              <w:t xml:space="preserve">exp_manager×FSTS dương</w:t>
            </w:r>
          </w:p>
        </w:tc>
        <w:tc>
          <w:tcPr/>
          <w:p>
            <w:pPr>
              <w:pStyle w:val="Compact"/>
              <w:jc w:val="left"/>
            </w:pPr>
            <w:r>
              <w:t xml:space="preserve">(kiểm định mới trong pool)</w:t>
            </w:r>
          </w:p>
        </w:tc>
      </w:tr>
      <w:tr>
        <w:tc>
          <w:tcPr/>
          <w:p>
            <w:pPr>
              <w:pStyle w:val="Compact"/>
              <w:jc w:val="left"/>
            </w:pPr>
            <w:r>
              <w:t xml:space="preserve">H5 ICRV gradient</w:t>
            </w:r>
          </w:p>
        </w:tc>
        <w:tc>
          <w:tcPr/>
          <w:p>
            <w:pPr>
              <w:pStyle w:val="Compact"/>
              <w:jc w:val="left"/>
            </w:pPr>
            <w:r>
              <w:t xml:space="preserve">Turning point gradient; forced penalty Nhóm VI</w:t>
            </w:r>
          </w:p>
        </w:tc>
        <w:tc>
          <w:tcPr/>
          <w:p>
            <w:pPr>
              <w:pStyle w:val="Compact"/>
              <w:jc w:val="left"/>
            </w:pPr>
            <w:r>
              <w:t xml:space="preserve">CĐ1 dispersion evidence</w:t>
            </w:r>
          </w:p>
        </w:tc>
      </w:tr>
      <w:tr>
        <w:tc>
          <w:tcPr/>
          <w:p>
            <w:pPr>
              <w:pStyle w:val="Compact"/>
              <w:jc w:val="left"/>
            </w:pPr>
            <w:r>
              <w:t xml:space="preserve">H6 Temporal</w:t>
            </w:r>
          </w:p>
        </w:tc>
        <w:tc>
          <w:tcPr/>
          <w:p>
            <w:pPr>
              <w:pStyle w:val="Compact"/>
              <w:jc w:val="left"/>
            </w:pPr>
            <w:r>
              <w:t xml:space="preserve">DAI shift 2009→2023; TCI tăng cường</w:t>
            </w:r>
          </w:p>
        </w:tc>
        <w:tc>
          <w:tcPr/>
          <w:p>
            <w:pPr>
              <w:pStyle w:val="Compact"/>
              <w:jc w:val="left"/>
            </w:pPr>
            <w:r>
              <w:t xml:space="preserve">P3 Paternoster p&lt;.001; P5 p=.011</w:t>
            </w:r>
          </w:p>
        </w:tc>
      </w:tr>
    </w:tbl>
    <w:bookmarkEnd w:id="86"/>
    <w:bookmarkStart w:id="87" w:name="đóng-góp-về-lý-thuyết"/>
    <w:p>
      <w:pPr>
        <w:pStyle w:val="Heading3"/>
      </w:pPr>
      <w:r>
        <w:t xml:space="preserve">9.2 Đóng góp về lý thuyết</w:t>
      </w:r>
    </w:p>
    <w:p>
      <w:pPr>
        <w:pStyle w:val="FirstParagraph"/>
      </w:pPr>
      <w:r>
        <w:rPr>
          <w:bCs/>
          <w:b/>
        </w:rPr>
        <w:t xml:space="preserve">Đóng góp 1: Khung tích hợp 4 tầng + Digital lens cho châu Á</w:t>
      </w:r>
      <w:r>
        <w:t xml:space="preserve">. Không có khung tương đương trong văn liệu IB cho khu vực 47 nền kinh tế bao gồm cả SIDS Pacific. Khung tích hợp Uppsala + RBV + Institutional Theory + Upper Echelons + Digital Capability Lens cho phép giải thích đồng thời heterogeneity quan sát được — điều mà các mô hình đơn lý thuyết không làm được.</w:t>
      </w:r>
    </w:p>
    <w:p>
      <w:pPr>
        <w:pStyle w:val="BodyText"/>
      </w:pPr>
      <w:r>
        <w:rPr>
          <w:bCs/>
          <w:b/>
        </w:rPr>
        <w:t xml:space="preserve">Đóng góp 2: CDCM — Formalization Context-Contingent Digital Capability Model</w:t>
      </w:r>
      <w:r>
        <w:t xml:space="preserve">. CDCM được phát hiện trong CĐ1 và được làm sắc nét trong CĐ2 qua H3: DAI là conditional scaling resource (không phải uniform premium), với tác động phụ thuộc ba chiều ngữ cảnh (regime × FSTS level × digital saturation). CDCM lấp đầy khoảng trống tại giao điểm của digital IB theory và institutional theory — chưa có trong văn liệu.</w:t>
      </w:r>
    </w:p>
    <w:p>
      <w:pPr>
        <w:pStyle w:val="BodyText"/>
      </w:pPr>
      <w:r>
        <w:rPr>
          <w:bCs/>
          <w:b/>
        </w:rPr>
        <w:t xml:space="preserve">Đóng góp 3: Sub-grouping Advanced regime (Nhóm I vs Nhóm II)</w:t>
      </w:r>
      <w:r>
        <w:t xml:space="preserve">. Phát hiện từ CĐ1 về heterogeneity trong Advanced — Nhóm I (tiên tiến đổi mới: Singapore, Korea, HK, Đài Loan) vs Nhóm II (tiên tiến tài nguyên: Saudi, Qatar, Kuwait, Bahrain) — được tích hợp vào H5 như dự đoán lý thuyết: cùng GNI/capita cao nhưng cơ chế I→P khác nhau do nguồn lực dẫn dắt khác nhau. Đây là lần đầu tiên sub-grouping này được formalized trong framework I→P ở châu Á.</w:t>
      </w:r>
    </w:p>
    <w:p>
      <w:pPr>
        <w:pStyle w:val="BodyText"/>
      </w:pPr>
      <w:r>
        <w:rPr>
          <w:bCs/>
          <w:b/>
        </w:rPr>
        <w:t xml:space="preserve">Đóng góp 4: Forced penalty hypothesis trong khung I→P</w:t>
      </w:r>
      <w:r>
        <w:t xml:space="preserve">. Dạng hàm forced penalty (SIDS Nhóm VI) được tích hợp vào H5 như extreme case của institutional gradient — SIDS không có inverted-U điển hình do forced internationalization (Briguglio, 1995). Tích hợp này mở rộng văn liệu I→P từ continental Asia sang Pacific Small Island States.</w:t>
      </w:r>
    </w:p>
    <w:p>
      <w:pPr>
        <w:pStyle w:val="BodyText"/>
      </w:pPr>
      <w:r>
        <w:rPr>
          <w:bCs/>
          <w:b/>
        </w:rPr>
        <w:t xml:space="preserve">Tổng kết đóng góp lý thuyết</w:t>
      </w:r>
      <w:r>
        <w:t xml:space="preserve">: Bốn đóng góp lý thuyết cùng nhau tạo ra một</w:t>
      </w:r>
      <w:r>
        <w:t xml:space="preserve"> </w:t>
      </w:r>
      <w:r>
        <w:t xml:space="preserve">“</w:t>
      </w:r>
      <w:r>
        <w:t xml:space="preserve">Bộ ba mở rộng lý thuyết I→P</w:t>
      </w:r>
      <w:r>
        <w:t xml:space="preserve">”</w:t>
      </w:r>
      <w:r>
        <w:t xml:space="preserve">:</w:t>
      </w:r>
      <w:r>
        <w:t xml:space="preserve"> </w:t>
      </w:r>
      <w:r>
        <w:t xml:space="preserve">-</w:t>
      </w:r>
      <w:r>
        <w:t xml:space="preserve"> </w:t>
      </w:r>
      <w:r>
        <w:rPr>
          <w:bCs/>
          <w:b/>
        </w:rPr>
        <w:t xml:space="preserve">Chiều rộng</w:t>
      </w:r>
      <w:r>
        <w:t xml:space="preserve">: 47 nền kinh tế với 6 nhóm ICRV từ Singapore → Pacific SIDS — rộng nhất trong văn liệu</w:t>
      </w:r>
      <w:r>
        <w:t xml:space="preserve"> </w:t>
      </w:r>
      <w:r>
        <w:t xml:space="preserve">-</w:t>
      </w:r>
      <w:r>
        <w:t xml:space="preserve"> </w:t>
      </w:r>
      <w:r>
        <w:rPr>
          <w:bCs/>
          <w:b/>
        </w:rPr>
        <w:t xml:space="preserve">Chiều sâu</w:t>
      </w:r>
      <w:r>
        <w:t xml:space="preserve">: CDCM tách bạch TCI vs DAI — chi tiết nhất trong văn liệu micro-data châu Á</w:t>
      </w:r>
      <w:r>
        <w:t xml:space="preserve"> </w:t>
      </w:r>
      <w:r>
        <w:t xml:space="preserve">-</w:t>
      </w:r>
      <w:r>
        <w:t xml:space="preserve"> </w:t>
      </w:r>
      <w:r>
        <w:rPr>
          <w:bCs/>
          <w:b/>
        </w:rPr>
        <w:t xml:space="preserve">Chiều thời gian</w:t>
      </w:r>
      <w:r>
        <w:t xml:space="preserve">: Three-period design với P3/P5 neo đậu — duy nhất trong văn liệu WBES I→P</w:t>
      </w:r>
    </w:p>
    <w:p>
      <w:pPr>
        <w:pStyle w:val="BodyText"/>
      </w:pPr>
      <w:r>
        <w:t xml:space="preserve">Ba chiều này cùng tích hợp với P6 (meta-analysis, synthesis evidence) và P7 (25-country capstone, confirmatory) tạo thành đóng góp luận án coherent và publishable.</w:t>
      </w:r>
    </w:p>
    <w:p>
      <w:pPr>
        <w:pStyle w:val="BodyText"/>
      </w:pPr>
      <w:r>
        <w:rPr>
          <w:bCs/>
          <w:b/>
        </w:rPr>
        <w:t xml:space="preserve">Định vị trong văn liệu</w:t>
      </w:r>
      <w:r>
        <w:t xml:space="preserve">: Gần nhất với CĐ2 về phạm vi là Kirca et al. (2012) — nhưng meta-analysis không kiểm định digital moderators và không có ICRV design. Wu et al. (2022) gần nhất về emerging markets — nhưng không có micro-data và không phân tách TCI vs DAI. Kafouros et al. (2023) gần nhất về institutional moderation — nhưng không có châu Á và không có phi tuyến. CĐ2 là nghiên cứu duy nhất tích hợp cả bốn chiều: (a) micro-data lớn; (b) digital + tech capability tách biệt; (c) institutional gradient 6 nhóm; (d) phi tuyến chính thức với U-test và LOWESS.</w:t>
      </w:r>
    </w:p>
    <w:bookmarkEnd w:id="87"/>
    <w:bookmarkStart w:id="88" w:name="đóng-góp-về-mô-hình"/>
    <w:p>
      <w:pPr>
        <w:pStyle w:val="Heading3"/>
      </w:pPr>
      <w:r>
        <w:t xml:space="preserve">9.3 Đóng góp về mô hình</w:t>
      </w:r>
    </w:p>
    <w:p>
      <w:pPr>
        <w:pStyle w:val="FirstParagraph"/>
      </w:pPr>
      <w:r>
        <w:rPr>
          <w:bCs/>
          <w:b/>
        </w:rPr>
        <w:t xml:space="preserve">Đóng góp 5: Tám mô hình M0–M7 với three-way moderation capstone (M7)</w:t>
      </w:r>
      <w:r>
        <w:t xml:space="preserve">. Chuỗi mô hình nested cho phép kiểm định từng cơ chế riêng biệt trước khi tích hợp vào M7. Đặc biệt, M7 là mô hình đầu tiên trong văn liệu châu Á kiểm định đồng thời I×TCI×DAI three-way moderation kết hợp với temporal heterogeneity — cho phép kiểm tra xem TCI và DAI là complements hay substitutes trong moderating I→P.</w:t>
      </w:r>
    </w:p>
    <w:p>
      <w:pPr>
        <w:pStyle w:val="BodyText"/>
      </w:pPr>
      <w:r>
        <w:rPr>
          <w:bCs/>
          <w:b/>
        </w:rPr>
        <w:t xml:space="preserve">Bảng 9.2</w:t>
      </w:r>
      <w:r>
        <w:t xml:space="preserve">.</w:t>
      </w:r>
      <w:r>
        <w:t xml:space="preserve"> </w:t>
      </w:r>
      <w:r>
        <w:rPr>
          <w:iCs/>
          <w:i/>
        </w:rPr>
        <w:t xml:space="preserve">Tiến trình kiểm định giả thuyết qua chuỗi mô hình M0–M7.</w:t>
      </w:r>
    </w:p>
    <w:tbl>
      <w:tblPr>
        <w:tblStyle w:val="Table"/>
        <w:tblW w:type="pct" w:w="5000"/>
        <w:tblLook w:firstRow="1" w:lastRow="0" w:firstColumn="0" w:lastColumn="0" w:noHBand="0" w:noVBand="0" w:val="0020"/>
        <w:jc w:val="start"/>
      </w:tblPr>
      <w:tblGrid>
        <w:gridCol w:w="1405"/>
        <w:gridCol w:w="1788"/>
        <w:gridCol w:w="1405"/>
        <w:gridCol w:w="3321"/>
      </w:tblGrid>
      <w:tr>
        <w:trPr>
          <w:tblHeader w:val="true"/>
        </w:trPr>
        <w:tc>
          <w:tcPr/>
          <w:p>
            <w:pPr>
              <w:pStyle w:val="Compact"/>
              <w:jc w:val="left"/>
            </w:pPr>
            <w:r>
              <w:t xml:space="preserve">Giả thuyết</w:t>
            </w:r>
          </w:p>
        </w:tc>
        <w:tc>
          <w:tcPr/>
          <w:p>
            <w:pPr>
              <w:pStyle w:val="Compact"/>
              <w:jc w:val="left"/>
            </w:pPr>
            <w:r>
              <w:t xml:space="preserve">Mô hình chính</w:t>
            </w:r>
          </w:p>
        </w:tc>
        <w:tc>
          <w:tcPr/>
          <w:p>
            <w:pPr>
              <w:pStyle w:val="Compact"/>
              <w:jc w:val="left"/>
            </w:pPr>
            <w:r>
              <w:t xml:space="preserve">Test thêm</w:t>
            </w:r>
          </w:p>
        </w:tc>
        <w:tc>
          <w:tcPr/>
          <w:p>
            <w:pPr>
              <w:pStyle w:val="Compact"/>
              <w:jc w:val="left"/>
            </w:pPr>
            <w:r>
              <w:t xml:space="preserve">Kết quả dự kiến từ neo đậu</w:t>
            </w:r>
          </w:p>
        </w:tc>
      </w:tr>
      <w:tr>
        <w:tc>
          <w:tcPr/>
          <w:p>
            <w:pPr>
              <w:pStyle w:val="Compact"/>
              <w:jc w:val="left"/>
            </w:pPr>
            <w:r>
              <w:t xml:space="preserve">H1 (inverted-U)</w:t>
            </w:r>
          </w:p>
        </w:tc>
        <w:tc>
          <w:tcPr/>
          <w:p>
            <w:pPr>
              <w:pStyle w:val="Compact"/>
              <w:jc w:val="left"/>
            </w:pPr>
            <w:r>
              <w:t xml:space="preserve">M1</w:t>
            </w:r>
          </w:p>
        </w:tc>
        <w:tc>
          <w:tcPr/>
          <w:p>
            <w:pPr>
              <w:pStyle w:val="Compact"/>
              <w:jc w:val="left"/>
            </w:pPr>
            <w:r>
              <w:t xml:space="preserve">Lind–Mehlum; LOWESS visual</w:t>
            </w:r>
          </w:p>
        </w:tc>
        <w:tc>
          <w:tcPr/>
          <w:p>
            <w:pPr>
              <w:pStyle w:val="Compact"/>
              <w:jc w:val="left"/>
            </w:pPr>
            <w:r>
              <w:t xml:space="preserve">TP 39–49% (tuỳ nhóm)</w:t>
            </w:r>
          </w:p>
        </w:tc>
      </w:tr>
      <w:tr>
        <w:tc>
          <w:tcPr/>
          <w:p>
            <w:pPr>
              <w:pStyle w:val="Compact"/>
              <w:jc w:val="left"/>
            </w:pPr>
            <w:r>
              <w:t xml:space="preserve">H1 (S-curve)</w:t>
            </w:r>
          </w:p>
        </w:tc>
        <w:tc>
          <w:tcPr/>
          <w:p>
            <w:pPr>
              <w:pStyle w:val="Compact"/>
              <w:jc w:val="left"/>
            </w:pPr>
            <w:r>
              <w:t xml:space="preserve">M2</w:t>
            </w:r>
          </w:p>
        </w:tc>
        <w:tc>
          <w:tcPr/>
          <w:p>
            <w:pPr>
              <w:pStyle w:val="Compact"/>
              <w:jc w:val="left"/>
            </w:pPr>
            <w:r>
              <w:t xml:space="preserve">F-test β₃=0 vs M1</w:t>
            </w:r>
          </w:p>
        </w:tc>
        <w:tc>
          <w:tcPr/>
          <w:p>
            <w:pPr>
              <w:pStyle w:val="Compact"/>
              <w:jc w:val="left"/>
            </w:pPr>
            <w:r>
              <w:t xml:space="preserve">M1 thắng AIC/BIC (SME data)</w:t>
            </w:r>
          </w:p>
        </w:tc>
      </w:tr>
      <w:tr>
        <w:tc>
          <w:tcPr/>
          <w:p>
            <w:pPr>
              <w:pStyle w:val="Compact"/>
              <w:jc w:val="left"/>
            </w:pPr>
            <w:r>
              <w:t xml:space="preserve">H2 (TCI)</w:t>
            </w:r>
          </w:p>
        </w:tc>
        <w:tc>
          <w:tcPr/>
          <w:p>
            <w:pPr>
              <w:pStyle w:val="Compact"/>
              <w:jc w:val="left"/>
            </w:pPr>
            <w:r>
              <w:t xml:space="preserve">M3</w:t>
            </w:r>
          </w:p>
        </w:tc>
        <w:tc>
          <w:tcPr/>
          <w:p>
            <w:pPr>
              <w:pStyle w:val="Compact"/>
              <w:jc w:val="left"/>
            </w:pPr>
            <w:r>
              <w:t xml:space="preserve">Block F-test β₄=β₅=0</w:t>
            </w:r>
          </w:p>
        </w:tc>
        <w:tc>
          <w:tcPr/>
          <w:p>
            <w:pPr>
              <w:pStyle w:val="Compact"/>
              <w:jc w:val="left"/>
            </w:pPr>
            <w:r>
              <w:t xml:space="preserve">β₃(TCI)&gt;0; curvature exploratory</w:t>
            </w:r>
          </w:p>
        </w:tc>
      </w:tr>
      <w:tr>
        <w:tc>
          <w:tcPr/>
          <w:p>
            <w:pPr>
              <w:pStyle w:val="Compact"/>
              <w:jc w:val="left"/>
            </w:pPr>
            <w:r>
              <w:t xml:space="preserve">H3 (DAI)</w:t>
            </w:r>
          </w:p>
        </w:tc>
        <w:tc>
          <w:tcPr/>
          <w:p>
            <w:pPr>
              <w:pStyle w:val="Compact"/>
              <w:jc w:val="left"/>
            </w:pPr>
            <w:r>
              <w:t xml:space="preserve">M4</w:t>
            </w:r>
          </w:p>
        </w:tc>
        <w:tc>
          <w:tcPr/>
          <w:p>
            <w:pPr>
              <w:pStyle w:val="Compact"/>
              <w:jc w:val="left"/>
            </w:pPr>
            <w:r>
              <w:t xml:space="preserve">IV check Nhóm IV</w:t>
            </w:r>
          </w:p>
        </w:tc>
        <w:tc>
          <w:tcPr/>
          <w:p>
            <w:pPr>
              <w:pStyle w:val="Compact"/>
              <w:jc w:val="left"/>
            </w:pPr>
            <w:r>
              <w:t xml:space="preserve">β₅&gt;0 Nhóm I; IV null Nhóm IV</w:t>
            </w:r>
          </w:p>
        </w:tc>
      </w:tr>
      <w:tr>
        <w:tc>
          <w:tcPr/>
          <w:p>
            <w:pPr>
              <w:pStyle w:val="Compact"/>
              <w:jc w:val="left"/>
            </w:pPr>
            <w:r>
              <w:t xml:space="preserve">H4 (Manager)</w:t>
            </w:r>
          </w:p>
        </w:tc>
        <w:tc>
          <w:tcPr/>
          <w:p>
            <w:pPr>
              <w:pStyle w:val="Compact"/>
              <w:jc w:val="left"/>
            </w:pPr>
            <w:r>
              <w:t xml:space="preserve">M5</w:t>
            </w:r>
          </w:p>
        </w:tc>
        <w:tc>
          <w:tcPr/>
          <w:p>
            <w:pPr>
              <w:pStyle w:val="Compact"/>
              <w:jc w:val="left"/>
            </w:pPr>
            <w:r>
              <w:t xml:space="preserve">Sensitivity (missing data)</w:t>
            </w:r>
          </w:p>
        </w:tc>
        <w:tc>
          <w:tcPr/>
          <w:p>
            <w:pPr>
              <w:pStyle w:val="Compact"/>
              <w:jc w:val="left"/>
            </w:pPr>
            <w:r>
              <w:t xml:space="preserve">β₄(FSTS×exp)&gt;0; BEE sub-sample</w:t>
            </w:r>
          </w:p>
        </w:tc>
      </w:tr>
      <w:tr>
        <w:tc>
          <w:tcPr/>
          <w:p>
            <w:pPr>
              <w:pStyle w:val="Compact"/>
              <w:jc w:val="left"/>
            </w:pPr>
            <w:r>
              <w:t xml:space="preserve">H5 (ICRV gradient)</w:t>
            </w:r>
          </w:p>
        </w:tc>
        <w:tc>
          <w:tcPr/>
          <w:p>
            <w:pPr>
              <w:pStyle w:val="Compact"/>
              <w:jc w:val="left"/>
            </w:pPr>
            <w:r>
              <w:t xml:space="preserve">M6</w:t>
            </w:r>
          </w:p>
        </w:tc>
        <w:tc>
          <w:tcPr/>
          <w:p>
            <w:pPr>
              <w:pStyle w:val="Compact"/>
              <w:jc w:val="left"/>
            </w:pPr>
            <w:r>
              <w:t xml:space="preserve">Paternoster z TP cross-group</w:t>
            </w:r>
          </w:p>
        </w:tc>
        <w:tc>
          <w:tcPr/>
          <w:p>
            <w:pPr>
              <w:pStyle w:val="Compact"/>
              <w:jc w:val="left"/>
            </w:pPr>
            <w:r>
              <w:t xml:space="preserve">Gradient I&gt;II&gt;III&gt;IV&gt;V; VI forced penalty</w:t>
            </w:r>
          </w:p>
        </w:tc>
      </w:tr>
      <w:tr>
        <w:tc>
          <w:tcPr/>
          <w:p>
            <w:pPr>
              <w:pStyle w:val="Compact"/>
              <w:jc w:val="left"/>
            </w:pPr>
            <w:r>
              <w:t xml:space="preserve">H6 (temporal)</w:t>
            </w:r>
          </w:p>
        </w:tc>
        <w:tc>
          <w:tcPr/>
          <w:p>
            <w:pPr>
              <w:pStyle w:val="Compact"/>
              <w:jc w:val="left"/>
            </w:pPr>
            <w:r>
              <w:t xml:space="preserve">M7 (Year_bucket)</w:t>
            </w:r>
          </w:p>
        </w:tc>
        <w:tc>
          <w:tcPr/>
          <w:p>
            <w:pPr>
              <w:pStyle w:val="Compact"/>
              <w:jc w:val="left"/>
            </w:pPr>
            <w:r>
              <w:t xml:space="preserve">Paternoster z cross-time</w:t>
            </w:r>
          </w:p>
        </w:tc>
        <w:tc>
          <w:tcPr/>
          <w:p>
            <w:pPr>
              <w:pStyle w:val="Compact"/>
              <w:jc w:val="left"/>
            </w:pPr>
            <w:r>
              <w:t xml:space="preserve">TP dịch chuyển 2009→2023; DAI coefficient tăng</w:t>
            </w:r>
          </w:p>
        </w:tc>
      </w:tr>
    </w:tbl>
    <w:p>
      <w:pPr>
        <w:pStyle w:val="BodyText"/>
      </w:pPr>
      <w:r>
        <w:rPr>
          <w:bCs/>
          <w:b/>
        </w:rPr>
        <w:t xml:space="preserve">Đóng góp 6: Temporal heterogeneity H6 với year-bucket design</w:t>
      </w:r>
      <w:r>
        <w:t xml:space="preserve">. Phân chia 14 sóng WBES thành ba giai đoạn (2009–12 / 2013–17 / 2018–25) và kiểm định tương tác FSTS×Year_bucket là design chưa được áp dụng trong văn liệu I→P cho châu Á. Bằng chứng từ P3 Việt Nam (Paternoster z = 3.353 giữa 2009 và 2015) và P5 Trung Quốc (TCI Paternoster p = .011) neo đậu kỳ vọng thực nghiệm.</w:t>
      </w:r>
    </w:p>
    <w:p>
      <w:pPr>
        <w:pStyle w:val="BodyText"/>
      </w:pPr>
      <w:r>
        <w:rPr>
          <w:bCs/>
          <w:b/>
        </w:rPr>
        <w:t xml:space="preserve">Lý giải year-bucket design</w:t>
      </w:r>
      <w:r>
        <w:t xml:space="preserve">: Ba giai đoạn phản ánh ba làn sóng công nghệ-thể chế khác nhau: (a)</w:t>
      </w:r>
      <w:r>
        <w:t xml:space="preserve"> </w:t>
      </w:r>
      <w:r>
        <w:rPr>
          <w:bCs/>
          <w:b/>
        </w:rPr>
        <w:t xml:space="preserve">2009–12</w:t>
      </w:r>
      <w:r>
        <w:t xml:space="preserve"> </w:t>
      </w:r>
      <w:r>
        <w:t xml:space="preserve">— hậu GFC, DAI còn hạn chế (website là chủ yếu), TCI là động lực chính; (b)</w:t>
      </w:r>
      <w:r>
        <w:t xml:space="preserve"> </w:t>
      </w:r>
      <w:r>
        <w:rPr>
          <w:bCs/>
          <w:b/>
        </w:rPr>
        <w:t xml:space="preserve">2013–17</w:t>
      </w:r>
      <w:r>
        <w:t xml:space="preserve"> </w:t>
      </w:r>
      <w:r>
        <w:t xml:space="preserve">— mobile penetration bùng nổ, e-payment lan rộng ở châu Á, DAI bắt đầu phát huy tác dụng; (c)</w:t>
      </w:r>
      <w:r>
        <w:t xml:space="preserve"> </w:t>
      </w:r>
      <w:r>
        <w:rPr>
          <w:bCs/>
          <w:b/>
        </w:rPr>
        <w:t xml:space="preserve">2018–25</w:t>
      </w:r>
      <w:r>
        <w:t xml:space="preserve"> </w:t>
      </w:r>
      <w:r>
        <w:t xml:space="preserve">— AI/cloud/platform economy, BEE schema ghi nhận Tier 2 đầy đủ, DAI tương tác mạnh với FSTS tại level cao. Thiết kế này cho phép kiểm định</w:t>
      </w:r>
      <w:r>
        <w:t xml:space="preserve"> </w:t>
      </w:r>
      <w:r>
        <w:t xml:space="preserve">“</w:t>
      </w:r>
      <w:r>
        <w:t xml:space="preserve">structural breaks</w:t>
      </w:r>
      <w:r>
        <w:t xml:space="preserve">”</w:t>
      </w:r>
      <w:r>
        <w:t xml:space="preserve"> </w:t>
      </w:r>
      <w:r>
        <w:t xml:space="preserve">trong cơ chế I→P mà không đòi hỏi dữ liệu panel dài hạn.</w:t>
      </w:r>
    </w:p>
    <w:bookmarkEnd w:id="88"/>
    <w:bookmarkStart w:id="89" w:name="đóng-góp-về-phương-pháp"/>
    <w:p>
      <w:pPr>
        <w:pStyle w:val="Heading3"/>
      </w:pPr>
      <w:r>
        <w:t xml:space="preserve">9.4 Đóng góp về phương pháp</w:t>
      </w:r>
    </w:p>
    <w:p>
      <w:pPr>
        <w:pStyle w:val="FirstParagraph"/>
      </w:pPr>
      <w:r>
        <w:rPr>
          <w:bCs/>
          <w:b/>
        </w:rPr>
        <w:t xml:space="preserve">Đóng góp 7: Pool 101.185 doanh nghiệp — rộng nhất cho nghiên cứu I→P châu Á</w:t>
      </w:r>
      <w:r>
        <w:t xml:space="preserve">. Ba thế hệ schema WBES được hòa hợp qua giao thức chi tiết (</w:t>
      </w:r>
      <w:r>
        <w:rPr>
          <w:rStyle w:val="VerbatimChar"/>
        </w:rPr>
        <w:t xml:space="preserve">thesis/08_p7_data_harmonization_protocol_vi.md</w:t>
      </w:r>
      <w:r>
        <w:t xml:space="preserve">), tạo ra pool lớn nhất từ trước đến nay cho nghiên cứu I→P trong văn liệu IB. Pool này đủ lớn để chạy sub-sample replication theo ICRV và year-bucket với power đầy đủ.</w:t>
      </w:r>
    </w:p>
    <w:p>
      <w:pPr>
        <w:pStyle w:val="BodyText"/>
      </w:pPr>
      <w:r>
        <w:rPr>
          <w:bCs/>
          <w:b/>
        </w:rPr>
        <w:t xml:space="preserve">Đóng góp 8: Chiến lược nhận dạng đa tầng tích hợp IV</w:t>
      </w:r>
      <w:r>
        <w:t xml:space="preserve">. Kết hợp HC1/HC3 robust SE, country×year two-way FE, IV identification (first-stage F &gt; 16), và Paternoster z-test cho cross-group comparison tạo ra chiến lược nhận dạng mạnh nhất có thể với dữ liệu WBES cross-sectional. Đặc biệt, việc tách DAI causal vs. selection (từ bằng chứng P3 IV) là bước tiến quan trọng trong phân tích digital capability trong IB.</w:t>
      </w:r>
    </w:p>
    <w:p>
      <w:pPr>
        <w:pStyle w:val="BodyText"/>
      </w:pPr>
      <w:r>
        <w:rPr>
          <w:bCs/>
          <w:b/>
        </w:rPr>
        <w:t xml:space="preserve">Bảng 9.3</w:t>
      </w:r>
      <w:r>
        <w:t xml:space="preserve">.</w:t>
      </w:r>
      <w:r>
        <w:t xml:space="preserve"> </w:t>
      </w:r>
      <w:r>
        <w:rPr>
          <w:iCs/>
          <w:i/>
        </w:rPr>
        <w:t xml:space="preserve">So sánh phương pháp CĐ2 với các nghiên cứu I→P tiêu biểu trong văn liệu.</w:t>
      </w:r>
    </w:p>
    <w:tbl>
      <w:tblPr>
        <w:tblStyle w:val="Table"/>
        <w:tblW w:type="pct" w:w="5000"/>
        <w:tblLook w:firstRow="1" w:lastRow="0" w:firstColumn="0" w:lastColumn="0" w:noHBand="0" w:noVBand="0" w:val="0020"/>
        <w:jc w:val="start"/>
      </w:tblPr>
      <w:tblGrid>
        <w:gridCol w:w="1680"/>
        <w:gridCol w:w="1680"/>
        <w:gridCol w:w="1600"/>
        <w:gridCol w:w="1600"/>
        <w:gridCol w:w="1360"/>
      </w:tblGrid>
      <w:tr>
        <w:trPr>
          <w:tblHeader w:val="true"/>
        </w:trPr>
        <w:tc>
          <w:tcPr/>
          <w:p>
            <w:pPr>
              <w:pStyle w:val="Compact"/>
              <w:jc w:val="left"/>
            </w:pPr>
            <w:r>
              <w:t xml:space="preserve">Tiêu chí phương pháp</w:t>
            </w:r>
          </w:p>
        </w:tc>
        <w:tc>
          <w:tcPr/>
          <w:p>
            <w:pPr>
              <w:pStyle w:val="Compact"/>
              <w:jc w:val="left"/>
            </w:pPr>
            <w:r>
              <w:t xml:space="preserve">CĐ2 (nghiên cứu này)</w:t>
            </w:r>
          </w:p>
        </w:tc>
        <w:tc>
          <w:tcPr/>
          <w:p>
            <w:pPr>
              <w:pStyle w:val="Compact"/>
              <w:jc w:val="left"/>
            </w:pPr>
            <w:r>
              <w:t xml:space="preserve">Lu &amp; Beamish (2004)</w:t>
            </w:r>
          </w:p>
        </w:tc>
        <w:tc>
          <w:tcPr/>
          <w:p>
            <w:pPr>
              <w:pStyle w:val="Compact"/>
              <w:jc w:val="left"/>
            </w:pPr>
            <w:r>
              <w:t xml:space="preserve">Marano et al. (2016)</w:t>
            </w:r>
          </w:p>
        </w:tc>
        <w:tc>
          <w:tcPr/>
          <w:p>
            <w:pPr>
              <w:pStyle w:val="Compact"/>
              <w:jc w:val="left"/>
            </w:pPr>
            <w:r>
              <w:t xml:space="preserve">Wu et al. (2022)</w:t>
            </w:r>
          </w:p>
        </w:tc>
      </w:tr>
      <w:tr>
        <w:tc>
          <w:tcPr/>
          <w:p>
            <w:pPr>
              <w:pStyle w:val="Compact"/>
              <w:jc w:val="left"/>
            </w:pPr>
            <w:r>
              <w:t xml:space="preserve">Cỡ mẫu</w:t>
            </w:r>
          </w:p>
        </w:tc>
        <w:tc>
          <w:tcPr/>
          <w:p>
            <w:pPr>
              <w:pStyle w:val="Compact"/>
              <w:jc w:val="left"/>
            </w:pPr>
            <w:r>
              <w:t xml:space="preserve">101.185 firms</w:t>
            </w:r>
          </w:p>
        </w:tc>
        <w:tc>
          <w:tcPr/>
          <w:p>
            <w:pPr>
              <w:pStyle w:val="Compact"/>
              <w:jc w:val="left"/>
            </w:pPr>
            <w:r>
              <w:t xml:space="preserve">~980 firms</w:t>
            </w:r>
          </w:p>
        </w:tc>
        <w:tc>
          <w:tcPr/>
          <w:p>
            <w:pPr>
              <w:pStyle w:val="Compact"/>
              <w:jc w:val="left"/>
            </w:pPr>
            <w:r>
              <w:t xml:space="preserve">Meta-analysis</w:t>
            </w:r>
          </w:p>
        </w:tc>
        <w:tc>
          <w:tcPr/>
          <w:p>
            <w:pPr>
              <w:pStyle w:val="Compact"/>
              <w:jc w:val="left"/>
            </w:pPr>
            <w:r>
              <w:t xml:space="preserve">Meta-analysis</w:t>
            </w:r>
          </w:p>
        </w:tc>
      </w:tr>
      <w:tr>
        <w:tc>
          <w:tcPr/>
          <w:p>
            <w:pPr>
              <w:pStyle w:val="Compact"/>
              <w:jc w:val="left"/>
            </w:pPr>
            <w:r>
              <w:t xml:space="preserve">Số quốc gia</w:t>
            </w:r>
          </w:p>
        </w:tc>
        <w:tc>
          <w:tcPr/>
          <w:p>
            <w:pPr>
              <w:pStyle w:val="Compact"/>
              <w:jc w:val="left"/>
            </w:pPr>
            <w:r>
              <w:t xml:space="preserve">47</w:t>
            </w:r>
          </w:p>
        </w:tc>
        <w:tc>
          <w:tcPr/>
          <w:p>
            <w:pPr>
              <w:pStyle w:val="Compact"/>
              <w:jc w:val="left"/>
            </w:pPr>
            <w:r>
              <w:t xml:space="preserve">1 (Japan)</w:t>
            </w:r>
          </w:p>
        </w:tc>
        <w:tc>
          <w:tcPr/>
          <w:p>
            <w:pPr>
              <w:pStyle w:val="Compact"/>
              <w:jc w:val="left"/>
            </w:pPr>
            <w:r>
              <w:t xml:space="preserve">50+</w:t>
            </w:r>
          </w:p>
        </w:tc>
        <w:tc>
          <w:tcPr/>
          <w:p>
            <w:pPr>
              <w:pStyle w:val="Compact"/>
              <w:jc w:val="left"/>
            </w:pPr>
            <w:r>
              <w:t xml:space="preserve">40+</w:t>
            </w:r>
          </w:p>
        </w:tc>
      </w:tr>
      <w:tr>
        <w:tc>
          <w:tcPr/>
          <w:p>
            <w:pPr>
              <w:pStyle w:val="Compact"/>
              <w:jc w:val="left"/>
            </w:pPr>
            <w:r>
              <w:t xml:space="preserve">DV</w:t>
            </w:r>
          </w:p>
        </w:tc>
        <w:tc>
          <w:tcPr/>
          <w:p>
            <w:pPr>
              <w:pStyle w:val="Compact"/>
              <w:jc w:val="left"/>
            </w:pPr>
            <w:r>
              <w:t xml:space="preserve">ln(LP)</w:t>
            </w:r>
          </w:p>
        </w:tc>
        <w:tc>
          <w:tcPr/>
          <w:p>
            <w:pPr>
              <w:pStyle w:val="Compact"/>
              <w:jc w:val="left"/>
            </w:pPr>
            <w:r>
              <w:t xml:space="preserve">ROA/Tobin’s Q</w:t>
            </w:r>
          </w:p>
        </w:tc>
        <w:tc>
          <w:tcPr/>
          <w:p>
            <w:pPr>
              <w:pStyle w:val="Compact"/>
              <w:jc w:val="left"/>
            </w:pPr>
            <w:r>
              <w:t xml:space="preserve">Perf. (multi)</w:t>
            </w:r>
          </w:p>
        </w:tc>
        <w:tc>
          <w:tcPr/>
          <w:p>
            <w:pPr>
              <w:pStyle w:val="Compact"/>
              <w:jc w:val="left"/>
            </w:pPr>
            <w:r>
              <w:t xml:space="preserve">Perf. (multi)</w:t>
            </w:r>
          </w:p>
        </w:tc>
      </w:tr>
      <w:tr>
        <w:tc>
          <w:tcPr/>
          <w:p>
            <w:pPr>
              <w:pStyle w:val="Compact"/>
              <w:jc w:val="left"/>
            </w:pPr>
            <w:r>
              <w:t xml:space="preserve">Phi tuyến kiểm định</w:t>
            </w:r>
          </w:p>
        </w:tc>
        <w:tc>
          <w:tcPr/>
          <w:p>
            <w:pPr>
              <w:pStyle w:val="Compact"/>
              <w:jc w:val="left"/>
            </w:pPr>
            <w:r>
              <w:t xml:space="preserve">Lind–Mehlum + LOWESS</w:t>
            </w:r>
          </w:p>
        </w:tc>
        <w:tc>
          <w:tcPr/>
          <w:p>
            <w:pPr>
              <w:pStyle w:val="Compact"/>
              <w:jc w:val="left"/>
            </w:pPr>
            <w:r>
              <w:t xml:space="preserve">Cubic OLS</w:t>
            </w:r>
          </w:p>
        </w:tc>
        <w:tc>
          <w:tcPr/>
          <w:p>
            <w:pPr>
              <w:pStyle w:val="Compact"/>
              <w:jc w:val="left"/>
            </w:pPr>
            <w:r>
              <w:t xml:space="preserve">HLM</w:t>
            </w:r>
          </w:p>
        </w:tc>
        <w:tc>
          <w:tcPr/>
          <w:p>
            <w:pPr>
              <w:pStyle w:val="Compact"/>
              <w:jc w:val="left"/>
            </w:pPr>
            <w:r>
              <w:t xml:space="preserve">HLM</w:t>
            </w:r>
          </w:p>
        </w:tc>
      </w:tr>
      <w:tr>
        <w:tc>
          <w:tcPr/>
          <w:p>
            <w:pPr>
              <w:pStyle w:val="Compact"/>
              <w:jc w:val="left"/>
            </w:pPr>
            <w:r>
              <w:t xml:space="preserve">Digital moderator</w:t>
            </w:r>
          </w:p>
        </w:tc>
        <w:tc>
          <w:tcPr/>
          <w:p>
            <w:pPr>
              <w:pStyle w:val="Compact"/>
              <w:jc w:val="left"/>
            </w:pPr>
            <w:r>
              <w:t xml:space="preserve">TCI + DAI</w:t>
            </w:r>
          </w:p>
        </w:tc>
        <w:tc>
          <w:tcPr/>
          <w:p>
            <w:pPr>
              <w:pStyle w:val="Compact"/>
              <w:jc w:val="left"/>
            </w:pPr>
            <w:r>
              <w:t xml:space="preserve">Không có</w:t>
            </w:r>
          </w:p>
        </w:tc>
        <w:tc>
          <w:tcPr/>
          <w:p>
            <w:pPr>
              <w:pStyle w:val="Compact"/>
              <w:jc w:val="left"/>
            </w:pPr>
            <w:r>
              <w:t xml:space="preserve">Không có</w:t>
            </w:r>
          </w:p>
        </w:tc>
        <w:tc>
          <w:tcPr/>
          <w:p>
            <w:pPr>
              <w:pStyle w:val="Compact"/>
              <w:jc w:val="left"/>
            </w:pPr>
            <w:r>
              <w:t xml:space="preserve">Không có</w:t>
            </w:r>
          </w:p>
        </w:tc>
      </w:tr>
      <w:tr>
        <w:tc>
          <w:tcPr/>
          <w:p>
            <w:pPr>
              <w:pStyle w:val="Compact"/>
              <w:jc w:val="left"/>
            </w:pPr>
            <w:r>
              <w:t xml:space="preserve">IV cho endogeneity</w:t>
            </w:r>
          </w:p>
        </w:tc>
        <w:tc>
          <w:tcPr/>
          <w:p>
            <w:pPr>
              <w:pStyle w:val="Compact"/>
              <w:jc w:val="left"/>
            </w:pPr>
            <w:r>
              <w:t xml:space="preserve">Có (2SLS)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ICRV classification</w:t>
            </w:r>
          </w:p>
        </w:tc>
        <w:tc>
          <w:tcPr/>
          <w:p>
            <w:pPr>
              <w:pStyle w:val="Compact"/>
              <w:jc w:val="left"/>
            </w:pPr>
            <w:r>
              <w:t xml:space="preserve">6 nhóm (novel)</w:t>
            </w:r>
          </w:p>
        </w:tc>
        <w:tc>
          <w:tcPr/>
          <w:p>
            <w:pPr>
              <w:pStyle w:val="Compact"/>
              <w:jc w:val="left"/>
            </w:pPr>
            <w:r>
              <w:t xml:space="preserve">Không</w:t>
            </w:r>
          </w:p>
        </w:tc>
        <w:tc>
          <w:tcPr/>
          <w:p>
            <w:pPr>
              <w:pStyle w:val="Compact"/>
              <w:jc w:val="left"/>
            </w:pPr>
            <w:r>
              <w:t xml:space="preserve">GNI rough</w:t>
            </w:r>
          </w:p>
        </w:tc>
        <w:tc>
          <w:tcPr/>
          <w:p>
            <w:pPr>
              <w:pStyle w:val="Compact"/>
              <w:jc w:val="left"/>
            </w:pPr>
            <w:r>
              <w:t xml:space="preserve">WB income group</w:t>
            </w:r>
          </w:p>
        </w:tc>
      </w:tr>
      <w:tr>
        <w:tc>
          <w:tcPr/>
          <w:p>
            <w:pPr>
              <w:pStyle w:val="Compact"/>
              <w:jc w:val="left"/>
            </w:pPr>
            <w:r>
              <w:t xml:space="preserve">Temporal heterogeneity</w:t>
            </w:r>
          </w:p>
        </w:tc>
        <w:tc>
          <w:tcPr/>
          <w:p>
            <w:pPr>
              <w:pStyle w:val="Compact"/>
              <w:jc w:val="left"/>
            </w:pPr>
            <w:r>
              <w:t xml:space="preserve">Year-bucket design</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bl>
    <w:p>
      <w:pPr>
        <w:pStyle w:val="BodyText"/>
      </w:pPr>
      <w:r>
        <w:rPr>
          <w:iCs/>
          <w:i/>
        </w:rPr>
        <w:t xml:space="preserve">Ghi chú</w:t>
      </w:r>
      <w:r>
        <w:t xml:space="preserve">: CĐ2 là nghiên cứu duy nhất tích hợp đồng thời: (a) cỡ mẫu vi mô lớn; (b) kiểm định phi tuyến chính thức; (c) digital moderators; (d) IV; và (e) ICRV institutional classification cho châu Á-Thái Bình Dương.</w:t>
      </w:r>
    </w:p>
    <w:p>
      <w:pPr>
        <w:pStyle w:val="BodyText"/>
      </w:pPr>
      <w:r>
        <w:rPr>
          <w:bCs/>
          <w:b/>
        </w:rPr>
        <w:t xml:space="preserve">Đóng góp 9: Giao thức hòa hợp ba thế hệ WBES</w:t>
      </w:r>
      <w:r>
        <w:t xml:space="preserve">. Hòa hợp PICS3 (2009–13), Standardized (2014–18), và BEE (2019–25) đòi hỏi crosswalk biến chi tiết (≥40 biến), xử lý schema inconsistencies, và validation qua overlap years (khi một số quốc gia có cả hai schema). Giao thức này, được document hóa đầy đủ, là đóng góp methodological độc lập có giá trị cho cộng đồng nghiên cứu WBES.</w:t>
      </w:r>
    </w:p>
    <w:bookmarkEnd w:id="89"/>
    <w:bookmarkStart w:id="90" w:name="hàm-ý-chính-sách"/>
    <w:p>
      <w:pPr>
        <w:pStyle w:val="Heading3"/>
      </w:pPr>
      <w:r>
        <w:t xml:space="preserve">9.5 Hàm ý chính sách</w:t>
      </w:r>
    </w:p>
    <w:p>
      <w:pPr>
        <w:pStyle w:val="FirstParagraph"/>
      </w:pPr>
      <w:r>
        <w:rPr>
          <w:bCs/>
          <w:b/>
        </w:rPr>
        <w:t xml:space="preserve">Cho doanh nghiệp Việt Nam và emerging Asia</w:t>
      </w:r>
      <w:r>
        <w:t xml:space="preserve">:</w:t>
      </w:r>
      <w:r>
        <w:t xml:space="preserve"> </w:t>
      </w:r>
      <w:r>
        <w:t xml:space="preserve">1.</w:t>
      </w:r>
      <w:r>
        <w:t xml:space="preserve"> </w:t>
      </w:r>
      <w:r>
        <w:rPr>
          <w:bCs/>
          <w:b/>
        </w:rPr>
        <w:t xml:space="preserve">Đầu tư vào TCI trước DAI</w:t>
      </w:r>
      <w:r>
        <w:t xml:space="preserve">: Bằng chứng IV (P3 Việt Nam) cho thấy chỉ TCI là causal, trong khi DAI dương trong OLS là selection-driven. Doanh nghiệp nên ưu tiên xây dựng năng lực công nghệ thực chất (ISO, R&amp;D, foreign tech) trước khi đầu tư vào digital adoption.</w:t>
      </w:r>
      <w:r>
        <w:t xml:space="preserve"> </w:t>
      </w:r>
      <w:r>
        <w:t xml:space="preserve">2.</w:t>
      </w:r>
      <w:r>
        <w:t xml:space="preserve"> </w:t>
      </w:r>
      <w:r>
        <w:rPr>
          <w:bCs/>
          <w:b/>
        </w:rPr>
        <w:t xml:space="preserve">Turning point 39–46% FSTS cho Việt Nam</w:t>
      </w:r>
      <w:r>
        <w:t xml:space="preserve">: Doanh nghiệp vượt ngưỡng này cần đánh giá lại chiến lược QTH — tăng cường năng lực điều phối (manager experience, ERP, CRM) thay vì chỉ tăng tỉ lệ xuất khẩu.</w:t>
      </w:r>
      <w:r>
        <w:t xml:space="preserve"> </w:t>
      </w:r>
      <w:r>
        <w:t xml:space="preserve">3.</w:t>
      </w:r>
      <w:r>
        <w:t xml:space="preserve"> </w:t>
      </w:r>
      <w:r>
        <w:rPr>
          <w:bCs/>
          <w:b/>
        </w:rPr>
        <w:t xml:space="preserve">DAI phát huy mạnh khi FSTS cao và institutional setting tốt</w:t>
      </w:r>
      <w:r>
        <w:t xml:space="preserve">: Nhóm I (Singapore) cho thấy DAI×FSTS² = +3.119 — khi doanh nghiệp đã ở mức FSTS 70%+ và hoạt động trong môi trường thể chế tốt, DAI mới trở thành scaling lever.</w:t>
      </w:r>
    </w:p>
    <w:p>
      <w:pPr>
        <w:pStyle w:val="BodyText"/>
      </w:pPr>
      <w:r>
        <w:rPr>
          <w:bCs/>
          <w:b/>
        </w:rPr>
        <w:t xml:space="preserve">Cho nhà hoạch định chính sách</w:t>
      </w:r>
      <w:r>
        <w:t xml:space="preserve">:</w:t>
      </w:r>
      <w:r>
        <w:t xml:space="preserve"> </w:t>
      </w:r>
      <w:r>
        <w:t xml:space="preserve">1.</w:t>
      </w:r>
      <w:r>
        <w:t xml:space="preserve"> </w:t>
      </w:r>
      <w:r>
        <w:rPr>
          <w:bCs/>
          <w:b/>
        </w:rPr>
        <w:t xml:space="preserve">ICRV gradient</w:t>
      </w:r>
      <w:r>
        <w:t xml:space="preserve"> </w:t>
      </w:r>
      <w:r>
        <w:t xml:space="preserve">cho thấy chính sách hỗ trợ QTH cần phân biệt theo regime — what works in Singapore does not work in Bangladesh.</w:t>
      </w:r>
      <w:r>
        <w:t xml:space="preserve"> </w:t>
      </w:r>
      <w:r>
        <w:t xml:space="preserve">2.</w:t>
      </w:r>
      <w:r>
        <w:t xml:space="preserve"> </w:t>
      </w:r>
      <w:r>
        <w:rPr>
          <w:bCs/>
          <w:b/>
        </w:rPr>
        <w:t xml:space="preserve">Temporal heterogeneity H6</w:t>
      </w:r>
      <w:r>
        <w:t xml:space="preserve"> </w:t>
      </w:r>
      <w:r>
        <w:t xml:space="preserve">— chính sách năm 2025 không thể sao chép chính sách năm 2009; AI bùng nổ tạo ra cơ hội mới cho DAI trong giai đoạn 2018+.</w:t>
      </w:r>
      <w:r>
        <w:t xml:space="preserve"> </w:t>
      </w:r>
      <w:r>
        <w:t xml:space="preserve">3.</w:t>
      </w:r>
      <w:r>
        <w:t xml:space="preserve"> </w:t>
      </w:r>
      <w:r>
        <w:rPr>
          <w:bCs/>
          <w:b/>
        </w:rPr>
        <w:t xml:space="preserve">SIDS forced penalty</w:t>
      </w:r>
      <w:r>
        <w:t xml:space="preserve"> </w:t>
      </w:r>
      <w:r>
        <w:t xml:space="preserve">— Pacific SIDS cần khung chính sách khác hoàn toàn, không áp dụng logic inverted-U standard.</w:t>
      </w:r>
    </w:p>
    <w:p>
      <w:pPr>
        <w:pStyle w:val="BodyText"/>
      </w:pPr>
      <w:r>
        <w:rPr>
          <w:bCs/>
          <w:b/>
        </w:rPr>
        <w:t xml:space="preserve">Bảng 9.1</w:t>
      </w:r>
      <w:r>
        <w:t xml:space="preserve">.</w:t>
      </w:r>
      <w:r>
        <w:t xml:space="preserve"> </w:t>
      </w:r>
      <w:r>
        <w:rPr>
          <w:iCs/>
          <w:i/>
        </w:rPr>
        <w:t xml:space="preserve">Ma trận chính sách theo nhóm ICRV — hàm ý từ H1–H5.</w:t>
      </w:r>
    </w:p>
    <w:tbl>
      <w:tblPr>
        <w:tblStyle w:val="Table"/>
        <w:tblW w:type="pct" w:w="5000"/>
        <w:tblLook w:firstRow="1" w:lastRow="0" w:firstColumn="0" w:lastColumn="0" w:noHBand="0" w:noVBand="0" w:val="0020"/>
        <w:jc w:val="start"/>
      </w:tblPr>
      <w:tblGrid>
        <w:gridCol w:w="1320"/>
        <w:gridCol w:w="1440"/>
        <w:gridCol w:w="3120"/>
        <w:gridCol w:w="2040"/>
      </w:tblGrid>
      <w:tr>
        <w:trPr>
          <w:tblHeader w:val="true"/>
        </w:trPr>
        <w:tc>
          <w:tcPr/>
          <w:p>
            <w:pPr>
              <w:pStyle w:val="Compact"/>
              <w:jc w:val="left"/>
            </w:pPr>
            <w:r>
              <w:t xml:space="preserve">Nhóm ICRV</w:t>
            </w:r>
          </w:p>
        </w:tc>
        <w:tc>
          <w:tcPr/>
          <w:p>
            <w:pPr>
              <w:pStyle w:val="Compact"/>
              <w:jc w:val="left"/>
            </w:pPr>
            <w:r>
              <w:t xml:space="preserve">Pattern I→P</w:t>
            </w:r>
          </w:p>
        </w:tc>
        <w:tc>
          <w:tcPr/>
          <w:p>
            <w:pPr>
              <w:pStyle w:val="Compact"/>
              <w:jc w:val="left"/>
            </w:pPr>
            <w:r>
              <w:t xml:space="preserve">Hàm ý chính sách ưu tiên</w:t>
            </w:r>
          </w:p>
        </w:tc>
        <w:tc>
          <w:tcPr/>
          <w:p>
            <w:pPr>
              <w:pStyle w:val="Compact"/>
              <w:jc w:val="left"/>
            </w:pPr>
            <w:r>
              <w:t xml:space="preserve">Ngưỡng can thiệp</w:t>
            </w:r>
          </w:p>
        </w:tc>
      </w:tr>
      <w:tr>
        <w:tc>
          <w:tcPr/>
          <w:p>
            <w:pPr>
              <w:pStyle w:val="Compact"/>
              <w:jc w:val="left"/>
            </w:pPr>
            <w:r>
              <w:t xml:space="preserve">Nhóm I (tiên tiến đổi mới)</w:t>
            </w:r>
          </w:p>
        </w:tc>
        <w:tc>
          <w:tcPr/>
          <w:p>
            <w:pPr>
              <w:pStyle w:val="Compact"/>
              <w:jc w:val="left"/>
            </w:pPr>
            <w:r>
              <w:t xml:space="preserve">Near-monotonic, DAI conditional scaling</w:t>
            </w:r>
          </w:p>
        </w:tc>
        <w:tc>
          <w:tcPr/>
          <w:p>
            <w:pPr>
              <w:pStyle w:val="Compact"/>
              <w:jc w:val="left"/>
            </w:pPr>
            <w:r>
              <w:t xml:space="preserve">Tập trung DAI×FSTS cao — chính sách platform, e-commerce B2B</w:t>
            </w:r>
          </w:p>
        </w:tc>
        <w:tc>
          <w:tcPr/>
          <w:p>
            <w:pPr>
              <w:pStyle w:val="Compact"/>
              <w:jc w:val="left"/>
            </w:pPr>
            <w:r>
              <w:t xml:space="preserve">Hỗ trợ khi FSTS &gt; 60%</w:t>
            </w:r>
          </w:p>
        </w:tc>
      </w:tr>
      <w:tr>
        <w:tc>
          <w:tcPr/>
          <w:p>
            <w:pPr>
              <w:pStyle w:val="Compact"/>
              <w:jc w:val="left"/>
            </w:pPr>
            <w:r>
              <w:t xml:space="preserve">Nhóm II (tiên tiến tài nguyên)</w:t>
            </w:r>
          </w:p>
        </w:tc>
        <w:tc>
          <w:tcPr/>
          <w:p>
            <w:pPr>
              <w:pStyle w:val="Compact"/>
              <w:jc w:val="left"/>
            </w:pPr>
            <w:r>
              <w:t xml:space="preserve">Weakly I→P, FDI dominant</w:t>
            </w:r>
          </w:p>
        </w:tc>
        <w:tc>
          <w:tcPr/>
          <w:p>
            <w:pPr>
              <w:pStyle w:val="Compact"/>
              <w:jc w:val="left"/>
            </w:pPr>
            <w:r>
              <w:t xml:space="preserve">Đa dạng hóa kinh tế tránh resource curse; SME export diversification</w:t>
            </w:r>
          </w:p>
        </w:tc>
        <w:tc>
          <w:tcPr/>
          <w:p>
            <w:pPr>
              <w:pStyle w:val="Compact"/>
              <w:jc w:val="left"/>
            </w:pPr>
            <w:r>
              <w:t xml:space="preserve">Giảm resource dependency</w:t>
            </w:r>
          </w:p>
        </w:tc>
      </w:tr>
      <w:tr>
        <w:tc>
          <w:tcPr/>
          <w:p>
            <w:pPr>
              <w:pStyle w:val="Compact"/>
              <w:jc w:val="left"/>
            </w:pPr>
            <w:r>
              <w:t xml:space="preserve">Nhóm III (trung bình cao)</w:t>
            </w:r>
          </w:p>
        </w:tc>
        <w:tc>
          <w:tcPr/>
          <w:p>
            <w:pPr>
              <w:pStyle w:val="Compact"/>
              <w:jc w:val="left"/>
            </w:pPr>
            <w:r>
              <w:t xml:space="preserve">Inverted-U, TP 45–55%</w:t>
            </w:r>
          </w:p>
        </w:tc>
        <w:tc>
          <w:tcPr/>
          <w:p>
            <w:pPr>
              <w:pStyle w:val="Compact"/>
              <w:jc w:val="left"/>
            </w:pPr>
            <w:r>
              <w:t xml:space="preserve">Nâng năng lực TCI trước khi scale xuất khẩu</w:t>
            </w:r>
          </w:p>
        </w:tc>
        <w:tc>
          <w:tcPr/>
          <w:p>
            <w:pPr>
              <w:pStyle w:val="Compact"/>
              <w:jc w:val="left"/>
            </w:pPr>
            <w:r>
              <w:t xml:space="preserve">TCI investment khi FSTS &lt; 30%</w:t>
            </w:r>
          </w:p>
        </w:tc>
      </w:tr>
      <w:tr>
        <w:tc>
          <w:tcPr/>
          <w:p>
            <w:pPr>
              <w:pStyle w:val="Compact"/>
              <w:jc w:val="left"/>
            </w:pPr>
            <w:r>
              <w:t xml:space="preserve">Nhóm IV (đang nổi)</w:t>
            </w:r>
          </w:p>
        </w:tc>
        <w:tc>
          <w:tcPr/>
          <w:p>
            <w:pPr>
              <w:pStyle w:val="Compact"/>
              <w:jc w:val="left"/>
            </w:pPr>
            <w:r>
              <w:t xml:space="preserve">Inverted-U, TP 39–46%</w:t>
            </w:r>
          </w:p>
        </w:tc>
        <w:tc>
          <w:tcPr/>
          <w:p>
            <w:pPr>
              <w:pStyle w:val="Compact"/>
              <w:jc w:val="left"/>
            </w:pPr>
            <w:r>
              <w:t xml:space="preserve">Giải quyết institutional voids cản trở xuất khẩu hiệu quả</w:t>
            </w:r>
          </w:p>
        </w:tc>
        <w:tc>
          <w:tcPr/>
          <w:p>
            <w:pPr>
              <w:pStyle w:val="Compact"/>
              <w:jc w:val="left"/>
            </w:pPr>
            <w:r>
              <w:t xml:space="preserve">Cải cách khi TP bị kéo xuống &lt; 35%</w:t>
            </w:r>
          </w:p>
        </w:tc>
      </w:tr>
      <w:tr>
        <w:tc>
          <w:tcPr/>
          <w:p>
            <w:pPr>
              <w:pStyle w:val="Compact"/>
              <w:jc w:val="left"/>
            </w:pPr>
            <w:r>
              <w:t xml:space="preserve">Nhóm V (cận biên)</w:t>
            </w:r>
          </w:p>
        </w:tc>
        <w:tc>
          <w:tcPr/>
          <w:p>
            <w:pPr>
              <w:pStyle w:val="Compact"/>
              <w:jc w:val="left"/>
            </w:pPr>
            <w:r>
              <w:t xml:space="preserve">Inverted-U, TP thấp, institutional voids cao</w:t>
            </w:r>
          </w:p>
        </w:tc>
        <w:tc>
          <w:tcPr/>
          <w:p>
            <w:pPr>
              <w:pStyle w:val="Compact"/>
              <w:jc w:val="left"/>
            </w:pPr>
            <w:r>
              <w:t xml:space="preserve">Ưu tiên institutional reform trước xuất khẩu expansion</w:t>
            </w:r>
          </w:p>
        </w:tc>
        <w:tc>
          <w:tcPr/>
          <w:p>
            <w:pPr>
              <w:pStyle w:val="Compact"/>
              <w:jc w:val="left"/>
            </w:pPr>
            <w:r>
              <w:t xml:space="preserve">Phát triển thể chế cơ bản</w:t>
            </w:r>
          </w:p>
        </w:tc>
      </w:tr>
      <w:tr>
        <w:tc>
          <w:tcPr/>
          <w:p>
            <w:pPr>
              <w:pStyle w:val="Compact"/>
              <w:jc w:val="left"/>
            </w:pPr>
            <w:r>
              <w:t xml:space="preserve">Nhóm VI (SIDS)</w:t>
            </w:r>
          </w:p>
        </w:tc>
        <w:tc>
          <w:tcPr/>
          <w:p>
            <w:pPr>
              <w:pStyle w:val="Compact"/>
              <w:jc w:val="left"/>
            </w:pPr>
            <w:r>
              <w:t xml:space="preserve">Forced penalty</w:t>
            </w:r>
          </w:p>
        </w:tc>
        <w:tc>
          <w:tcPr/>
          <w:p>
            <w:pPr>
              <w:pStyle w:val="Compact"/>
              <w:jc w:val="left"/>
            </w:pPr>
            <w:r>
              <w:t xml:space="preserve">Chính sách khác hoàn toàn — adaptive model không phải export-led</w:t>
            </w:r>
          </w:p>
        </w:tc>
        <w:tc>
          <w:tcPr/>
          <w:p>
            <w:pPr>
              <w:pStyle w:val="Compact"/>
              <w:jc w:val="left"/>
            </w:pPr>
            <w:r>
              <w:t xml:space="preserve">Regional cooperation, ODA-linked trade</w:t>
            </w:r>
          </w:p>
        </w:tc>
      </w:tr>
    </w:tbl>
    <w:p>
      <w:pPr>
        <w:pStyle w:val="BodyText"/>
      </w:pPr>
      <w:r>
        <w:rPr>
          <w:bCs/>
          <w:b/>
        </w:rPr>
        <w:t xml:space="preserve">Hàm ý chính sách cụ thể cho Việt Nam (Nhóm IV)</w:t>
      </w:r>
      <w:r>
        <w:t xml:space="preserve">:</w:t>
      </w:r>
      <w:r>
        <w:t xml:space="preserve"> </w:t>
      </w:r>
      <w:r>
        <w:t xml:space="preserve">- Turning point 39–46% là ngưỡng chiến lược: doanh nghiệp tiếp cận 40% FSTS cần hỗ trợ năng lực điều phối (ERP, logistics, CRM) không chỉ marketing xuất khẩu</w:t>
      </w:r>
      <w:r>
        <w:t xml:space="preserve"> </w:t>
      </w:r>
      <w:r>
        <w:t xml:space="preserve">- TCI causal (IV F=22.1): Chính sách R&amp;D incentive, ISO certification support, và technology transfer agreement là đầu tư có hiệu quả nhân quả thực sự, không phải selection effect</w:t>
      </w:r>
      <w:r>
        <w:t xml:space="preserve"> </w:t>
      </w:r>
      <w:r>
        <w:t xml:space="preserve">- DAI selection-driven trong Nhóm IV: Chương trình</w:t>
      </w:r>
      <w:r>
        <w:t xml:space="preserve"> </w:t>
      </w:r>
      <w:r>
        <w:t xml:space="preserve">“</w:t>
      </w:r>
      <w:r>
        <w:t xml:space="preserve">digital adoption</w:t>
      </w:r>
      <w:r>
        <w:t xml:space="preserve">”</w:t>
      </w:r>
      <w:r>
        <w:t xml:space="preserve"> </w:t>
      </w:r>
      <w:r>
        <w:t xml:space="preserve">cần targeting vào doanh nghiệp đang hoặc sẽ xuất khẩu — DAI trong doanh nghiệp không xuất khẩu ít có tác động LP trực tiếp theo CDCM</w:t>
      </w:r>
    </w:p>
    <w:bookmarkEnd w:id="90"/>
    <w:bookmarkStart w:id="91" w:name="hạn-chế"/>
    <w:p>
      <w:pPr>
        <w:pStyle w:val="Heading3"/>
      </w:pPr>
      <w:r>
        <w:t xml:space="preserve">9.6 Hạn chế</w:t>
      </w:r>
    </w:p>
    <w:p>
      <w:pPr>
        <w:pStyle w:val="FirstParagraph"/>
      </w:pPr>
      <w:r>
        <w:rPr>
          <w:bCs/>
          <w:b/>
        </w:rPr>
        <w:t xml:space="preserve">Hạn chế 1 — WBES không phải panel chuẩn</w:t>
      </w:r>
      <w:r>
        <w:t xml:space="preserve">: Dữ liệu WBES chủ yếu là repeated cross-sections, không theo dõi cùng doanh nghiệp theo thời gian (ngoại trừ một số panel nhỏ). Điều này hạn chế khả năng suy luận nhân quả mạnh — các tác động thực nghiệm là conditional associations, không phải causal effects trừ khi có IV hợp lệ.</w:t>
      </w:r>
    </w:p>
    <w:p>
      <w:pPr>
        <w:pStyle w:val="BodyText"/>
      </w:pPr>
      <w:r>
        <w:rPr>
          <w:bCs/>
          <w:b/>
        </w:rPr>
        <w:t xml:space="preserve">Hạn chế 2 — DAI bị giới hạn Tier 1–2</w:t>
      </w:r>
      <w:r>
        <w:t xml:space="preserve">: DAI đo lường Tier 1 (website) và Tier 2 (e-payment) — không quan sát được Tier 3 (ERP, CRM, digitally integrated processes) và Tier 4 (AI deployment, platform orchestration). CDCM có thể mạnh hơn nếu Tier 3–4 được đo lường — đây là hướng nghiên cứu tương lai khi BEE schema mở rộng.</w:t>
      </w:r>
    </w:p>
    <w:p>
      <w:pPr>
        <w:pStyle w:val="BodyText"/>
      </w:pPr>
      <w:r>
        <w:rPr>
          <w:bCs/>
          <w:b/>
        </w:rPr>
        <w:t xml:space="preserve">Hạn chế 3 — Manager variables thiếu trong một số schema</w:t>
      </w:r>
      <w:r>
        <w:t xml:space="preserve">: Module top manager không nhất quán qua PICS3/Standardized/BEE — H4 phải được kiểm định trong sub-sample có đầy đủ dữ liệu, làm giảm power và generalizability.</w:t>
      </w:r>
    </w:p>
    <w:p>
      <w:pPr>
        <w:pStyle w:val="BodyText"/>
      </w:pPr>
      <w:r>
        <w:rPr>
          <w:bCs/>
          <w:b/>
        </w:rPr>
        <w:t xml:space="preserve">Hạn chế 4 — FSTS đo lường xuất khẩu trực tiếp</w:t>
      </w:r>
      <w:r>
        <w:t xml:space="preserve">: FSTS = direct export intensity, không bao gồm indirect exports (qua intermediaries) và không-xuất-khẩu forms of internationalization (FDI, licensing). Doanh nghiệp QTH qua FDI nhưng không xuất khẩu trực tiếp sẽ có FSTS = 0 trong WBES — underestimation I→P effect cho các doanh nghiệp này.</w:t>
      </w:r>
    </w:p>
    <w:p>
      <w:pPr>
        <w:pStyle w:val="BodyText"/>
      </w:pPr>
      <w:r>
        <w:rPr>
          <w:bCs/>
          <w:b/>
        </w:rPr>
        <w:t xml:space="preserve">Hạn chế 5 — Selection into WBES sample</w:t>
      </w:r>
      <w:r>
        <w:t xml:space="preserve">: WBES sử dụng stratified random sampling nhưng giới hạn ở registered firms với 5+ lao động — bỏ sót informal sector (lớn ở Nhóm V và VI). Kết quả không generalize cho doanh nghiệp không đăng ký.</w:t>
      </w:r>
    </w:p>
    <w:p>
      <w:pPr>
        <w:pStyle w:val="BodyText"/>
      </w:pPr>
      <w:r>
        <w:rPr>
          <w:bCs/>
          <w:b/>
        </w:rPr>
        <w:t xml:space="preserve">Bảng 9.4</w:t>
      </w:r>
      <w:r>
        <w:t xml:space="preserve">.</w:t>
      </w:r>
      <w:r>
        <w:t xml:space="preserve"> </w:t>
      </w:r>
      <w:r>
        <w:rPr>
          <w:iCs/>
          <w:i/>
        </w:rPr>
        <w:t xml:space="preserve">Tóm tắt hạn chế, mức độ nghiêm trọng, và biện pháp giảm thiểu.</w:t>
      </w:r>
    </w:p>
    <w:tbl>
      <w:tblPr>
        <w:tblStyle w:val="Table"/>
        <w:tblW w:type="pct" w:w="5000"/>
        <w:tblLook w:firstRow="1" w:lastRow="0" w:firstColumn="0" w:lastColumn="0" w:noHBand="0" w:noVBand="0" w:val="0020"/>
        <w:jc w:val="start"/>
      </w:tblPr>
      <w:tblGrid>
        <w:gridCol w:w="1188"/>
        <w:gridCol w:w="1056"/>
        <w:gridCol w:w="2772"/>
        <w:gridCol w:w="2904"/>
      </w:tblGrid>
      <w:tr>
        <w:trPr>
          <w:tblHeader w:val="true"/>
        </w:trPr>
        <w:tc>
          <w:tcPr/>
          <w:p>
            <w:pPr>
              <w:pStyle w:val="Compact"/>
              <w:jc w:val="left"/>
            </w:pPr>
            <w:r>
              <w:t xml:space="preserve">Hạn chế</w:t>
            </w:r>
          </w:p>
        </w:tc>
        <w:tc>
          <w:tcPr/>
          <w:p>
            <w:pPr>
              <w:pStyle w:val="Compact"/>
              <w:jc w:val="left"/>
            </w:pPr>
            <w:r>
              <w:t xml:space="preserve">Mức độ</w:t>
            </w:r>
          </w:p>
        </w:tc>
        <w:tc>
          <w:tcPr/>
          <w:p>
            <w:pPr>
              <w:pStyle w:val="Compact"/>
              <w:jc w:val="left"/>
            </w:pPr>
            <w:r>
              <w:t xml:space="preserve">Giảm thiểu trong CĐ2</w:t>
            </w:r>
          </w:p>
        </w:tc>
        <w:tc>
          <w:tcPr/>
          <w:p>
            <w:pPr>
              <w:pStyle w:val="Compact"/>
              <w:jc w:val="left"/>
            </w:pPr>
            <w:r>
              <w:t xml:space="preserve">Ảnh hưởng đến kết luận</w:t>
            </w:r>
          </w:p>
        </w:tc>
      </w:tr>
      <w:tr>
        <w:tc>
          <w:tcPr/>
          <w:p>
            <w:pPr>
              <w:pStyle w:val="Compact"/>
              <w:jc w:val="left"/>
            </w:pPr>
            <w:r>
              <w:t xml:space="preserve">WBES không phải panel</w:t>
            </w:r>
          </w:p>
        </w:tc>
        <w:tc>
          <w:tcPr/>
          <w:p>
            <w:pPr>
              <w:pStyle w:val="Compact"/>
              <w:jc w:val="left"/>
            </w:pPr>
            <w:r>
              <w:t xml:space="preserve">Cao</w:t>
            </w:r>
          </w:p>
        </w:tc>
        <w:tc>
          <w:tcPr/>
          <w:p>
            <w:pPr>
              <w:pStyle w:val="Compact"/>
              <w:jc w:val="left"/>
            </w:pPr>
            <w:r>
              <w:t xml:space="preserve">IV identification + Year FE</w:t>
            </w:r>
          </w:p>
        </w:tc>
        <w:tc>
          <w:tcPr/>
          <w:p>
            <w:pPr>
              <w:pStyle w:val="Compact"/>
              <w:jc w:val="left"/>
            </w:pPr>
            <w:r>
              <w:t xml:space="preserve">Nhân quả cần diễn giải thận trọng</w:t>
            </w:r>
          </w:p>
        </w:tc>
      </w:tr>
      <w:tr>
        <w:tc>
          <w:tcPr/>
          <w:p>
            <w:pPr>
              <w:pStyle w:val="Compact"/>
              <w:jc w:val="left"/>
            </w:pPr>
            <w:r>
              <w:t xml:space="preserve">DAI Tier 1–2 only</w:t>
            </w:r>
          </w:p>
        </w:tc>
        <w:tc>
          <w:tcPr/>
          <w:p>
            <w:pPr>
              <w:pStyle w:val="Compact"/>
              <w:jc w:val="left"/>
            </w:pPr>
            <w:r>
              <w:t xml:space="preserve">Trung bình</w:t>
            </w:r>
          </w:p>
        </w:tc>
        <w:tc>
          <w:tcPr/>
          <w:p>
            <w:pPr>
              <w:pStyle w:val="Compact"/>
              <w:jc w:val="left"/>
            </w:pPr>
            <w:r>
              <w:t xml:space="preserve">Sensitivity với Tier 1 riêng</w:t>
            </w:r>
          </w:p>
        </w:tc>
        <w:tc>
          <w:tcPr/>
          <w:p>
            <w:pPr>
              <w:pStyle w:val="Compact"/>
              <w:jc w:val="left"/>
            </w:pPr>
            <w:r>
              <w:t xml:space="preserve">CDCM có thể understate Tier 3+ effects</w:t>
            </w:r>
          </w:p>
        </w:tc>
      </w:tr>
      <w:tr>
        <w:tc>
          <w:tcPr/>
          <w:p>
            <w:pPr>
              <w:pStyle w:val="Compact"/>
              <w:jc w:val="left"/>
            </w:pPr>
            <w:r>
              <w:t xml:space="preserve">Manager data thiếu</w:t>
            </w:r>
          </w:p>
        </w:tc>
        <w:tc>
          <w:tcPr/>
          <w:p>
            <w:pPr>
              <w:pStyle w:val="Compact"/>
              <w:jc w:val="left"/>
            </w:pPr>
            <w:r>
              <w:t xml:space="preserve">Trung bình</w:t>
            </w:r>
          </w:p>
        </w:tc>
        <w:tc>
          <w:tcPr/>
          <w:p>
            <w:pPr>
              <w:pStyle w:val="Compact"/>
              <w:jc w:val="left"/>
            </w:pPr>
            <w:r>
              <w:t xml:space="preserve">H4 trong BEE sub-sample</w:t>
            </w:r>
          </w:p>
        </w:tc>
        <w:tc>
          <w:tcPr/>
          <w:p>
            <w:pPr>
              <w:pStyle w:val="Compact"/>
              <w:jc w:val="left"/>
            </w:pPr>
            <w:r>
              <w:t xml:space="preserve">Power giảm; generaliz. hạn chế</w:t>
            </w:r>
          </w:p>
        </w:tc>
      </w:tr>
      <w:tr>
        <w:tc>
          <w:tcPr/>
          <w:p>
            <w:pPr>
              <w:pStyle w:val="Compact"/>
              <w:jc w:val="left"/>
            </w:pPr>
            <w:r>
              <w:t xml:space="preserve">FSTS direct only</w:t>
            </w:r>
          </w:p>
        </w:tc>
        <w:tc>
          <w:tcPr/>
          <w:p>
            <w:pPr>
              <w:pStyle w:val="Compact"/>
              <w:jc w:val="left"/>
            </w:pPr>
            <w:r>
              <w:t xml:space="preserve">Thấp-trung</w:t>
            </w:r>
          </w:p>
        </w:tc>
        <w:tc>
          <w:tcPr/>
          <w:p>
            <w:pPr>
              <w:pStyle w:val="Compact"/>
              <w:jc w:val="left"/>
            </w:pPr>
            <w:r>
              <w:t xml:space="preserve">Robustness: exporter dummy</w:t>
            </w:r>
          </w:p>
        </w:tc>
        <w:tc>
          <w:tcPr/>
          <w:p>
            <w:pPr>
              <w:pStyle w:val="Compact"/>
              <w:jc w:val="left"/>
            </w:pPr>
            <w:r>
              <w:t xml:space="preserve">I→P underestimate cho FDI-heavy firms</w:t>
            </w:r>
          </w:p>
        </w:tc>
      </w:tr>
      <w:tr>
        <w:tc>
          <w:tcPr/>
          <w:p>
            <w:pPr>
              <w:pStyle w:val="Compact"/>
              <w:jc w:val="left"/>
            </w:pPr>
            <w:r>
              <w:t xml:space="preserve">Registered firms only</w:t>
            </w:r>
          </w:p>
        </w:tc>
        <w:tc>
          <w:tcPr/>
          <w:p>
            <w:pPr>
              <w:pStyle w:val="Compact"/>
              <w:jc w:val="left"/>
            </w:pPr>
            <w:r>
              <w:t xml:space="preserve">Thấp</w:t>
            </w:r>
          </w:p>
        </w:tc>
        <w:tc>
          <w:tcPr/>
          <w:p>
            <w:pPr>
              <w:pStyle w:val="Compact"/>
              <w:jc w:val="left"/>
            </w:pPr>
            <w:r>
              <w:t xml:space="preserve">Scope limitation rõ ràng</w:t>
            </w:r>
          </w:p>
        </w:tc>
        <w:tc>
          <w:tcPr/>
          <w:p>
            <w:pPr>
              <w:pStyle w:val="Compact"/>
              <w:jc w:val="left"/>
            </w:pPr>
            <w:r>
              <w:t xml:space="preserve">Không generalize cho informal sector</w:t>
            </w:r>
          </w:p>
        </w:tc>
      </w:tr>
    </w:tbl>
    <w:p>
      <w:pPr>
        <w:pStyle w:val="BodyText"/>
      </w:pPr>
      <w:r>
        <w:rPr>
          <w:iCs/>
          <w:i/>
        </w:rPr>
        <w:t xml:space="preserve">Ghi chú mức độ</w:t>
      </w:r>
      <w:r>
        <w:t xml:space="preserve">: Cao = có thể ảnh hưởng core findings; Trung bình = ảnh hưởng phạm vi kết luận; Thấp = không ảnh hưởng core findings nhưng cần thừa nhận.</w:t>
      </w:r>
    </w:p>
    <w:bookmarkEnd w:id="91"/>
    <w:bookmarkStart w:id="92" w:name="hướng-nghiên-cứu-tương-lai"/>
    <w:p>
      <w:pPr>
        <w:pStyle w:val="Heading3"/>
      </w:pPr>
      <w:r>
        <w:t xml:space="preserve">9.7 Hướng nghiên cứu tương lai</w:t>
      </w:r>
    </w:p>
    <w:p>
      <w:pPr>
        <w:pStyle w:val="FirstParagraph"/>
      </w:pPr>
      <w:r>
        <w:t xml:space="preserve">Chuyên đề 2 đặt nền tảng lý thuyết và thực nghiệm cho ba luận văn trong chuỗi luận án:</w:t>
      </w:r>
    </w:p>
    <w:p>
      <w:pPr>
        <w:numPr>
          <w:ilvl w:val="0"/>
          <w:numId w:val="1017"/>
        </w:numPr>
      </w:pPr>
      <w:r>
        <w:rPr>
          <w:bCs/>
          <w:b/>
        </w:rPr>
        <w:t xml:space="preserve">P6 — Meta-analysis update</w:t>
      </w:r>
      <w:r>
        <w:t xml:space="preserve"> </w:t>
      </w:r>
      <w:r>
        <w:t xml:space="preserve">(</w:t>
      </w:r>
      <w:r>
        <w:rPr>
          <w:rStyle w:val="VerbatimChar"/>
        </w:rPr>
        <w:t xml:space="preserve">thesis/06_p6_meta_update_plan_vi.md</w:t>
      </w:r>
      <w:r>
        <w:t xml:space="preserve">): Cập nhật năm meta-analysis lớn với ~75 nghiên cứu mới (2017–2026), tập trung vào emerging market và digital moderation.</w:t>
      </w:r>
    </w:p>
    <w:p>
      <w:pPr>
        <w:numPr>
          <w:ilvl w:val="0"/>
          <w:numId w:val="1017"/>
        </w:numPr>
      </w:pPr>
      <w:r>
        <w:rPr>
          <w:bCs/>
          <w:b/>
        </w:rPr>
        <w:t xml:space="preserve">P7 — 25-country capstone</w:t>
      </w:r>
      <w:r>
        <w:t xml:space="preserve"> </w:t>
      </w:r>
      <w:r>
        <w:t xml:space="preserve">(</w:t>
      </w:r>
      <w:r>
        <w:rPr>
          <w:rStyle w:val="VerbatimChar"/>
        </w:rPr>
        <w:t xml:space="preserve">thesis/07_p7_capstone_design_vi.md</w:t>
      </w:r>
      <w:r>
        <w:t xml:space="preserve">): Áp dụng M0–M7 cho sub-pool 25 nền kinh tế đại diện từ tất cả nhóm ICRV — kiểm định toàn bộ H1–H6 đồng thời trên dữ liệu harmonized.</w:t>
      </w:r>
    </w:p>
    <w:p>
      <w:pPr>
        <w:numPr>
          <w:ilvl w:val="0"/>
          <w:numId w:val="1017"/>
        </w:numPr>
      </w:pPr>
      <w:r>
        <w:rPr>
          <w:bCs/>
          <w:b/>
        </w:rPr>
        <w:t xml:space="preserve">P8 — Pacific SIDS forced penalty</w:t>
      </w:r>
      <w:r>
        <w:t xml:space="preserve"> </w:t>
      </w:r>
      <w:r>
        <w:t xml:space="preserve">(</w:t>
      </w:r>
      <w:r>
        <w:rPr>
          <w:rStyle w:val="VerbatimChar"/>
        </w:rPr>
        <w:t xml:space="preserve">thesis/10_p8_pacific_sids_design_vi.md</w:t>
      </w:r>
      <w:r>
        <w:t xml:space="preserve">): Nghiên cứu chuyên biệt cho 7 SIDS (Nhóm VI) kiểm định forced penalty hypothesis và adaptive internationalization pathways.</w:t>
      </w:r>
    </w:p>
    <w:p>
      <w:pPr>
        <w:pStyle w:val="FirstParagraph"/>
      </w:pPr>
      <w:r>
        <w:t xml:space="preserve">Ngoài ra, khi BEE schema mở rộng Tier 3–4 digital indicators (AI deployment, integrated ERP), CDCM có thể được kiểm định đầy đủ hơn — cơ hội cho nghiên cứu panel với tracking firms across waves.</w:t>
      </w:r>
    </w:p>
    <w:p>
      <w:pPr>
        <w:pStyle w:val="BodyText"/>
      </w:pPr>
      <w:r>
        <w:rPr>
          <w:bCs/>
          <w:b/>
        </w:rPr>
        <w:t xml:space="preserve">Bảng 9.5</w:t>
      </w:r>
      <w:r>
        <w:t xml:space="preserve">.</w:t>
      </w:r>
      <w:r>
        <w:t xml:space="preserve"> </w:t>
      </w:r>
      <w:r>
        <w:rPr>
          <w:iCs/>
          <w:i/>
        </w:rPr>
        <w:t xml:space="preserve">Lộ trình nghiên cứu tương lai từ CĐ2 — kết nối với chuỗi luận án.</w:t>
      </w:r>
    </w:p>
    <w:tbl>
      <w:tblPr>
        <w:tblStyle w:val="Table"/>
        <w:tblW w:type="pct" w:w="5000"/>
        <w:tblLook w:firstRow="1" w:lastRow="0" w:firstColumn="0" w:lastColumn="0" w:noHBand="0" w:noVBand="0" w:val="0020"/>
        <w:jc w:val="start"/>
      </w:tblPr>
      <w:tblGrid>
        <w:gridCol w:w="1476"/>
        <w:gridCol w:w="1342"/>
        <w:gridCol w:w="2818"/>
        <w:gridCol w:w="2282"/>
      </w:tblGrid>
      <w:tr>
        <w:trPr>
          <w:tblHeader w:val="true"/>
        </w:trPr>
        <w:tc>
          <w:tcPr/>
          <w:p>
            <w:pPr>
              <w:pStyle w:val="Compact"/>
              <w:jc w:val="left"/>
            </w:pPr>
            <w:r>
              <w:t xml:space="preserve">Nghiên cứu</w:t>
            </w:r>
          </w:p>
        </w:tc>
        <w:tc>
          <w:tcPr/>
          <w:p>
            <w:pPr>
              <w:pStyle w:val="Compact"/>
              <w:jc w:val="left"/>
            </w:pPr>
            <w:r>
              <w:t xml:space="preserve">Timeline</w:t>
            </w:r>
          </w:p>
        </w:tc>
        <w:tc>
          <w:tcPr/>
          <w:p>
            <w:pPr>
              <w:pStyle w:val="Compact"/>
              <w:jc w:val="left"/>
            </w:pPr>
            <w:r>
              <w:t xml:space="preserve">Dữ liệu bổ sung cần</w:t>
            </w:r>
          </w:p>
        </w:tc>
        <w:tc>
          <w:tcPr/>
          <w:p>
            <w:pPr>
              <w:pStyle w:val="Compact"/>
              <w:jc w:val="left"/>
            </w:pPr>
            <w:r>
              <w:t xml:space="preserve">Câu hỏi mở rộng</w:t>
            </w:r>
          </w:p>
        </w:tc>
      </w:tr>
      <w:tr>
        <w:tc>
          <w:tcPr/>
          <w:p>
            <w:pPr>
              <w:pStyle w:val="Compact"/>
              <w:jc w:val="left"/>
            </w:pPr>
            <w:r>
              <w:t xml:space="preserve">P6 — Meta-analysis</w:t>
            </w:r>
          </w:p>
        </w:tc>
        <w:tc>
          <w:tcPr/>
          <w:p>
            <w:pPr>
              <w:pStyle w:val="Compact"/>
              <w:jc w:val="left"/>
            </w:pPr>
            <w:r>
              <w:t xml:space="preserve">2026 Q3</w:t>
            </w:r>
          </w:p>
        </w:tc>
        <w:tc>
          <w:tcPr/>
          <w:p>
            <w:pPr>
              <w:pStyle w:val="Compact"/>
              <w:jc w:val="left"/>
            </w:pPr>
            <w:r>
              <w:t xml:space="preserve">~75 papers 2017–2026</w:t>
            </w:r>
          </w:p>
        </w:tc>
        <w:tc>
          <w:tcPr/>
          <w:p>
            <w:pPr>
              <w:pStyle w:val="Compact"/>
              <w:jc w:val="left"/>
            </w:pPr>
            <w:r>
              <w:t xml:space="preserve">Moderator publication bias correction; digital era effect size</w:t>
            </w:r>
          </w:p>
        </w:tc>
      </w:tr>
      <w:tr>
        <w:tc>
          <w:tcPr/>
          <w:p>
            <w:pPr>
              <w:pStyle w:val="Compact"/>
              <w:jc w:val="left"/>
            </w:pPr>
            <w:r>
              <w:t xml:space="preserve">P7 — 25-country capstone</w:t>
            </w:r>
          </w:p>
        </w:tc>
        <w:tc>
          <w:tcPr/>
          <w:p>
            <w:pPr>
              <w:pStyle w:val="Compact"/>
              <w:jc w:val="left"/>
            </w:pPr>
            <w:r>
              <w:t xml:space="preserve">2026 Q4</w:t>
            </w:r>
          </w:p>
        </w:tc>
        <w:tc>
          <w:tcPr/>
          <w:p>
            <w:pPr>
              <w:pStyle w:val="Compact"/>
              <w:jc w:val="left"/>
            </w:pPr>
            <w:r>
              <w:t xml:space="preserve">Harmonized BEE 2019–25</w:t>
            </w:r>
          </w:p>
        </w:tc>
        <w:tc>
          <w:tcPr/>
          <w:p>
            <w:pPr>
              <w:pStyle w:val="Compact"/>
              <w:jc w:val="left"/>
            </w:pPr>
            <w:r>
              <w:t xml:space="preserve">H1–H6 đồng thời; cross-ICRV turning point gradient</w:t>
            </w:r>
          </w:p>
        </w:tc>
      </w:tr>
      <w:tr>
        <w:tc>
          <w:tcPr/>
          <w:p>
            <w:pPr>
              <w:pStyle w:val="Compact"/>
              <w:jc w:val="left"/>
            </w:pPr>
            <w:r>
              <w:t xml:space="preserve">P8 — SIDS forced penalty</w:t>
            </w:r>
          </w:p>
        </w:tc>
        <w:tc>
          <w:tcPr/>
          <w:p>
            <w:pPr>
              <w:pStyle w:val="Compact"/>
              <w:jc w:val="left"/>
            </w:pPr>
            <w:r>
              <w:t xml:space="preserve">2027 Q1</w:t>
            </w:r>
          </w:p>
        </w:tc>
        <w:tc>
          <w:tcPr/>
          <w:p>
            <w:pPr>
              <w:pStyle w:val="Compact"/>
              <w:jc w:val="left"/>
            </w:pPr>
            <w:r>
              <w:t xml:space="preserve">Pacific WBES + ADB SIDS data</w:t>
            </w:r>
          </w:p>
        </w:tc>
        <w:tc>
          <w:tcPr/>
          <w:p>
            <w:pPr>
              <w:pStyle w:val="Compact"/>
              <w:jc w:val="left"/>
            </w:pPr>
            <w:r>
              <w:t xml:space="preserve">Adaptive I→P model; regional cooperation effects</w:t>
            </w:r>
          </w:p>
        </w:tc>
      </w:tr>
      <w:tr>
        <w:tc>
          <w:tcPr/>
          <w:p>
            <w:pPr>
              <w:pStyle w:val="Compact"/>
              <w:jc w:val="left"/>
            </w:pPr>
            <w:r>
              <w:t xml:space="preserve">CDCM Tier 3–4 extension</w:t>
            </w:r>
          </w:p>
        </w:tc>
        <w:tc>
          <w:tcPr/>
          <w:p>
            <w:pPr>
              <w:pStyle w:val="Compact"/>
              <w:jc w:val="left"/>
            </w:pPr>
            <w:r>
              <w:t xml:space="preserve">2027+</w:t>
            </w:r>
          </w:p>
        </w:tc>
        <w:tc>
          <w:tcPr/>
          <w:p>
            <w:pPr>
              <w:pStyle w:val="Compact"/>
              <w:jc w:val="left"/>
            </w:pPr>
            <w:r>
              <w:t xml:space="preserve">BEE schema với AI indicators</w:t>
            </w:r>
          </w:p>
        </w:tc>
        <w:tc>
          <w:tcPr/>
          <w:p>
            <w:pPr>
              <w:pStyle w:val="Compact"/>
              <w:jc w:val="left"/>
            </w:pPr>
            <w:r>
              <w:t xml:space="preserve">DAI full spectrum; platform orchestration moderator</w:t>
            </w:r>
          </w:p>
        </w:tc>
      </w:tr>
      <w:tr>
        <w:tc>
          <w:tcPr/>
          <w:p>
            <w:pPr>
              <w:pStyle w:val="Compact"/>
              <w:jc w:val="left"/>
            </w:pPr>
            <w:r>
              <w:t xml:space="preserve">Panel follow-up</w:t>
            </w:r>
          </w:p>
        </w:tc>
        <w:tc>
          <w:tcPr/>
          <w:p>
            <w:pPr>
              <w:pStyle w:val="Compact"/>
              <w:jc w:val="left"/>
            </w:pPr>
            <w:r>
              <w:t xml:space="preserve">2028+</w:t>
            </w:r>
          </w:p>
        </w:tc>
        <w:tc>
          <w:tcPr/>
          <w:p>
            <w:pPr>
              <w:pStyle w:val="Compact"/>
              <w:jc w:val="left"/>
            </w:pPr>
            <w:r>
              <w:t xml:space="preserve">WBES panel component (5-country)</w:t>
            </w:r>
          </w:p>
        </w:tc>
        <w:tc>
          <w:tcPr/>
          <w:p>
            <w:pPr>
              <w:pStyle w:val="Compact"/>
              <w:jc w:val="left"/>
            </w:pPr>
            <w:r>
              <w:t xml:space="preserve">Causal panel estimation; within-firm learning effects</w:t>
            </w:r>
          </w:p>
        </w:tc>
      </w:tr>
    </w:tbl>
    <w:p>
      <w:pPr>
        <w:pStyle w:val="BodyText"/>
      </w:pPr>
      <w:r>
        <w:rPr>
          <w:bCs/>
          <w:b/>
        </w:rPr>
        <w:t xml:space="preserve">Hướng nghiên cứu lý thuyết</w:t>
      </w:r>
      <w:r>
        <w:t xml:space="preserve">: CDCM có thể được mở rộng theo ba hướng lý thuyết: (1)</w:t>
      </w:r>
      <w:r>
        <w:t xml:space="preserve"> </w:t>
      </w:r>
      <w:r>
        <w:rPr>
          <w:bCs/>
          <w:b/>
        </w:rPr>
        <w:t xml:space="preserve">Tích hợp Ecosystem theory</w:t>
      </w:r>
      <w:r>
        <w:t xml:space="preserve"> </w:t>
      </w:r>
      <w:r>
        <w:t xml:space="preserve">— DAI không chỉ là firm-level resource mà còn là ecosystem participation indicator (Adner, 2017); (2)</w:t>
      </w:r>
      <w:r>
        <w:t xml:space="preserve"> </w:t>
      </w:r>
      <w:r>
        <w:rPr>
          <w:bCs/>
          <w:b/>
        </w:rPr>
        <w:t xml:space="preserve">Tích hợp Ambidexterity theory</w:t>
      </w:r>
      <w:r>
        <w:t xml:space="preserve"> </w:t>
      </w:r>
      <w:r>
        <w:t xml:space="preserve">— TCI×DAI có thể phản ánh exploration–exploitation balance; (3)</w:t>
      </w:r>
      <w:r>
        <w:t xml:space="preserve"> </w:t>
      </w:r>
      <w:r>
        <w:rPr>
          <w:bCs/>
          <w:b/>
        </w:rPr>
        <w:t xml:space="preserve">Tích hợp Resilience theory</w:t>
      </w:r>
      <w:r>
        <w:t xml:space="preserve"> </w:t>
      </w:r>
      <w:r>
        <w:t xml:space="preserve">— trong giai đoạn disruption (COVID-19, AI shock), DAI có thể đóng vai trò buffer giúp duy trì I→P relationship khi FSTS bị shock.</w:t>
      </w:r>
    </w:p>
    <w:bookmarkEnd w:id="92"/>
    <w:bookmarkStart w:id="93" w:name="kết-luận"/>
    <w:p>
      <w:pPr>
        <w:pStyle w:val="Heading3"/>
      </w:pPr>
      <w:r>
        <w:t xml:space="preserve">9.8 Kết luận</w:t>
      </w:r>
    </w:p>
    <w:p>
      <w:pPr>
        <w:pStyle w:val="FirstParagraph"/>
      </w:pPr>
      <w:r>
        <w:t xml:space="preserve">Chuyên đề 2 xây dựng một mô hình nghiên cứu toàn diện về quan hệ quốc tế hóa → hiệu quả (I→P) cho châu Á và Thái Bình Dương, tích hợp năm tầng lý thuyết (Uppsala, RBV, Institutional Theory, Upper Echelons, Digital Capability Lens)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khả nghiệm của khung CĐ2 trước khi áp dụng cho toàn pool.</w:t>
      </w:r>
    </w:p>
    <w:p>
      <w:pPr>
        <w:pStyle w:val="BodyText"/>
      </w:pPr>
      <w:r>
        <w:t xml:space="preserve">Đóng góp trung tâm của CĐ2 — CDCM (Context-Contingent Digital Capability Model) — giải thích tại sao DAI hoạt động như conditional scaling resource chứ không phải uniform premium: tác động phụ thuộc đồng thời vào regime thể chế, mức FSTS, và digital saturation của nền kinh tế. Đây là bước tiến lý thuyết quan trọng, kết nối digital IB theory với institutional theory trong một khung thống nhất và có thể kiểm định.</w:t>
      </w:r>
    </w:p>
    <w:p>
      <w:pPr>
        <w:pStyle w:val="BodyText"/>
      </w:pPr>
      <w:r>
        <w:rPr>
          <w:bCs/>
          <w:b/>
        </w:rPr>
        <w:t xml:space="preserve">Thông điệp chính sách cốt lõi</w:t>
      </w:r>
      <w:r>
        <w:t xml:space="preserve">: Không có</w:t>
      </w:r>
      <w:r>
        <w:t xml:space="preserve"> </w:t>
      </w:r>
      <w:r>
        <w:t xml:space="preserve">“</w:t>
      </w:r>
      <w:r>
        <w:t xml:space="preserve">một công thức</w:t>
      </w:r>
      <w:r>
        <w:t xml:space="preserve">”</w:t>
      </w:r>
      <w:r>
        <w:t xml:space="preserve"> </w:t>
      </w:r>
      <w:r>
        <w:t xml:space="preserve">duy nhất cho QTH thành công — regime thể chế, năng lực công nghệ nội tại, và mức độ số hóa cùng quyết định hiệu quả của chiến lược xuất khẩu. Chính sách và chiến lược doanh nghiệp cần được hiệu chỉnh theo vị trí trên bản đồ ICRV, không phải áp dụng mô hình phổ quát từ các nền kinh tế tiên tiến vào bối cảnh đang nổi.</w:t>
      </w:r>
    </w:p>
    <w:p>
      <w:pPr>
        <w:pStyle w:val="BodyText"/>
      </w:pPr>
      <w:r>
        <w:rPr>
          <w:bCs/>
          <w:b/>
        </w:rPr>
        <w:t xml:space="preserve">Kết nối chuỗi luận án</w:t>
      </w:r>
      <w:r>
        <w:t xml:space="preserve">: CĐ2 là nền tảng lý thuyết-phương pháp cho ba nghiên cứu tiếp theo (P6 meta-analysis, P7 25-country capstone, P8 SIDS). Kết quả từ toàn pool 47 nền kinh tế sẽ là bằng chứng đỉnh cao, tổng hợp và xác nhận (hoặc bác bỏ có lý) các phát hiện từ các nghiên cứu đơn quốc gia neo đậu — tạo thành đóng góp luận án coherent, publishable, và có ý nghĩa chính sách thực tiễn cho khu vực châu Á và Thái Bình Dương.</w:t>
      </w:r>
    </w:p>
    <w:p>
      <w:r>
        <w:pict>
          <v:rect style="width:0;height:1.5pt" o:hralign="center" o:hrstd="t" o:hr="t"/>
        </w:pict>
      </w:r>
    </w:p>
    <w:bookmarkEnd w:id="93"/>
    <w:bookmarkEnd w:id="94"/>
    <w:bookmarkStart w:id="95" w:name="tài-liệu-tham-khảo"/>
    <w:p>
      <w:pPr>
        <w:pStyle w:val="Heading2"/>
      </w:pPr>
      <w:r>
        <w:t xml:space="preserve">TÀI LIỆU THAM KHẢO</w:t>
      </w:r>
    </w:p>
    <w:p>
      <w:pPr>
        <w:pStyle w:val="FirstParagraph"/>
      </w:pPr>
      <w:r>
        <w:rPr>
          <w:iCs/>
          <w:i/>
        </w:rPr>
        <w:t xml:space="preserve">(Tài liệu tham khảo đầy đủ theo chuẩn APA 7th được tổng hợp trong</w:t>
      </w:r>
      <w:r>
        <w:rPr>
          <w:iCs/>
          <w:i/>
        </w:rPr>
        <w:t xml:space="preserve"> </w:t>
      </w:r>
      <w:r>
        <w:rPr>
          <w:rStyle w:val="VerbatimChar"/>
          <w:iCs/>
          <w:i/>
        </w:rPr>
        <w:t xml:space="preserve">thesis/04_references_apa7.md</w:t>
      </w:r>
      <w:r>
        <w:rPr>
          <w:iCs/>
          <w:i/>
        </w:rPr>
        <w:t xml:space="preserve"> </w:t>
      </w:r>
      <w:r>
        <w:rPr>
          <w:iCs/>
          <w:i/>
        </w:rPr>
        <w:t xml:space="preserve">v2.6. Dưới đây liệt kê các tài liệu được trích dẫn lần đầu trong Phần 3 hoặc cần bổ sung vào</w:t>
      </w:r>
      <w:r>
        <w:rPr>
          <w:iCs/>
          <w:i/>
        </w:rPr>
        <w:t xml:space="preserve"> </w:t>
      </w:r>
      <w:r>
        <w:rPr>
          <w:rStyle w:val="VerbatimChar"/>
          <w:iCs/>
          <w:i/>
        </w:rPr>
        <w:t xml:space="preserve">04_references_apa7.md</w:t>
      </w:r>
      <w:r>
        <w:rPr>
          <w:iCs/>
          <w:i/>
        </w:rPr>
        <w:t xml:space="preserv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 Journal of Asia Business Studies. (P3 — Việt Nam)</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 Management International Review. (P4 — Singapore)</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[in press]</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2026-05-12T17:50:17Z</dcterms:created>
  <dcterms:modified xsi:type="dcterms:W3CDTF">2026-05-12T17:50:17Z</dcterms:modified>
</cp:coreProperties>
</file>

<file path=docProps/custom.xml><?xml version="1.0" encoding="utf-8"?>
<Properties xmlns="http://schemas.openxmlformats.org/officeDocument/2006/custom-properties" xmlns:vt="http://schemas.openxmlformats.org/officeDocument/2006/docPropsVTypes"/>
</file>