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mẫu gộp)</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gradient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n=2.295 (2,6% mẫu gộp);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18.957</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 Timor-Leste</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kinh tế</w:t>
            </w:r>
          </w:p>
        </w:tc>
        <w:tc>
          <w:tcPr/>
          <w:p>
            <w:pPr>
              <w:pStyle w:val="Compact"/>
              <w:jc w:val="center"/>
            </w:pPr>
            <w:r>
              <w:rPr>
                <w:bCs/>
                <w:b/>
              </w:rPr>
              <w:t xml:space="preserve">88.869</w:t>
            </w:r>
            <w:r>
              <w:t xml:space="preserve"> </w:t>
            </w:r>
            <w:r>
              <w:t xml:space="preserve">(mẫu gộp mô tả)</w:t>
            </w:r>
          </w:p>
        </w:tc>
      </w:tr>
    </w:tbl>
    <w:p>
      <w:pPr>
        <w:pStyle w:val="BodyText"/>
      </w:pPr>
      <w:r>
        <w:rPr>
          <w:iCs/>
          <w:i/>
        </w:rPr>
        <w:t xml:space="preserve">Ghi chú: Cột N là số doanh nghiệp trong mẫu gộp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(mẫu gộp phân loại 96.415 / 52 nền); vòng tái ước lượng 50 nền đã hoàn tất nên mô tả và ước lượng nay dùng chung MỘT khung 50 nền (hồi quy M2 N=81.022; M5 N=79.080).</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Mẫu gộp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mẫu gộp 17 nền châu Á mới nổi (~40.633 doanh nghiệp) của Đỗ &amp; Phan (2026, VEFR), gấp hơn 2 lần. Phân bố theo nhóm ICRV: Nhóm IV Chuyển đổi TB-thấp 45.003 (50,6%), Nhóm V Đang nổi 18.957 (21,3%), Nhóm III Trung bình cao 13.993 (15,7%), Nhóm I Advanced đổi mới 6.390 (7,2%), Nhóm VI SIDS 2.295 (2,6%), Nhóm II Advanced tài nguyên 2.231 (2,5%).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mẫu gộp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mẫu gộp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(số liệu thị trường khoáng sản 2024, nguồn cần bổ sung khi hoàn thiện).</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mẫu gộp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2026-06-18T17:48:10Z</dcterms:created>
  <dcterms:modified xsi:type="dcterms:W3CDTF">2026-06-18T17:48:10Z</dcterms:modified>
</cp:coreProperties>
</file>

<file path=docProps/custom.xml><?xml version="1.0" encoding="utf-8"?>
<Properties xmlns="http://schemas.openxmlformats.org/officeDocument/2006/custom-properties" xmlns:vt="http://schemas.openxmlformats.org/officeDocument/2006/docPropsVTypes"/>
</file>