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meta-analytic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27" w:name="Xed285cd0261846a13dee28de69c0403b250498d"/>
    <w:p>
      <w:pPr>
        <w:pStyle w:val="Heading2"/>
      </w:pPr>
      <w:r>
        <w:t xml:space="preserve">4.1 Thực trạng quốc tế hóa và hiệu quả hoạt động kinh doanh tại châu Á</w:t>
      </w:r>
    </w:p>
    <w:bookmarkStart w:id="22"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Upper-middle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Lower-middle transition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Emerging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proxy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bookmarkEnd w:id="22"/>
    <w:bookmarkStart w:id="23"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3"/>
    <w:bookmarkStart w:id="24"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Một biểu hiện khác của bão hòa Tier-1 nằm ở tương quan giữa website và năng suất: phần bù tương quan của DAI Tier-1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Tier-1 nhiều hơn là giới hạn của số hóa, một vấn đề đo lường cần phân biệt với quan hệ nhân quả thực.</w:t>
      </w:r>
    </w:p>
    <w:bookmarkEnd w:id="24"/>
    <w:bookmarkStart w:id="25"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bookmarkEnd w:id="25"/>
    <w:bookmarkStart w:id="26"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pool con riêng không liên quan Nhật Bản: P8 (FIP) trên 7 nền Pacific SIDS và P9 (ngưỡng) trên Ấn Độ. Ngoài ra, nghiên cứu thành phần P10 kiểm định chuyên sâu quan hệ I–P tại Nhật Bản (xem Mục 4.6.2).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Tier-1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pool,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văn liệu về trần kính trong quản trị doanh nghiệp Nhật Bản. Các đặc trưng này được khai thác đầy đủ trong nghiên cứu thành phần P10, kiểm định chuyên sâu quan hệ I–P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(xem thêm Mục 4.6.2).</w:t>
      </w:r>
    </w:p>
    <w:p>
      <w:r>
        <w:pict>
          <v:rect style="width:0;height:1.5pt" o:hralign="center" o:hrstd="t" o:hr="t"/>
        </w:pict>
      </w:r>
    </w:p>
    <w:bookmarkEnd w:id="26"/>
    <w:bookmarkEnd w:id="27"/>
    <w:bookmarkStart w:id="32" w:name="Xe0084a7c2f7e752cafc4091ca0758f37f91bfa0"/>
    <w:p>
      <w:pPr>
        <w:pStyle w:val="Heading2"/>
      </w:pPr>
      <w:r>
        <w:t xml:space="preserve">4.2 Kết quả tổng hợp định lượng: Meta-analysis ba tầng (P6)</w:t>
      </w:r>
    </w:p>
    <w:bookmarkStart w:id="28"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28"/>
    <w:bookmarkStart w:id="29"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văn liệu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văn liệu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9"/>
    <w:bookmarkStart w:id="30" w:name="X0fe7021f65141f72ccca43dd2595712a4bb11b5"/>
    <w:p>
      <w:pPr>
        <w:pStyle w:val="Heading3"/>
      </w:pPr>
      <w:r>
        <w:t xml:space="preserve">4.2.3 Điều tiết bởi chế độ thể chế: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(Nhóm VI), là biến điều tiết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meta-analysis cấp nghiên cứu, dùng hệ ICRV 5-regime rút gọn [I Advanced-Innovation, II Upper-Middle, III Emerging, FR Frontier/SIDS, MX Mixed], khác với hệ 6 nhóm cấp doanh nghiệp dùng ở Mục 4.1 và Mục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Mục 4.2 giữ theo phân loại gốc của P6.)</w:t>
      </w:r>
    </w:p>
    <w:bookmarkEnd w:id="30"/>
    <w:bookmarkStart w:id="31"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pPr>
        <w:pStyle w:val="BodyText"/>
      </w:pPr>
      <w:r>
        <w:t xml:space="preserve">Phát hiện publication bias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publication bias, cấu trúc dị biệt này gợi ý một cách diễn giải lại</w:t>
      </w:r>
      <w:r>
        <w:t xml:space="preserve"> </w:t>
      </w:r>
      <w:r>
        <w:t xml:space="preserve">“</w:t>
      </w:r>
      <w:r>
        <w:t xml:space="preserve">câu đố heterogeneity</w:t>
      </w:r>
      <w:r>
        <w:t xml:space="preserve">”</w:t>
      </w:r>
      <w:r>
        <w:t xml:space="preserve"> </w:t>
      </w:r>
      <w:r>
        <w:t xml:space="preserve">trong văn liệu I–P: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meta-analysis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heterogeneity so với việc tích lũy thêm meta-analysis trên dữ liệu thứ cấp không đồng nhất.</w:t>
      </w:r>
    </w:p>
    <w:p>
      <w:r>
        <w:pict>
          <v:rect style="width:0;height:1.5pt" o:hralign="center" o:hrstd="t" o:hr="t"/>
        </w:pict>
      </w:r>
    </w:p>
    <w:bookmarkEnd w:id="31"/>
    <w:bookmarkEnd w:id="32"/>
    <w:bookmarkStart w:id="36" w:name="Xae571c1410747d630a72c4d12985bac375822ae"/>
    <w:p>
      <w:pPr>
        <w:pStyle w:val="Heading2"/>
      </w:pPr>
      <w:r>
        <w:t xml:space="preserve">4.3 Kết quả bối cảnh thể chế tiên tiến: Đổi mới: Singapore (P4)</w:t>
      </w:r>
    </w:p>
    <w:bookmarkStart w:id="33"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33"/>
    <w:bookmarkStart w:id="34"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4"/>
    <w:bookmarkStart w:id="35"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p>
      <w:r>
        <w:pict>
          <v:rect style="width:0;height:1.5pt" o:hralign="center" o:hrstd="t" o:hr="t"/>
        </w:pict>
      </w:r>
    </w:p>
    <w:bookmarkEnd w:id="35"/>
    <w:bookmarkEnd w:id="36"/>
    <w:bookmarkStart w:id="40" w:name="Xabe361c2d5961cf19ce7ab2bd5d9bc6d758140a"/>
    <w:p>
      <w:pPr>
        <w:pStyle w:val="Heading2"/>
      </w:pPr>
      <w:r>
        <w:t xml:space="preserve">4.4 Kết quả bối cảnh thể chế trung bình cao: Trung Quốc, 2012–2024 (P5)</w:t>
      </w:r>
    </w:p>
    <w:bookmarkStart w:id="37"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37"/>
    <w:bookmarkStart w:id="38" w:name="Xe662776ac4ed20d7263c0278e37e5e670eb65fc"/>
    <w:p>
      <w:pPr>
        <w:pStyle w:val="Heading3"/>
      </w:pPr>
      <w:r>
        <w:t xml:space="preserve">4.4.2 Kiểm định tính ổn định theo thời gian: Temporal Stability</w:t>
      </w:r>
    </w:p>
    <w:p>
      <w:pPr>
        <w:pStyle w:val="FirstParagraph"/>
      </w:pPr>
      <w:r>
        <w:t xml:space="preserve">Luận án đặt câu hỏi thực nghiệm quan trọng: liệu hình dạng phi tuyến và điểm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38"/>
    <w:bookmarkStart w:id="39"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9"/>
    <w:bookmarkEnd w:id="40"/>
    <w:bookmarkStart w:id="45" w:name="Xdbd5cc67084304ba85b73781c0cb0c00b74055b"/>
    <w:p>
      <w:pPr>
        <w:pStyle w:val="Heading2"/>
      </w:pPr>
      <w:r>
        <w:t xml:space="preserve">4.5 Kết quả bối cảnh chuyển đổi bậc thấp–trung: Việt Nam (P3)</w:t>
      </w:r>
    </w:p>
    <w:bookmarkStart w:id="41"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41"/>
    <w:bookmarkStart w:id="42" w:name="điểm-điểm-uốn-theo-làn-sóng"/>
    <w:p>
      <w:pPr>
        <w:pStyle w:val="Heading3"/>
      </w:pPr>
      <w:r>
        <w:t xml:space="preserve">4.5.2 Điểm điểm uốn theo làn sóng</w:t>
      </w:r>
    </w:p>
    <w:p>
      <w:pPr>
        <w:pStyle w:val="FirstParagraph"/>
      </w:pPr>
      <w:r>
        <w:t xml:space="preserve">Điểm uốn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42"/>
    <w:bookmarkStart w:id="43"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43"/>
    <w:bookmarkStart w:id="44"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4"/>
    <w:bookmarkEnd w:id="45"/>
    <w:bookmarkStart w:id="52" w:name="X561afa853383c674354c1acb167a55cae3a018f"/>
    <w:p>
      <w:pPr>
        <w:pStyle w:val="Heading2"/>
      </w:pPr>
      <w:r>
        <w:t xml:space="preserve">4.6 Kết quả kiểm định toàn mẫu đa bối cảnh châu Á (P7)</w:t>
      </w:r>
    </w:p>
    <w:bookmarkStart w:id="46"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4.4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4.4.</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46"/>
    <w:bookmarkStart w:id="50"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4.5.</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4.4.</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1. Họ đường cong I–P phụ thuộc chế độ thể chế ICRV" title="" id="48" name="Picture"/>
            <a:graphic>
              <a:graphicData uri="http://schemas.openxmlformats.org/drawingml/2006/picture">
                <pic:pic>
                  <pic:nvPicPr>
                    <pic:cNvPr descr="figures/fig_4_x_ip_curves_icrv_gradient.png" id="49" name="Picture"/>
                    <pic:cNvPicPr>
                      <a:picLocks noChangeArrowheads="1" noChangeAspect="1"/>
                    </pic:cNvPicPr>
                  </pic:nvPicPr>
                  <pic:blipFill>
                    <a:blip r:embed="rId47"/>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50"/>
    <w:bookmarkStart w:id="51"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0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w:t>
      </w:r>
    </w:p>
    <w:p>
      <w:r>
        <w:pict>
          <v:rect style="width:0;height:1.5pt" o:hralign="center" o:hrstd="t" o:hr="t"/>
        </w:pict>
      </w:r>
    </w:p>
    <w:bookmarkEnd w:id="51"/>
    <w:bookmarkEnd w:id="52"/>
    <w:bookmarkStart w:id="57" w:name="X42f69945b56833cca239d45dc5864a7be6f74d7"/>
    <w:p>
      <w:pPr>
        <w:pStyle w:val="Heading2"/>
      </w:pPr>
      <w:r>
        <w:t xml:space="preserve">4.7 Kết quả trường hợp biên SIDS: Các nền kinh tế đảo nhỏ đang phát triển (P8)</w:t>
      </w:r>
    </w:p>
    <w:bookmarkStart w:id="53"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53"/>
    <w:bookmarkStart w:id="54"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điểm uốn trong phạm vi dữ liệu.</w:t>
      </w:r>
    </w:p>
    <w:bookmarkEnd w:id="54"/>
    <w:bookmarkStart w:id="55"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construct lý thuyết mới chưa có trong văn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văn liệu internationalization–firm performance cho khu vực Thái Bình Dương.</w:t>
      </w:r>
    </w:p>
    <w:bookmarkEnd w:id="55"/>
    <w:bookmarkStart w:id="56"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p>
      <w:r>
        <w:pict>
          <v:rect style="width:0;height:1.5pt" o:hralign="center" o:hrstd="t" o:hr="t"/>
        </w:pict>
      </w:r>
    </w:p>
    <w:bookmarkEnd w:id="56"/>
    <w:bookmarkEnd w:id="57"/>
    <w:bookmarkStart w:id="58"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4.6.</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p>
      <w:r>
        <w:pict>
          <v:rect style="width:0;height:1.5pt" o:hralign="center" o:hrstd="t" o:hr="t"/>
        </w:pict>
      </w:r>
    </w:p>
    <w:bookmarkEnd w:id="58"/>
    <w:bookmarkStart w:id="59" w:name="X3f9ed6ea86262c6caa26e51d1f917462628cea6"/>
    <w:p>
      <w:pPr>
        <w:pStyle w:val="Heading2"/>
      </w:pPr>
      <w:r>
        <w:t xml:space="preserve">4.9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văn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Tier-1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t xml:space="preserve">Bốn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59"/>
    <w:bookmarkStart w:id="60" w:name="tổng-hợp-kết-quả-theo-hệ-giả-thuyết"/>
    <w:p>
      <w:pPr>
        <w:pStyle w:val="Heading2"/>
      </w:pPr>
      <w:r>
        <w:t xml:space="preserve">4.10 Tổng hợp kết quả theo hệ giả thuyết</w:t>
      </w:r>
    </w:p>
    <w:p>
      <w:pPr>
        <w:pStyle w:val="FirstParagraph"/>
      </w:pPr>
      <w:r>
        <w:t xml:space="preserve">Trước khi tổng hợp theo hệ giả thuyết, Bảng 4.7 hợp nhất các ước lượng trụ cột của bảy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4.7.</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 I–P</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IV)</w:t>
            </w:r>
          </w:p>
        </w:tc>
        <w:tc>
          <w:tcPr/>
          <w:p>
            <w:pPr>
              <w:pStyle w:val="Compact"/>
              <w:jc w:val="left"/>
            </w:pPr>
            <w:r>
              <w:t xml:space="preserve">null (Tier-1)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4.559</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n/a</w:t>
            </w:r>
          </w:p>
        </w:tc>
      </w:tr>
      <w:tr>
        <w:tc>
          <w:tcPr/>
          <w:p>
            <w:pPr>
              <w:pStyle w:val="Compact"/>
              <w:jc w:val="left"/>
            </w:pPr>
            <w:r>
              <w:t xml:space="preserve">P6</w:t>
            </w:r>
          </w:p>
        </w:tc>
        <w:tc>
          <w:tcPr/>
          <w:p>
            <w:pPr>
              <w:pStyle w:val="Compact"/>
              <w:jc w:val="left"/>
            </w:pPr>
            <w:r>
              <w:t xml:space="preserve">Meta-analysis (toàn cầu)</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n/a</w:t>
            </w:r>
          </w:p>
        </w:tc>
        <w:tc>
          <w:tcPr/>
          <w:p>
            <w:pPr>
              <w:pStyle w:val="Compact"/>
              <w:jc w:val="left"/>
            </w:pPr>
            <w:r>
              <w:t xml:space="preserve">n/a</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SIDS Pacific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n/a</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tổng hợp từ các nghiên cứu thành phần P3–P9. ** p &lt; ,01; *** p &lt; ,001. Điểm uốn xác nhận bằng kiểm định Lind–Mehlum (2010). Điểm uốn P7 = 43,6% ở mô hình đầy đủ M5 trên khung 50 nền (dải 43,6–51,5% giữa các đặc tả).</w:t>
      </w:r>
    </w:p>
    <w:p>
      <w:pPr>
        <w:pStyle w:val="BodyText"/>
      </w:pPr>
      <w:r>
        <w:t xml:space="preserve">Bảng 4.7 làm nổi bật ba quy luật xuyên suốt. Thứ nhất,</w:t>
      </w:r>
      <w:r>
        <w:t xml:space="preserve"> </w:t>
      </w:r>
      <w:r>
        <w:rPr>
          <w:bCs/>
          <w:b/>
        </w:rPr>
        <w:t xml:space="preserve">dạng hàm chữ U ngược là quy luật chứ không phải ngoại lệ</w:t>
      </w:r>
      <w:r>
        <w:t xml:space="preserve">, được xác nhận ở năm trong bảy nghiên cứu (P3, P5, P7, P9 và một phần P4), với hai trường hợp biên có ý nghĩa lý thuyết riêng: quan hệ âm đơn điệu tại SIDS (P8, FIP) và sự tan biến ngưỡng dưới biến động thể chế cực đoan tại Ấn Độ (P9). Thứ hai,</w:t>
      </w:r>
      <w:r>
        <w:t xml:space="preserve"> </w:t>
      </w:r>
      <w:r>
        <w:rPr>
          <w:bCs/>
          <w:b/>
        </w:rPr>
        <w:t xml:space="preserve">điểm uốn dịch theo chiều thể chế</w:t>
      </w:r>
      <w:r>
        <w:t xml:space="preserve">: từ ~88,6% ở Singapore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null tại Việt Nam (Tier-1)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−0,088, p=,026;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exporters-only NS do mẫu nhỏ (N=26)</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60"/>
    <w:bookmarkStart w:id="61"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6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2026-06-16T01:05:43Z</dcterms:created>
  <dcterms:modified xsi:type="dcterms:W3CDTF">2026-06-16T01:05:43Z</dcterms:modified>
</cp:coreProperties>
</file>

<file path=docProps/custom.xml><?xml version="1.0" encoding="utf-8"?>
<Properties xmlns="http://schemas.openxmlformats.org/officeDocument/2006/custom-properties" xmlns:vt="http://schemas.openxmlformats.org/officeDocument/2006/docPropsVTypes"/>
</file>