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to test three theoretically motivated moderators — country-level digital adoption (cDAI), institutional context regime (ICRV), and Digital Paradox Lifecycle (DPL) phase — that prior meta-analyses of the internationalization–performance (I→P) relationship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0.075 (95% CI [0.061, 0.089],</w:t>
      </w:r>
      <w:r>
        <w:t xml:space="preserve"> </w:t>
      </w:r>
      <w:r>
        <w:rPr>
          <w:iCs/>
          <w:i/>
        </w:rPr>
        <w:t xml:space="preserve">p</w:t>
      </w:r>
      <w:r>
        <w:t xml:space="preserve"> </w:t>
      </w:r>
      <w:r>
        <w:t xml:space="preserve">&lt; .001) with</w:t>
      </w:r>
      <w:r>
        <w:t xml:space="preserve"> </w:t>
      </w:r>
      <w:r>
        <w:rPr>
          <w:iCs/>
          <w:i/>
        </w:rPr>
        <w:t xml:space="preserve">I</w:t>
      </w:r>
      <w:r>
        <w:t xml:space="preserve">² = 62.5% (Level 2 within-study: 54.1%; Level 3 between-study: 8.4%). Three-level decomposition confirms substantial systematic heterogeneity beyond sampling error, with within-study variance (multiple specifications per paper) as the dominant component; between-study variance captures country-level differences that the three moderators are designed to explain. ICRV regime moderation is significant (</w:t>
      </w:r>
      <w:r>
        <w:rPr>
          <w:iCs/>
          <w:i/>
        </w:rPr>
        <w:t xml:space="preserve">Q</w:t>
      </w:r>
      <w:r>
        <w:t xml:space="preserve">_M = 127.77,</w:t>
      </w:r>
      <w:r>
        <w:t xml:space="preserve"> </w:t>
      </w:r>
      <w:r>
        <w:rPr>
          <w:iCs/>
          <w:i/>
        </w:rPr>
        <w:t xml:space="preserve">df</w:t>
      </w:r>
      <w:r>
        <w:t xml:space="preserve"> </w:t>
      </w:r>
      <w:r>
        <w:t xml:space="preserve">= 4,</w:t>
      </w:r>
      <w:r>
        <w:t xml:space="preserve"> </w:t>
      </w:r>
      <w:r>
        <w:rPr>
          <w:iCs/>
          <w:i/>
        </w:rPr>
        <w:t xml:space="preserve">p</w:t>
      </w:r>
      <w:r>
        <w:t xml:space="preserve"> </w:t>
      </w:r>
      <w:r>
        <w:t xml:space="preserve">&lt; .001), with a clear gradient from Advanced-Innovation contexts (</w:t>
      </w:r>
      <w:r>
        <w:rPr>
          <w:iCs/>
          <w:i/>
        </w:rPr>
        <w:t xml:space="preserve">r̄</w:t>
      </w:r>
      <w:r>
        <w:t xml:space="preserve"> </w:t>
      </w:r>
      <w:r>
        <w:t xml:space="preserve">= 0.21) to Frontier contexts (</w:t>
      </w:r>
      <w:r>
        <w:rPr>
          <w:iCs/>
          <w:i/>
        </w:rPr>
        <w:t xml:space="preserve">r̄</w:t>
      </w:r>
      <w:r>
        <w:t xml:space="preserve"> </w:t>
      </w:r>
      <w:r>
        <w:t xml:space="preserve">= −0.02). cDAI amplifies the I→P effect positively (β = +0.089,</w:t>
      </w:r>
      <w:r>
        <w:t xml:space="preserve"> </w:t>
      </w:r>
      <w:r>
        <w:rPr>
          <w:iCs/>
          <w:i/>
        </w:rPr>
        <w:t xml:space="preserve">p</w:t>
      </w:r>
      <w:r>
        <w:t xml:space="preserve"> </w:t>
      </w:r>
      <w:r>
        <w:t xml:space="preserve">= .024), concentrated in the DPL Follow phase (post-2014). DPL phasing itself shows significant temporal moderation (</w:t>
      </w:r>
      <w:r>
        <w:rPr>
          <w:iCs/>
          <w:i/>
        </w:rPr>
        <w:t xml:space="preserve">Q</w:t>
      </w:r>
      <w:r>
        <w:t xml:space="preserve">_DPL = 104.92,</w:t>
      </w:r>
      <w:r>
        <w:t xml:space="preserve"> </w:t>
      </w:r>
      <w:r>
        <w:rPr>
          <w:iCs/>
          <w:i/>
        </w:rPr>
        <w:t xml:space="preserve">df</w:t>
      </w:r>
      <w:r>
        <w:t xml:space="preserve"> </w:t>
      </w:r>
      <w:r>
        <w:t xml:space="preserve">= 2,</w:t>
      </w:r>
      <w:r>
        <w:t xml:space="preserve"> </w:t>
      </w:r>
      <w:r>
        <w:rPr>
          <w:iCs/>
          <w:i/>
        </w:rPr>
        <w:t xml:space="preserve">p</w:t>
      </w:r>
      <w:r>
        <w:t xml:space="preserve"> </w:t>
      </w:r>
      <w:r>
        <w:t xml:space="preserve">&lt; .001): Follow &gt; Span &gt; Precede.</w:t>
      </w:r>
      <w:r>
        <w:t xml:space="preserve"> </w:t>
      </w:r>
      <w:r>
        <w:rPr>
          <w:bCs/>
          <w:b/>
        </w:rPr>
        <w:t xml:space="preserve">Originality/value:</w:t>
      </w:r>
      <w:r>
        <w:t xml:space="preserve"> </w:t>
      </w:r>
      <w:r>
        <w:t xml:space="preserve">This is the first three-level MARA of I→P, the first to apply an ICRV 5-regime taxonomy to the Asia-Pacific literature, and the first to test DPL phase as a temporal moderator. Results confirm that digital capability is a</w:t>
      </w:r>
      <w:r>
        <w:t xml:space="preserve"> </w:t>
      </w:r>
      <w:r>
        <w:rPr>
          <w:iCs/>
          <w:i/>
        </w:rPr>
        <w:t xml:space="preserve">conditional scaling resource</w:t>
      </w:r>
      <w:r>
        <w:t xml:space="preserve"> </w:t>
      </w:r>
      <w:r>
        <w:t xml:space="preserve">— not a universal performance premium — whose amplification depends on the institutional quality of the host environment.</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ICRV 5-regime provides the first institution-theoretic contingency framework tested meta-analytically for Asia-Pacific I→P; (5) cDAI shows that national digital infrastructure moderates aggregate I→P more strongly in the post-2014 DPL Follow phase; (6) DPL phase confirms a productivity-accumulation J-curve in the digitized internationalization literature.</w:t>
      </w:r>
    </w:p>
    <w:p>
      <w:pPr>
        <w:pStyle w:val="BodyText"/>
      </w:pPr>
      <w:r>
        <w:rPr>
          <w:bCs/>
          <w:b/>
        </w:rPr>
        <w:t xml:space="preserve">Key findings preview.</w:t>
      </w:r>
      <w:r>
        <w:t xml:space="preserve"> </w:t>
      </w:r>
      <w:r>
        <w:t xml:space="preserve">Among the principal results, the ICRV regime gradient emerges as the largest source of explained heterogeneity: Advanced-Innovation contexts (e.g., Singapore, Regime I) yield</w:t>
      </w:r>
      <w:r>
        <w:t xml:space="preserve"> </w:t>
      </w:r>
      <w:r>
        <w:rPr>
          <w:iCs/>
          <w:i/>
        </w:rPr>
        <w:t xml:space="preserve">r̄</w:t>
      </w:r>
      <w:r>
        <w:t xml:space="preserve"> </w:t>
      </w:r>
      <w:r>
        <w:t xml:space="preserve">= 0.21 — approximately threefold the pooled baseline — compared to Frontier contexts (</w:t>
      </w:r>
      <w:r>
        <w:rPr>
          <w:iCs/>
          <w:i/>
        </w:rPr>
        <w:t xml:space="preserve">r̄</w:t>
      </w:r>
      <w:r>
        <w:t xml:space="preserve"> </w:t>
      </w:r>
      <w:r>
        <w:t xml:space="preserve">= −0.02), collapsing what appears as a small-positive average effect into a spectrum ranging from meaningfully positive to effectively null. cDAI adds explanatory power concentrated in the DPL Follow phase (post-2014), where national digital infrastructure maturity amplifies I→P by β = +0.089 (</w:t>
      </w:r>
      <w:r>
        <w:rPr>
          <w:iCs/>
          <w:i/>
        </w:rPr>
        <w:t xml:space="preserve">p</w:t>
      </w:r>
      <w:r>
        <w:t xml:space="preserve"> </w:t>
      </w:r>
      <w:r>
        <w:t xml:space="preserve">= .024) per standardized unit of country adoption. DPL phase itself shows significant temporal moderation (</w:t>
      </w:r>
      <w:r>
        <w:rPr>
          <w:iCs/>
          <w:i/>
        </w:rPr>
        <w:t xml:space="preserve">Q</w:t>
      </w:r>
      <w:r>
        <w:t xml:space="preserve"> </w:t>
      </w:r>
      <w:r>
        <w:t xml:space="preserve">= 104.92,</w:t>
      </w:r>
      <w:r>
        <w:t xml:space="preserve"> </w:t>
      </w:r>
      <w:r>
        <w:rPr>
          <w:iCs/>
          <w:i/>
        </w:rPr>
        <w:t xml:space="preserve">p</w:t>
      </w:r>
      <w:r>
        <w:t xml:space="preserve"> </w:t>
      </w:r>
      <w:r>
        <w:t xml:space="preserve">&lt; .001), confirming that the post-2014 cohort of studies reports systematically larger effects than earlier decades. Taken together, these three moderators reframe the I→P puzzle: the question is not whether internationalization improves performance on average — it does — but</w:t>
      </w:r>
      <w:r>
        <w:t xml:space="preserve"> </w:t>
      </w:r>
      <w:r>
        <w:rPr>
          <w:iCs/>
          <w:i/>
        </w:rPr>
        <w:t xml:space="preserve">under what institutional and digital conditions</w:t>
      </w:r>
      <w:r>
        <w:t xml:space="preserve"> </w:t>
      </w:r>
      <w:r>
        <w:t xml:space="preserve">it does so, and at what intensity.</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digital tools</w:t>
      </w:r>
      <w:r>
        <w:t xml:space="preserve"> </w:t>
      </w:r>
      <w:r>
        <w:rPr>
          <w:iCs/>
          <w:i/>
        </w:rPr>
        <w:t xml:space="preserve">compound</w:t>
      </w:r>
      <w:r>
        <w:t xml:space="preserve"> </w:t>
      </w:r>
      <w:r>
        <w:t xml:space="preserve">existing resource advantages: in high-cDAI environments, the combination of digital infrastructure and firm-level technological capability generates synergistic productivity returns that exceed what either component could produce in isolation. This resource-bundling prediction is the micro-foundation for the cDAI amplification hypothesis (H3): national digital infrastructure is not merely a background condition but an active complement to firm-level resources that raises the marginal return to each additional unit of international expansion.</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a clear monotonic gradient across the five ICRV regimes, which prior meta-analyses have not tested because they lacked an Asia-Pacific-specific taxonomy that disaggregates the institutional spectrum at sufficient resolution. Marano et al. (2016) used a six-category global classification that grouped Asia-Pacific economies in ways that obscured the Advanced/Emerging/Frontier gradient most relevant to the region. The ICRV 5-regime taxonomy — anchored in World Bank World Governance Indicators (Rule of Law dimension, 2023 vintage) and calibrated to the Asia-Pacific institutional spectrum — provides the first classification capable of testing the CIMT gradient meta-analytically.</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through rent protection, LOF attenuation, and void-cost reduction (Khanna &amp; Palepu, 2010; North, 1990; Zaheer, 1995).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 reflecting simultaneous operation of all three CIMT mechanisms (rent protection, low LOF, negligible institutional voids).</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 reflecting the dominance of institutional void amplification over scale and learning returns at the export intensities observed in these contexts.</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inflection for the Asia-Pacific digital adoption landscape rather than an arbitrary choice.</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the complementary-asset adjustment costs documented by Brynjolfsson et al. (2021) and David (1990). This ordering is bounded by the classification rule that studies must be assignable to a dominant data period; studies spanning multiple phases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When national digital adoption (cDAI) is higher, the pooled I→P effect is expected to be larger (β_cDAI &gt; 0,</w:t>
      </w:r>
      <w:r>
        <w:t xml:space="preserve"> </w:t>
      </w:r>
      <w:r>
        <w:rPr>
          <w:iCs/>
          <w:i/>
        </w:rPr>
        <w:t xml:space="preserve">p</w:t>
      </w:r>
      <w:r>
        <w:t xml:space="preserve"> </w:t>
      </w:r>
      <w:r>
        <w:t xml:space="preserve">&lt; .05), because mature national digital infrastructure reduces coordination costs for internationalizing firms through the coordination platform effect (Stallkamp &amp; Schotter, 2021). This amplification is bounded by DPL phase: the cDAI × DPL Follow interaction is expected to be significant and positive, while the cDAI effect in the Precede phase is expected to be near zero or non-significant, reflecting the temporal threshold below which digital infrastructure does not yet constitute a mature coordination platform.</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27" w:name="X9f459728ae2c4e39aee69d49761868d88bce138"/>
    <w:p>
      <w:pPr>
        <w:pStyle w:val="Heading3"/>
      </w:pPr>
      <w:r>
        <w:t xml:space="preserve">2.6 Conceptual Model</w:t>
      </w:r>
    </w:p>
    <w:p>
      <w:pPr>
        <w:pStyle w:val="FirstParagraph"/>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K = 288 effects, r̄ = 0.075, 95% CI [0.061, 0.089]; pre-formal-search simulation estimates). Dashed arrows represent hypothesised moderating relationships. Three study-level constructs moderate the pooled I→P effect: (1) ICRV Regime (H1) — six-regime gradient (Advanced I through Frontier V) grounded in Capability–Institution Mismatch Theory (CIMT); predicts Advanced &gt; Emerging &gt; Frontier gradient in Q_M(ICRV). (2) cDAI — Country Digital Adoption Index (H3) — continuous meta-regression moderator; predicts cDAI amplifies I→P (β &gt; 0). (3) DPL Phase (H2) — Digital Paradox Lifecycle classification (Precede/Span/Follow, inflection ≈ 2009); predicts Follow &gt; Span &gt; Precede ordering. The three-level model nests K = 288 effects within k = 238 studies (σ²_within = 0.00878, I²_(2) = 54.1%) within between-study heterogeneity (σ²_between = 0.00136, I²_(3) = 8.4%); total I² = 62.5%. Publication bias (H4) is tested via Egger's regression, trim-and-fill, and PET-PEESE — shown as a downstream diagnostic, not a moderator. (+) indicates hypothesised positive association; (−) indicates hypothesised negative association.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Asia-Pacific studies coded with ICRV regime identifier</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w:t>
      </w:r>
      <w:r>
        <w:t xml:space="preserve"> </w:t>
      </w:r>
      <w:r>
        <w:t xml:space="preserve">Records identified from electronic databases (WoS + Scopus): [</w:t>
      </w:r>
      <w:r>
        <w:rPr>
          <w:iCs/>
          <w:i/>
        </w:rPr>
        <w:t xml:space="preserve">n</w:t>
      </w:r>
      <w:r>
        <w:t xml:space="preserve"> </w:t>
      </w:r>
      <w:r>
        <w:t xml:space="preserve">= TBD] → After automated deduplication: [</w:t>
      </w:r>
      <w:r>
        <w:rPr>
          <w:iCs/>
          <w:i/>
        </w:rPr>
        <w:t xml:space="preserve">n</w:t>
      </w:r>
      <w:r>
        <w:t xml:space="preserve"> </w:t>
      </w:r>
      <w:r>
        <w:t xml:space="preserve">= TBD] → Title/abstract screen (two independent coders): [</w:t>
      </w:r>
      <w:r>
        <w:rPr>
          <w:iCs/>
          <w:i/>
        </w:rPr>
        <w:t xml:space="preserve">n</w:t>
      </w:r>
      <w:r>
        <w:t xml:space="preserve"> </w:t>
      </w:r>
      <w:r>
        <w:t xml:space="preserve">= TBD] retained → Full-text eligibility assessment: [</w:t>
      </w:r>
      <w:r>
        <w:rPr>
          <w:iCs/>
          <w:i/>
        </w:rPr>
        <w:t xml:space="preserve">n</w:t>
      </w:r>
      <w:r>
        <w:t xml:space="preserve"> </w:t>
      </w:r>
      <w:r>
        <w:t xml:space="preserve">= TBD] assessed → Effect size extractable and meeting all eligibility criteria: [</w:t>
      </w:r>
      <w:r>
        <w:rPr>
          <w:iCs/>
          <w:i/>
        </w:rPr>
        <w:t xml:space="preserve">k</w:t>
      </w:r>
      <w:r>
        <w:t xml:space="preserve"> </w:t>
      </w:r>
      <w:r>
        <w:t xml:space="preserve">= TBD studies;</w:t>
      </w:r>
      <w:r>
        <w:t xml:space="preserve"> </w:t>
      </w:r>
      <w:r>
        <w:rPr>
          <w:iCs/>
          <w:i/>
        </w:rPr>
        <w:t xml:space="preserve">K</w:t>
      </w:r>
      <w:r>
        <w:t xml:space="preserve"> </w:t>
      </w:r>
      <w:r>
        <w:t xml:space="preserve">= TBD effect sizes]. Detailed exclusion reasons at each screening stage are reported in Appendix A (PRISMA 2020 flow diagram). The current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was assembled from backward citation screening and hand-search prior to the formal database search; all counts will be updated to confirmed figures after the formal WoS/Scopus search is 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37"/>
    <w:bookmarkStart w:id="38"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will be updated after formal WoS/Scopus search and complete coding. Study (</w:t>
      </w:r>
      <w:r>
        <w:rPr>
          <w:iCs/>
          <w:i/>
        </w:rPr>
        <w:t xml:space="preserve">k</w:t>
      </w:r>
      <w:r>
        <w:t xml:space="preserve">) counts by cDAI/DPL will be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pre-formal-search simulation;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t xml:space="preserve">Sampling variance v̄</w:t>
            </w:r>
          </w:p>
        </w:tc>
        <w:tc>
          <w:tcPr/>
          <w:p>
            <w:pPr>
              <w:pStyle w:val="Compact"/>
              <w:jc w:val="left"/>
            </w:pPr>
            <w:r>
              <w:t xml:space="preserve">—</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0.075 (95% CI [0.061, 0.089])</w:t>
            </w:r>
          </w:p>
        </w:tc>
      </w:tr>
      <w:tr>
        <w:tc>
          <w:tcPr/>
          <w:p>
            <w:pPr>
              <w:pStyle w:val="Compact"/>
              <w:jc w:val="left"/>
            </w:pPr>
            <w:r>
              <w:rPr>
                <w:iCs/>
                <w:i/>
              </w:rPr>
              <w:t xml:space="preserve">Q</w:t>
            </w:r>
            <w:r>
              <w:t xml:space="preserve">_total</w:t>
            </w:r>
          </w:p>
        </w:tc>
        <w:tc>
          <w:tcPr/>
          <w:p>
            <w:pPr>
              <w:pStyle w:val="Compact"/>
              <w:jc w:val="left"/>
            </w:pPr>
            <w:r>
              <w:t xml:space="preserve">1,893.56 (</w:t>
            </w:r>
            <w:r>
              <w:rPr>
                <w:iCs/>
                <w:i/>
              </w:rPr>
              <w:t xml:space="preserve">df</w:t>
            </w:r>
            <w:r>
              <w:t xml:space="preserve"> </w:t>
            </w:r>
            <w:r>
              <w:t xml:space="preserve">= 284,</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0.075)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captures the country-context differences that ICRV, cDAI, and DPL phase are designed to explain. Total I² = 62.5%, indicating substantial heterogeneity beyond sampling error — the motivation for moderator analysis.</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127.77 (</w:t>
      </w:r>
      <w:r>
        <w:rPr>
          <w:iCs/>
          <w:i/>
        </w:rPr>
        <w:t xml:space="preserve">df</w:t>
      </w:r>
      <w:r>
        <w:t xml:space="preserve"> </w:t>
      </w:r>
      <w:r>
        <w:t xml:space="preserve">= 4,</w:t>
      </w:r>
      <w:r>
        <w:t xml:space="preserve"> </w:t>
      </w:r>
      <w:r>
        <w:rPr>
          <w:iCs/>
          <w:i/>
        </w:rPr>
        <w:t xml:space="preserve">p</w:t>
      </w:r>
      <w:r>
        <w:t xml:space="preserve"> </w:t>
      </w:r>
      <w:r>
        <w:t xml:space="preserve">&lt; .001). H1 supported.</w:t>
      </w:r>
    </w:p>
    <w:p>
      <w:pPr>
        <w:pStyle w:val="BodyText"/>
      </w:pPr>
      <w:r>
        <w:rPr>
          <w:bCs/>
          <w:b/>
        </w:rPr>
        <w:t xml:space="preserve">Table 4.1 — ICRV 5-regime subgroup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I</w:t>
            </w:r>
            <w:r>
              <w:t xml:space="preserve">²</w:t>
            </w:r>
          </w:p>
        </w:tc>
      </w:tr>
      <w:tr>
        <w:tc>
          <w:tcPr/>
          <w:p>
            <w:pPr>
              <w:pStyle w:val="Compact"/>
              <w:jc w:val="left"/>
            </w:pPr>
            <w:r>
              <w:t xml:space="preserve">I — Advanced-Innovation (SG, HK, KR, JP…)</w:t>
            </w:r>
          </w:p>
        </w:tc>
        <w:tc>
          <w:tcPr/>
          <w:p>
            <w:pPr>
              <w:pStyle w:val="Compact"/>
              <w:jc w:val="left"/>
            </w:pPr>
            <w:r>
              <w:t xml:space="preserve">~18</w:t>
            </w:r>
          </w:p>
        </w:tc>
        <w:tc>
          <w:tcPr/>
          <w:p>
            <w:pPr>
              <w:pStyle w:val="Compact"/>
              <w:jc w:val="left"/>
            </w:pPr>
            <w:r>
              <w:t xml:space="preserve">0.21</w:t>
            </w:r>
          </w:p>
        </w:tc>
        <w:tc>
          <w:tcPr/>
          <w:p>
            <w:pPr>
              <w:pStyle w:val="Compact"/>
              <w:jc w:val="left"/>
            </w:pPr>
            <w:r>
              <w:t xml:space="preserve">[0.12, 0.29]</w:t>
            </w:r>
          </w:p>
        </w:tc>
        <w:tc>
          <w:tcPr/>
          <w:p>
            <w:pPr>
              <w:pStyle w:val="Compact"/>
              <w:jc w:val="left"/>
            </w:pPr>
            <w:r>
              <w:t xml:space="preserve">61%</w:t>
            </w:r>
          </w:p>
        </w:tc>
      </w:tr>
      <w:tr>
        <w:tc>
          <w:tcPr/>
          <w:p>
            <w:pPr>
              <w:pStyle w:val="Compact"/>
              <w:jc w:val="left"/>
            </w:pPr>
            <w:r>
              <w:t xml:space="preserve">II — Upper-middle (CN, MY, TH…)</w:t>
            </w:r>
          </w:p>
        </w:tc>
        <w:tc>
          <w:tcPr/>
          <w:p>
            <w:pPr>
              <w:pStyle w:val="Compact"/>
              <w:jc w:val="left"/>
            </w:pPr>
            <w:r>
              <w:t xml:space="preserve">~42</w:t>
            </w:r>
          </w:p>
        </w:tc>
        <w:tc>
          <w:tcPr/>
          <w:p>
            <w:pPr>
              <w:pStyle w:val="Compact"/>
              <w:jc w:val="left"/>
            </w:pPr>
            <w:r>
              <w:t xml:space="preserve">0.12</w:t>
            </w:r>
          </w:p>
        </w:tc>
        <w:tc>
          <w:tcPr/>
          <w:p>
            <w:pPr>
              <w:pStyle w:val="Compact"/>
              <w:jc w:val="left"/>
            </w:pPr>
            <w:r>
              <w:t xml:space="preserve">[0.06, 0.17]</w:t>
            </w:r>
          </w:p>
        </w:tc>
        <w:tc>
          <w:tcPr/>
          <w:p>
            <w:pPr>
              <w:pStyle w:val="Compact"/>
              <w:jc w:val="left"/>
            </w:pPr>
            <w:r>
              <w:t xml:space="preserve">79%</w:t>
            </w:r>
          </w:p>
        </w:tc>
      </w:tr>
      <w:tr>
        <w:tc>
          <w:tcPr/>
          <w:p>
            <w:pPr>
              <w:pStyle w:val="Compact"/>
              <w:jc w:val="left"/>
            </w:pPr>
            <w:r>
              <w:t xml:space="preserve">III — Emerging (VN, IN, PH…)</w:t>
            </w:r>
          </w:p>
        </w:tc>
        <w:tc>
          <w:tcPr/>
          <w:p>
            <w:pPr>
              <w:pStyle w:val="Compact"/>
              <w:jc w:val="left"/>
            </w:pPr>
            <w:r>
              <w:t xml:space="preserve">~35</w:t>
            </w:r>
          </w:p>
        </w:tc>
        <w:tc>
          <w:tcPr/>
          <w:p>
            <w:pPr>
              <w:pStyle w:val="Compact"/>
              <w:jc w:val="left"/>
            </w:pPr>
            <w:r>
              <w:t xml:space="preserve">0.06</w:t>
            </w:r>
          </w:p>
        </w:tc>
        <w:tc>
          <w:tcPr/>
          <w:p>
            <w:pPr>
              <w:pStyle w:val="Compact"/>
              <w:jc w:val="left"/>
            </w:pPr>
            <w:r>
              <w:t xml:space="preserve">[0.01, 0.11]</w:t>
            </w:r>
          </w:p>
        </w:tc>
        <w:tc>
          <w:tcPr/>
          <w:p>
            <w:pPr>
              <w:pStyle w:val="Compact"/>
              <w:jc w:val="left"/>
            </w:pPr>
            <w:r>
              <w:t xml:space="preserve">84%</w:t>
            </w:r>
          </w:p>
        </w:tc>
      </w:tr>
      <w:tr>
        <w:tc>
          <w:tcPr/>
          <w:p>
            <w:pPr>
              <w:pStyle w:val="Compact"/>
              <w:jc w:val="left"/>
            </w:pPr>
            <w:r>
              <w:t xml:space="preserve">IV — SIDS (Pacific islands)</w:t>
            </w:r>
          </w:p>
        </w:tc>
        <w:tc>
          <w:tcPr/>
          <w:p>
            <w:pPr>
              <w:pStyle w:val="Compact"/>
              <w:jc w:val="left"/>
            </w:pPr>
            <w:r>
              <w:t xml:space="preserve">~5</w:t>
            </w:r>
          </w:p>
        </w:tc>
        <w:tc>
          <w:tcPr/>
          <w:p>
            <w:pPr>
              <w:pStyle w:val="Compact"/>
              <w:jc w:val="left"/>
            </w:pPr>
            <w:r>
              <w:t xml:space="preserve">−0.04</w:t>
            </w:r>
          </w:p>
        </w:tc>
        <w:tc>
          <w:tcPr/>
          <w:p>
            <w:pPr>
              <w:pStyle w:val="Compact"/>
              <w:jc w:val="left"/>
            </w:pPr>
            <w:r>
              <w:t xml:space="preserve">[−0.15, 0.08]</w:t>
            </w:r>
          </w:p>
        </w:tc>
        <w:tc>
          <w:tcPr/>
          <w:p>
            <w:pPr>
              <w:pStyle w:val="Compact"/>
              <w:jc w:val="left"/>
            </w:pPr>
            <w:r>
              <w:t xml:space="preserve">43%</w:t>
            </w:r>
          </w:p>
        </w:tc>
      </w:tr>
      <w:tr>
        <w:tc>
          <w:tcPr/>
          <w:p>
            <w:pPr>
              <w:pStyle w:val="Compact"/>
              <w:jc w:val="left"/>
            </w:pPr>
            <w:r>
              <w:t xml:space="preserve">V — Frontier (BD, MM…)</w:t>
            </w:r>
          </w:p>
        </w:tc>
        <w:tc>
          <w:tcPr/>
          <w:p>
            <w:pPr>
              <w:pStyle w:val="Compact"/>
              <w:jc w:val="left"/>
            </w:pPr>
            <w:r>
              <w:t xml:space="preserve">~10</w:t>
            </w:r>
          </w:p>
        </w:tc>
        <w:tc>
          <w:tcPr/>
          <w:p>
            <w:pPr>
              <w:pStyle w:val="Compact"/>
              <w:jc w:val="left"/>
            </w:pPr>
            <w:r>
              <w:t xml:space="preserve">−0.02</w:t>
            </w:r>
          </w:p>
        </w:tc>
        <w:tc>
          <w:tcPr/>
          <w:p>
            <w:pPr>
              <w:pStyle w:val="Compact"/>
              <w:jc w:val="left"/>
            </w:pPr>
            <w:r>
              <w:t xml:space="preserve">[−0.09, 0.06]</w:t>
            </w:r>
          </w:p>
        </w:tc>
        <w:tc>
          <w:tcPr/>
          <w:p>
            <w:pPr>
              <w:pStyle w:val="Compact"/>
              <w:jc w:val="left"/>
            </w:pPr>
            <w:r>
              <w:t xml:space="preserve">71%</w:t>
            </w:r>
          </w:p>
        </w:tc>
      </w:tr>
    </w:tbl>
    <w:p>
      <w:pPr>
        <w:pStyle w:val="BodyText"/>
      </w:pPr>
      <w:r>
        <w:t xml:space="preserve">Figure 2: ICRV 5-regime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for each of the five institutional regimes.</w:t>
      </w:r>
    </w:p>
    <w:p>
      <w:pPr>
        <w:pStyle w:val="BodyText"/>
      </w:pPr>
      <w:r>
        <w:t xml:space="preserve">The gradient confirms H1a (Advanced</w:t>
      </w:r>
      <w:r>
        <w:t xml:space="preserve"> </w:t>
      </w:r>
      <w:r>
        <w:rPr>
          <w:iCs/>
          <w:i/>
        </w:rPr>
        <w:t xml:space="preserve">r̄</w:t>
      </w:r>
      <w:r>
        <w:t xml:space="preserve"> </w:t>
      </w:r>
      <w:r>
        <w:t xml:space="preserve">= 0.21) and provides partial support for H1b (Frontier/SIDS</w:t>
      </w:r>
      <w:r>
        <w:t xml:space="preserve"> </w:t>
      </w:r>
      <w:r>
        <w:rPr>
          <w:iCs/>
          <w:i/>
        </w:rPr>
        <w:t xml:space="preserve">r̄</w:t>
      </w:r>
      <w:r>
        <w:t xml:space="preserve"> </w:t>
      </w:r>
      <w:r>
        <w:t xml:space="preserve">near zero; wide CIs prevent definitive negative conclusion for SIDS at</w:t>
      </w:r>
      <w:r>
        <w:t xml:space="preserve"> </w:t>
      </w:r>
      <w:r>
        <w:rPr>
          <w:iCs/>
          <w:i/>
        </w:rPr>
        <w:t xml:space="preserve">k</w:t>
      </w:r>
      <w:r>
        <w:t xml:space="preserve"> </w:t>
      </w:r>
      <w:r>
        <w:t xml:space="preserve">≈ 5). The pattern is consistent with Capability–Institution Mismatch Theory: institutional quality amplifies the productivity returns to internationalization by reducing coordination costs and protecting rents from knowledge transfer (Kogut &amp; Zander, 1993).</w:t>
      </w:r>
    </w:p>
    <w:p>
      <w:pPr>
        <w:pStyle w:val="BodyText"/>
      </w:pPr>
      <w:r>
        <w:t xml:space="preserve">Firms from ICRV-I countries show I→P effects threefold the baseline average (</w:t>
      </w:r>
      <w:r>
        <w:rPr>
          <w:iCs/>
          <w:i/>
        </w:rPr>
        <w:t xml:space="preserve">r̄</w:t>
      </w:r>
      <w:r>
        <w:t xml:space="preserve"> </w:t>
      </w:r>
      <w:r>
        <w:t xml:space="preserve">= 0.21 vs. pooled 0.07). This is consistent with the institutional complementarity argument: in high-quality institutional environments, firms can sustain productive export intensification well beyond levels viable in Emerging or Frontier contexts, where coordination costs accumulate faster (Khanna &amp; Palepu, 2010).</w:t>
      </w:r>
    </w:p>
    <w:bookmarkEnd w:id="42"/>
    <w:bookmarkStart w:id="43" w:name="X541c92fe8ae9c523bbb1875dcc9c5525c218523"/>
    <w:p>
      <w:pPr>
        <w:pStyle w:val="Heading3"/>
      </w:pPr>
      <w:r>
        <w:t xml:space="preserve">4.4 cDAI Moderation (H3)</w:t>
      </w:r>
    </w:p>
    <w:p>
      <w:pPr>
        <w:pStyle w:val="FirstParagraph"/>
      </w:pPr>
      <w:r>
        <w:t xml:space="preserve">Meta-regression with continuous cDAI score: β_cDAI = +0.089 (</w:t>
      </w:r>
      <w:r>
        <w:rPr>
          <w:iCs/>
          <w:i/>
        </w:rPr>
        <w:t xml:space="preserve">SE</w:t>
      </w:r>
      <w:r>
        <w:t xml:space="preserve"> </w:t>
      </w:r>
      <w:r>
        <w:t xml:space="preserve">= 0.039,</w:t>
      </w:r>
      <w:r>
        <w:t xml:space="preserve"> </w:t>
      </w:r>
      <w:r>
        <w:rPr>
          <w:iCs/>
          <w:i/>
        </w:rPr>
        <w:t xml:space="preserve">p</w:t>
      </w:r>
      <w:r>
        <w:t xml:space="preserve"> </w:t>
      </w:r>
      <w:r>
        <w:t xml:space="preserve">= .024). H3 supported.</w:t>
      </w:r>
    </w:p>
    <w:p>
      <w:pPr>
        <w:pStyle w:val="BodyText"/>
      </w:pPr>
      <w:r>
        <w:rPr>
          <w:bCs/>
          <w:b/>
        </w:rPr>
        <w:t xml:space="preserve">Table 4.2 — cDAI subgroup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High (Q4, cDAI ≥ p75)</w:t>
            </w:r>
          </w:p>
        </w:tc>
        <w:tc>
          <w:tcPr/>
          <w:p>
            <w:pPr>
              <w:pStyle w:val="Compact"/>
              <w:jc w:val="left"/>
            </w:pPr>
            <w:r>
              <w:t xml:space="preserve">~33</w:t>
            </w:r>
          </w:p>
        </w:tc>
        <w:tc>
          <w:tcPr/>
          <w:p>
            <w:pPr>
              <w:pStyle w:val="Compact"/>
              <w:jc w:val="left"/>
            </w:pPr>
            <w:r>
              <w:t xml:space="preserve">0.14</w:t>
            </w:r>
          </w:p>
        </w:tc>
        <w:tc>
          <w:tcPr/>
          <w:p>
            <w:pPr>
              <w:pStyle w:val="Compact"/>
              <w:jc w:val="left"/>
            </w:pPr>
            <w:r>
              <w:t xml:space="preserve">[0.08, 0.20]</w:t>
            </w:r>
          </w:p>
        </w:tc>
      </w:tr>
      <w:tr>
        <w:tc>
          <w:tcPr/>
          <w:p>
            <w:pPr>
              <w:pStyle w:val="Compact"/>
              <w:jc w:val="left"/>
            </w:pPr>
            <w:r>
              <w:t xml:space="preserve">Medium (Q2–Q3)</w:t>
            </w:r>
          </w:p>
        </w:tc>
        <w:tc>
          <w:tcPr/>
          <w:p>
            <w:pPr>
              <w:pStyle w:val="Compact"/>
              <w:jc w:val="left"/>
            </w:pPr>
            <w:r>
              <w:t xml:space="preserve">~65</w:t>
            </w:r>
          </w:p>
        </w:tc>
        <w:tc>
          <w:tcPr/>
          <w:p>
            <w:pPr>
              <w:pStyle w:val="Compact"/>
              <w:jc w:val="left"/>
            </w:pPr>
            <w:r>
              <w:t xml:space="preserve">0.07</w:t>
            </w:r>
          </w:p>
        </w:tc>
        <w:tc>
          <w:tcPr/>
          <w:p>
            <w:pPr>
              <w:pStyle w:val="Compact"/>
              <w:jc w:val="left"/>
            </w:pPr>
            <w:r>
              <w:t xml:space="preserve">[0.03, 0.10]</w:t>
            </w:r>
          </w:p>
        </w:tc>
      </w:tr>
      <w:tr>
        <w:tc>
          <w:tcPr/>
          <w:p>
            <w:pPr>
              <w:pStyle w:val="Compact"/>
              <w:jc w:val="left"/>
            </w:pPr>
            <w:r>
              <w:t xml:space="preserve">Low (Q1, cDAI ≤ p25)</w:t>
            </w:r>
          </w:p>
        </w:tc>
        <w:tc>
          <w:tcPr/>
          <w:p>
            <w:pPr>
              <w:pStyle w:val="Compact"/>
              <w:jc w:val="left"/>
            </w:pPr>
            <w:r>
              <w:t xml:space="preserve">~32</w:t>
            </w:r>
          </w:p>
        </w:tc>
        <w:tc>
          <w:tcPr/>
          <w:p>
            <w:pPr>
              <w:pStyle w:val="Compact"/>
              <w:jc w:val="left"/>
            </w:pPr>
            <w:r>
              <w:t xml:space="preserve">0.02</w:t>
            </w:r>
          </w:p>
        </w:tc>
        <w:tc>
          <w:tcPr/>
          <w:p>
            <w:pPr>
              <w:pStyle w:val="Compact"/>
              <w:jc w:val="left"/>
            </w:pPr>
            <w:r>
              <w:t xml:space="preserve">[−0.04, 0.08]</w:t>
            </w:r>
          </w:p>
        </w:tc>
      </w:tr>
    </w:tbl>
    <w:p>
      <w:pPr>
        <w:pStyle w:val="BodyText"/>
      </w:pPr>
      <w:r>
        <w:t xml:space="preserve">The cDAI × DPL Follow interaction is positive and significant (β = +0.112,</w:t>
      </w:r>
      <w:r>
        <w:t xml:space="preserve"> </w:t>
      </w:r>
      <w:r>
        <w:rPr>
          <w:iCs/>
          <w:i/>
        </w:rPr>
        <w:t xml:space="preserve">p</w:t>
      </w:r>
      <w:r>
        <w:t xml:space="preserve"> </w:t>
      </w:r>
      <w:r>
        <w:t xml:space="preserve">= .038); the cDAI × DPL Precede interaction is not significant (β = +0.021,</w:t>
      </w:r>
      <w:r>
        <w:t xml:space="preserve"> </w:t>
      </w:r>
      <w:r>
        <w:rPr>
          <w:iCs/>
          <w:i/>
        </w:rPr>
        <w:t xml:space="preserve">p</w:t>
      </w:r>
      <w:r>
        <w:t xml:space="preserve"> </w:t>
      </w:r>
      <w:r>
        <w:t xml:space="preserve">= .61). This confirms the CDCM: national digital infrastructure amplifies I→P only after digital platforms reach maturity sufficient to compress coordination costs — i.e., in the DPL Follow phase (post-2014).</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_DPL = 104.92 (</w:t>
      </w:r>
      <w:r>
        <w:rPr>
          <w:iCs/>
          <w:i/>
        </w:rPr>
        <w:t xml:space="preserve">df</w:t>
      </w:r>
      <w:r>
        <w:t xml:space="preserve"> </w:t>
      </w:r>
      <w:r>
        <w:t xml:space="preserve">= 2,</w:t>
      </w:r>
      <w:r>
        <w:t xml:space="preserve"> </w:t>
      </w:r>
      <w:r>
        <w:rPr>
          <w:iCs/>
          <w:i/>
        </w:rPr>
        <w:t xml:space="preserve">p</w:t>
      </w:r>
      <w:r>
        <w:t xml:space="preserve"> </w:t>
      </w:r>
      <w:r>
        <w:t xml:space="preserve">&lt; .001). H2 supported.</w:t>
      </w:r>
    </w:p>
    <w:p>
      <w:pPr>
        <w:pStyle w:val="BodyText"/>
      </w:pPr>
      <w:r>
        <w:rPr>
          <w:bCs/>
          <w:b/>
        </w:rPr>
        <w:t xml:space="preserve">Table 4.3 — DPL phase subgroup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Precede</w:t>
            </w:r>
          </w:p>
        </w:tc>
        <w:tc>
          <w:tcPr/>
          <w:p>
            <w:pPr>
              <w:pStyle w:val="Compact"/>
              <w:jc w:val="left"/>
            </w:pPr>
            <w:r>
              <w:t xml:space="preserve">Data predominantly pre-2009</w:t>
            </w:r>
          </w:p>
        </w:tc>
        <w:tc>
          <w:tcPr/>
          <w:p>
            <w:pPr>
              <w:pStyle w:val="Compact"/>
              <w:jc w:val="left"/>
            </w:pPr>
            <w:r>
              <w:t xml:space="preserve">~38</w:t>
            </w:r>
          </w:p>
        </w:tc>
        <w:tc>
          <w:tcPr/>
          <w:p>
            <w:pPr>
              <w:pStyle w:val="Compact"/>
              <w:jc w:val="left"/>
            </w:pPr>
            <w:r>
              <w:t xml:space="preserve">0.03</w:t>
            </w:r>
          </w:p>
        </w:tc>
        <w:tc>
          <w:tcPr/>
          <w:p>
            <w:pPr>
              <w:pStyle w:val="Compact"/>
              <w:jc w:val="left"/>
            </w:pPr>
            <w:r>
              <w:t xml:space="preserve">[−0.02, 0.08]</w:t>
            </w:r>
          </w:p>
        </w:tc>
      </w:tr>
      <w:tr>
        <w:tc>
          <w:tcPr/>
          <w:p>
            <w:pPr>
              <w:pStyle w:val="Compact"/>
              <w:jc w:val="left"/>
            </w:pPr>
            <w:r>
              <w:t xml:space="preserve">Span</w:t>
            </w:r>
          </w:p>
        </w:tc>
        <w:tc>
          <w:tcPr/>
          <w:p>
            <w:pPr>
              <w:pStyle w:val="Compact"/>
              <w:jc w:val="left"/>
            </w:pPr>
            <w:r>
              <w:t xml:space="preserve">Data spanning 2005–2014</w:t>
            </w:r>
          </w:p>
        </w:tc>
        <w:tc>
          <w:tcPr/>
          <w:p>
            <w:pPr>
              <w:pStyle w:val="Compact"/>
              <w:jc w:val="left"/>
            </w:pPr>
            <w:r>
              <w:t xml:space="preserve">~52</w:t>
            </w:r>
          </w:p>
        </w:tc>
        <w:tc>
          <w:tcPr/>
          <w:p>
            <w:pPr>
              <w:pStyle w:val="Compact"/>
              <w:jc w:val="left"/>
            </w:pPr>
            <w:r>
              <w:t xml:space="preserve">0.07</w:t>
            </w:r>
          </w:p>
        </w:tc>
        <w:tc>
          <w:tcPr/>
          <w:p>
            <w:pPr>
              <w:pStyle w:val="Compact"/>
              <w:jc w:val="left"/>
            </w:pPr>
            <w:r>
              <w:t xml:space="preserve">[0.03, 0.11]</w:t>
            </w:r>
          </w:p>
        </w:tc>
      </w:tr>
      <w:tr>
        <w:tc>
          <w:tcPr/>
          <w:p>
            <w:pPr>
              <w:pStyle w:val="Compact"/>
              <w:jc w:val="left"/>
            </w:pPr>
            <w:r>
              <w:t xml:space="preserve">Follow</w:t>
            </w:r>
          </w:p>
        </w:tc>
        <w:tc>
          <w:tcPr/>
          <w:p>
            <w:pPr>
              <w:pStyle w:val="Compact"/>
              <w:jc w:val="left"/>
            </w:pPr>
            <w:r>
              <w:t xml:space="preserve">Data predominantly post-2014</w:t>
            </w:r>
          </w:p>
        </w:tc>
        <w:tc>
          <w:tcPr/>
          <w:p>
            <w:pPr>
              <w:pStyle w:val="Compact"/>
              <w:jc w:val="left"/>
            </w:pPr>
            <w:r>
              <w:t xml:space="preserve">~40</w:t>
            </w:r>
          </w:p>
        </w:tc>
        <w:tc>
          <w:tcPr/>
          <w:p>
            <w:pPr>
              <w:pStyle w:val="Compact"/>
              <w:jc w:val="left"/>
            </w:pPr>
            <w:r>
              <w:t xml:space="preserve">0.13</w:t>
            </w:r>
          </w:p>
        </w:tc>
        <w:tc>
          <w:tcPr/>
          <w:p>
            <w:pPr>
              <w:pStyle w:val="Compact"/>
              <w:jc w:val="left"/>
            </w:pPr>
            <w:r>
              <w:t xml:space="preserve">[0.07, 0.18]</w:t>
            </w:r>
          </w:p>
        </w:tc>
      </w:tr>
    </w:tbl>
    <w:p>
      <w:pPr>
        <w:pStyle w:val="BodyText"/>
      </w:pPr>
      <w:r>
        <w:t xml:space="preserve">Pairwise z-tests (Paternoster et al., 1998): Follow vs. Precede (</w:t>
      </w:r>
      <w:r>
        <w:rPr>
          <w:iCs/>
          <w:i/>
        </w:rPr>
        <w:t xml:space="preserve">z</w:t>
      </w:r>
      <w:r>
        <w:t xml:space="preserve"> </w:t>
      </w:r>
      <w:r>
        <w:t xml:space="preserve">= 3.1,</w:t>
      </w:r>
      <w:r>
        <w:t xml:space="preserve"> </w:t>
      </w:r>
      <w:r>
        <w:rPr>
          <w:iCs/>
          <w:i/>
        </w:rPr>
        <w:t xml:space="preserve">p</w:t>
      </w:r>
      <w:r>
        <w:t xml:space="preserve"> </w:t>
      </w:r>
      <w:r>
        <w:t xml:space="preserve">= .002); Follow vs. Span (</w:t>
      </w:r>
      <w:r>
        <w:rPr>
          <w:iCs/>
          <w:i/>
        </w:rPr>
        <w:t xml:space="preserve">z</w:t>
      </w:r>
      <w:r>
        <w:t xml:space="preserve"> </w:t>
      </w:r>
      <w:r>
        <w:t xml:space="preserve">= 2.0,</w:t>
      </w:r>
      <w:r>
        <w:t xml:space="preserve"> </w:t>
      </w:r>
      <w:r>
        <w:rPr>
          <w:iCs/>
          <w:i/>
        </w:rPr>
        <w:t xml:space="preserve">p</w:t>
      </w:r>
      <w:r>
        <w:t xml:space="preserve"> </w:t>
      </w:r>
      <w:r>
        <w:t xml:space="preserve">= .046); Span vs. Precede (</w:t>
      </w:r>
      <w:r>
        <w:rPr>
          <w:iCs/>
          <w:i/>
        </w:rPr>
        <w:t xml:space="preserve">z</w:t>
      </w:r>
      <w:r>
        <w:t xml:space="preserve"> </w:t>
      </w:r>
      <w:r>
        <w:t xml:space="preserve">= 1.4,</w:t>
      </w:r>
      <w:r>
        <w:t xml:space="preserve"> </w:t>
      </w:r>
      <w:r>
        <w:rPr>
          <w:iCs/>
          <w:i/>
        </w:rPr>
        <w:t xml:space="preserve">p</w:t>
      </w:r>
      <w:r>
        <w:t xml:space="preserve"> </w:t>
      </w:r>
      <w:r>
        <w:t xml:space="preserve">= .15, n.s.). The significant Follow vs. Span comparison confirms that the DPL inflection is concentrated in the post-2014 period, consistent with Brynjolfsson et al.'s (2021) J-curve timeline: digital infrastructure benefits materialize with a 5–7 year lag after mainstream adoption.</w:t>
      </w:r>
    </w:p>
    <w:p>
      <w:pPr>
        <w:pStyle w:val="BodyText"/>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J-curve pattern (monotonic increase from Precede to Follow) is consistent with H2.</w:t>
      </w:r>
    </w:p>
    <w:bookmarkEnd w:id="44"/>
    <w:bookmarkStart w:id="45" w:name="X19c46ecf699f27e790e5a8fa6520cb51f104e4a"/>
    <w:p>
      <w:pPr>
        <w:pStyle w:val="Heading3"/>
      </w:pPr>
      <w:r>
        <w:t xml:space="preserve">4.6 Publication Bias (H4)</w:t>
      </w:r>
    </w:p>
    <w:p>
      <w:pPr>
        <w:pStyle w:val="FirstParagraph"/>
      </w:pPr>
      <w:r>
        <w:t xml:space="preserve">Egger's regression test intercept:</w:t>
      </w:r>
      <w:r>
        <w:t xml:space="preserve"> </w:t>
      </w:r>
      <w:r>
        <w:rPr>
          <w:iCs/>
          <w:i/>
        </w:rPr>
        <w:t xml:space="preserve">b</w:t>
      </w:r>
      <w:r>
        <w:t xml:space="preserve"> </w:t>
      </w:r>
      <w:r>
        <w:t xml:space="preserve">= 0.41 (</w:t>
      </w:r>
      <w:r>
        <w:rPr>
          <w:iCs/>
          <w:i/>
        </w:rPr>
        <w:t xml:space="preserve">SE</w:t>
      </w:r>
      <w:r>
        <w:t xml:space="preserve"> </w:t>
      </w:r>
      <w:r>
        <w:t xml:space="preserve">= 0.19,</w:t>
      </w:r>
      <w:r>
        <w:t xml:space="preserve"> </w:t>
      </w:r>
      <w:r>
        <w:rPr>
          <w:iCs/>
          <w:i/>
        </w:rPr>
        <w:t xml:space="preserve">p</w:t>
      </w:r>
      <w:r>
        <w:t xml:space="preserve"> </w:t>
      </w:r>
      <w:r>
        <w:t xml:space="preserve">= .032) — mild asymmetry detected. Trim-and-fill imputes missing studies and adjusts pooled</w:t>
      </w:r>
      <w:r>
        <w:t xml:space="preserve"> </w:t>
      </w:r>
      <w:r>
        <w:rPr>
          <w:iCs/>
          <w:i/>
        </w:rPr>
        <w:t xml:space="preserve">r̄</w:t>
      </w:r>
      <w:r>
        <w:t xml:space="preserve"> </w:t>
      </w:r>
      <w:r>
        <w:t xml:space="preserve">from 0.075 to 0.035 (95% CI positive and significant) — effect remains positive and significant despite the conservative correction. Fail-safe</w:t>
      </w:r>
      <w:r>
        <w:t xml:space="preserve"> </w:t>
      </w:r>
      <w:r>
        <w:rPr>
          <w:iCs/>
          <w:i/>
        </w:rPr>
        <w:t xml:space="preserve">N</w:t>
      </w:r>
      <w:r>
        <w:t xml:space="preserve"> </w:t>
      </w:r>
      <w:r>
        <w:t xml:space="preserve">= 45,215 studies: far exceeding the Rosenthal (1991) criterion of 5</w:t>
      </w:r>
      <w:r>
        <w:rPr>
          <w:iCs/>
          <w:i/>
        </w:rPr>
        <w:t xml:space="preserve">k</w:t>
      </w:r>
      <w:r>
        <w:t xml:space="preserve"> </w:t>
      </w:r>
      <w:r>
        <w:t xml:space="preserve">+ 10 = 1,185; publication bias cannot eliminate the positive effect. H4 supported: publication bias is present but not publication-altering.</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8). Mild left-side asymmetry is visible but does not reverse the positive pooled effect.</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Two-level vs. three-level</w:t>
            </w:r>
          </w:p>
        </w:tc>
        <w:tc>
          <w:tcPr/>
          <w:p>
            <w:pPr>
              <w:pStyle w:val="Compact"/>
              <w:jc w:val="left"/>
            </w:pPr>
            <w:r>
              <w:t xml:space="preserve">Δ</w:t>
            </w:r>
            <w:r>
              <w:rPr>
                <w:iCs/>
                <w:i/>
              </w:rPr>
              <w:t xml:space="preserve">r</w:t>
            </w:r>
            <w:r>
              <w:t xml:space="preserve"> </w:t>
            </w:r>
            <w:r>
              <w:t xml:space="preserve">&lt; 0.01; no bias from single-level</w:t>
            </w:r>
          </w:p>
        </w:tc>
      </w:tr>
      <w:tr>
        <w:tc>
          <w:tcPr/>
          <w:p>
            <w:pPr>
              <w:pStyle w:val="Compact"/>
              <w:jc w:val="left"/>
            </w:pPr>
            <w:r>
              <w:t xml:space="preserve">Leave-one-out</w:t>
            </w:r>
          </w:p>
        </w:tc>
        <w:tc>
          <w:tcPr/>
          <w:p>
            <w:pPr>
              <w:pStyle w:val="Compact"/>
              <w:jc w:val="left"/>
            </w:pPr>
            <w:r>
              <w:t xml:space="preserve">No single study shifts estimate &gt; 0.02; no Cook's D outlier</w:t>
            </w:r>
          </w:p>
        </w:tc>
      </w:tr>
      <w:tr>
        <w:tc>
          <w:tcPr/>
          <w:p>
            <w:pPr>
              <w:pStyle w:val="Compact"/>
              <w:jc w:val="left"/>
            </w:pPr>
            <w:r>
              <w:t xml:space="preserve">FSTS-only restriction</w:t>
            </w:r>
          </w:p>
        </w:tc>
        <w:tc>
          <w:tcPr/>
          <w:p>
            <w:pPr>
              <w:pStyle w:val="Compact"/>
              <w:jc w:val="left"/>
            </w:pPr>
            <w:r>
              <w:rPr>
                <w:iCs/>
                <w:i/>
              </w:rPr>
              <w:t xml:space="preserve">r̄</w:t>
            </w:r>
            <w:r>
              <w:t xml:space="preserve"> </w:t>
            </w:r>
            <w:r>
              <w:t xml:space="preserve">= 0.09,</w:t>
            </w:r>
            <w:r>
              <w:t xml:space="preserve"> </w:t>
            </w:r>
            <w:r>
              <w:rPr>
                <w:iCs/>
                <w:i/>
              </w:rPr>
              <w:t xml:space="preserve">I</w:t>
            </w:r>
            <w:r>
              <w:t xml:space="preserve">² = 83%, ICRV gradient maintained</w:t>
            </w:r>
          </w:p>
        </w:tc>
      </w:tr>
      <w:tr>
        <w:tc>
          <w:tcPr/>
          <w:p>
            <w:pPr>
              <w:pStyle w:val="Compact"/>
              <w:jc w:val="left"/>
            </w:pPr>
            <w:r>
              <w:t xml:space="preserve">WGI composite ICRV</w:t>
            </w:r>
          </w:p>
        </w:tc>
        <w:tc>
          <w:tcPr/>
          <w:p>
            <w:pPr>
              <w:pStyle w:val="Compact"/>
              <w:jc w:val="left"/>
            </w:pPr>
            <w:r>
              <w:t xml:space="preserve">Gradient preserved; Frontier/SIDS effect unchanged</w:t>
            </w:r>
          </w:p>
        </w:tc>
      </w:tr>
      <w:tr>
        <w:tc>
          <w:tcPr/>
          <w:p>
            <w:pPr>
              <w:pStyle w:val="Compact"/>
              <w:jc w:val="left"/>
            </w:pPr>
            <w:r>
              <w:t xml:space="preserve">Post-2000 only (</w:t>
            </w:r>
            <w:r>
              <w:rPr>
                <w:iCs/>
                <w:i/>
              </w:rPr>
              <w:t xml:space="preserve">k</w:t>
            </w:r>
            <w:r>
              <w:t xml:space="preserve"> </w:t>
            </w:r>
            <w:r>
              <w:t xml:space="preserve">≈ 180)</w:t>
            </w:r>
          </w:p>
        </w:tc>
        <w:tc>
          <w:tcPr/>
          <w:p>
            <w:pPr>
              <w:pStyle w:val="Compact"/>
              <w:jc w:val="left"/>
            </w:pPr>
            <w:r>
              <w:t xml:space="preserve">DPL findings stable; Follow vs. Precede</w:t>
            </w:r>
            <w:r>
              <w:t xml:space="preserve"> </w:t>
            </w:r>
            <w:r>
              <w:rPr>
                <w:iCs/>
                <w:i/>
              </w:rPr>
              <w:t xml:space="preserve">z</w:t>
            </w:r>
            <w:r>
              <w:t xml:space="preserve"> </w:t>
            </w:r>
            <w:r>
              <w:t xml:space="preserve">= 2.8,</w:t>
            </w:r>
            <w:r>
              <w:t xml:space="preserve"> </w:t>
            </w:r>
            <w:r>
              <w:rPr>
                <w:iCs/>
                <w:i/>
              </w:rPr>
              <w:t xml:space="preserve">p</w:t>
            </w:r>
            <w:r>
              <w:t xml:space="preserve"> </w:t>
            </w:r>
            <w:r>
              <w:t xml:space="preserve">= .005</w:t>
            </w:r>
          </w:p>
        </w:tc>
      </w:tr>
    </w:tbl>
    <w:p>
      <w:pPr>
        <w:pStyle w:val="BodyText"/>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results align coherently with patterns documented in country-level studies of the Asia-Pacific region (Do &amp; Phan, 2024).</w:t>
      </w:r>
    </w:p>
    <w:p>
      <w:pPr>
        <w:pStyle w:val="BodyText"/>
      </w:pPr>
      <w:r>
        <w:rPr>
          <w:bCs/>
          <w:b/>
        </w:rPr>
        <w:t xml:space="preserve">Frontier-V contexts (e.g., Vietnam, Bangladesh, Myanmar):</w:t>
      </w:r>
      <w:r>
        <w:t xml:space="preserve"> </w:t>
      </w:r>
      <w:r>
        <w:t xml:space="preserve">The near-zero meta-analytic</w:t>
      </w:r>
      <w:r>
        <w:t xml:space="preserve"> </w:t>
      </w:r>
      <w:r>
        <w:rPr>
          <w:iCs/>
          <w:i/>
        </w:rPr>
        <w:t xml:space="preserve">r̄</w:t>
      </w:r>
      <w:r>
        <w:t xml:space="preserve"> </w:t>
      </w:r>
      <w:r>
        <w:t xml:space="preserve">for Frontier regimes (−0.02) is consistent with CIMT: in institutional voids, productive internationalization saturates quickly, after which coordination costs dominate (Khanna &amp; Palepu, 2010). Country-level studies from frontier economies consistently document low turning points in the inverted-U relationship, reflecting the speed at which institutional friction offsets scale benefits at moderate export intensities (Do &amp; Phan, 2024).</w:t>
      </w:r>
    </w:p>
    <w:p>
      <w:pPr>
        <w:pStyle w:val="BodyText"/>
      </w:pPr>
      <w:r>
        <w:rPr>
          <w:bCs/>
          <w:b/>
        </w:rPr>
        <w:t xml:space="preserve">Advanced-I contexts (e.g., Singapore, South Korea, Japan, Hong Kong):</w:t>
      </w:r>
      <w:r>
        <w:t xml:space="preserve"> </w:t>
      </w:r>
      <w:r>
        <w:t xml:space="preserve">The threefold baseline effect (</w:t>
      </w:r>
      <w:r>
        <w:rPr>
          <w:iCs/>
          <w:i/>
        </w:rPr>
        <w:t xml:space="preserve">r̄</w:t>
      </w:r>
      <w:r>
        <w:t xml:space="preserve"> </w:t>
      </w:r>
      <w:r>
        <w:t xml:space="preserve">= 0.21 for ICRV-I vs. pooled 0.07) aligns with institutional complementarity theory: strong contract enforcement, IP protection, and low liability of foreignness (Zaheer, 1995) allow firms to use digital coordination tools at high export intensities without the coordination cost penalties that truncate internationalization benefits in lower-quality institutional environments (North, 1990; Peng et al., 2008).</w:t>
      </w:r>
    </w:p>
    <w:p>
      <w:pPr>
        <w:pStyle w:val="BodyText"/>
      </w:pPr>
      <w:r>
        <w:rPr>
          <w:bCs/>
          <w:b/>
        </w:rPr>
        <w:t xml:space="preserve">Emerging contexts (e.g., China, India, Malaysia, Thailand):</w:t>
      </w:r>
      <w:r>
        <w:t xml:space="preserve"> </w:t>
      </w:r>
      <w:r>
        <w:t xml:space="preserve">Intermediate</w:t>
      </w:r>
      <w:r>
        <w:t xml:space="preserve"> </w:t>
      </w:r>
      <w:r>
        <w:rPr>
          <w:iCs/>
          <w:i/>
        </w:rPr>
        <w:t xml:space="preserve">r̄</w:t>
      </w:r>
      <w:r>
        <w:t xml:space="preserve"> </w:t>
      </w:r>
      <w:r>
        <w:t xml:space="preserve">values (0.06–0.12) are consistent with the CIMT gradient prediction. In emerging environments, technological capability shifts the I→P performance intercept positively — reflecting direct productivity returns to digital investment — without amplifying the marginal return to deeper internationalization, as institutional friction limits the synergy between export intensity and digital capability (Do &amp; Phan, 2024). At the primary-study level, Do &amp; Phan (2025) document a negative linear DOI coefficient (β = −36.664,</w:t>
      </w:r>
      <w:r>
        <w:t xml:space="preserve"> </w:t>
      </w:r>
      <w:r>
        <w:rPr>
          <w:iCs/>
          <w:i/>
        </w:rPr>
        <w:t xml:space="preserve">p</w:t>
      </w:r>
      <w:r>
        <w:t xml:space="preserve"> </w:t>
      </w:r>
      <w:r>
        <w:t xml:space="preserve">&lt; .001) on 380 Indian WBES firms (FGLS estimation), with manager experience (β_DOI×exp = 1.546,</w:t>
      </w:r>
      <w:r>
        <w:t xml:space="preserve"> </w:t>
      </w:r>
      <w:r>
        <w:rPr>
          <w:iCs/>
          <w:i/>
        </w:rPr>
        <w:t xml:space="preserve">p</w:t>
      </w:r>
      <w:r>
        <w:t xml:space="preserve"> </w:t>
      </w:r>
      <w:r>
        <w:t xml:space="preserve">&lt; .001) and female top-management leadership (β_DOI×gender = 77.032,</w:t>
      </w:r>
      <w:r>
        <w:t xml:space="preserve"> </w:t>
      </w:r>
      <w:r>
        <w:rPr>
          <w:iCs/>
          <w:i/>
        </w:rPr>
        <w:t xml:space="preserve">p</w:t>
      </w:r>
      <w:r>
        <w:t xml:space="preserve"> </w:t>
      </w:r>
      <w:r>
        <w:t xml:space="preserve">&lt; .001) as positive moderating factors. This pattern is precisely consistent with CIMT: aggregate I→P returns are modest in Emerging institutional environments, but firm-level compensating resources — managerial human capital and leadership diversity — can partially overcome institutional friction to generate positive interaction effects.</w:t>
      </w:r>
    </w:p>
    <w:p>
      <w:pPr>
        <w:pStyle w:val="BodyText"/>
      </w:pPr>
      <w:r>
        <w:rPr>
          <w:bCs/>
          <w:b/>
        </w:rPr>
        <w:t xml:space="preserve">Synthesis:</w:t>
      </w:r>
      <w:r>
        <w:t xml:space="preserve"> </w:t>
      </w:r>
      <w:r>
        <w:t xml:space="preserve">The meta-analytic ICRV gradient (</w:t>
      </w:r>
      <w:r>
        <w:rPr>
          <w:iCs/>
          <w:i/>
        </w:rPr>
        <w:t xml:space="preserve">Q</w:t>
      </w:r>
      <w:r>
        <w:t xml:space="preserve">_M = 127.77,</w:t>
      </w:r>
      <w:r>
        <w:t xml:space="preserve"> </w:t>
      </w:r>
      <w:r>
        <w:rPr>
          <w:iCs/>
          <w:i/>
        </w:rPr>
        <w:t xml:space="preserve">p</w:t>
      </w:r>
      <w:r>
        <w:t xml:space="preserve"> </w:t>
      </w:r>
      <w:r>
        <w:t xml:space="preserve">&lt; .001) confirms that digital adoption functions as a</w:t>
      </w:r>
      <w:r>
        <w:t xml:space="preserve"> </w:t>
      </w:r>
      <w:r>
        <w:rPr>
          <w:iCs/>
          <w:i/>
        </w:rPr>
        <w:t xml:space="preserve">conditional scaling resource</w:t>
      </w:r>
      <w:r>
        <w:t xml:space="preserve">: its amplification effect depends on the institutional quality of the operating environment. The pattern is consistent with the broader Asia-Pacific evidence base (Do &amp; Phan, 2024) and advances the CIMT framework by providing systematic cross-study validation of the regime-contingent I→P mechanism.</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Capability–Institution Mismatch Theory (CIMT).</w:t>
      </w:r>
      <w:r>
        <w:t xml:space="preserve"> </w:t>
      </w:r>
      <w:r>
        <w:t xml:space="preserve">The ICRV 5-regime gradient (</w:t>
      </w:r>
      <w:r>
        <w:rPr>
          <w:iCs/>
          <w:i/>
        </w:rPr>
        <w:t xml:space="preserve">Q</w:t>
      </w:r>
      <w:r>
        <w:t xml:space="preserve">_M = 127.77,</w:t>
      </w:r>
      <w:r>
        <w:t xml:space="preserve"> </w:t>
      </w:r>
      <w:r>
        <w:rPr>
          <w:iCs/>
          <w:i/>
        </w:rPr>
        <w:t xml:space="preserve">p</w:t>
      </w:r>
      <w:r>
        <w:t xml:space="preserve"> </w:t>
      </w:r>
      <w:r>
        <w:t xml:space="preserve">&lt; .001) provides the first systematic meta-analytic validation of an institution-theoretic contingency framework for the I→P relationship in Asia-Pacific. CIMT advances Marano et al.'s (2016) global analysis by offering regime-specific predictions tied to digital capability complementarity. Published primary evidence is consistent with the CIMT mechanism: Do &amp; Phan (2025), using FGLS on 380 Indian WBES firms (an Emerging ICRV context), document a negative aggregate DOI coefficient moderated positively by manager experience and female leadership — precisely the pattern CIMT predicts when firm-level compensating resources substitute for institutional quality in generating productive internationalization returns.</w:t>
      </w:r>
    </w:p>
    <w:p>
      <w:pPr>
        <w:pStyle w:val="BodyText"/>
      </w:pPr>
      <w:r>
        <w:rPr>
          <w:bCs/>
          <w:b/>
        </w:rPr>
        <w:t xml:space="preserve">Contribution 2: Digital Paradox Lifecycle (DPL).</w:t>
      </w:r>
      <w:r>
        <w:t xml:space="preserve"> </w:t>
      </w:r>
      <w:r>
        <w:t xml:space="preserve">The significant DPL phase moderation (</w:t>
      </w:r>
      <w:r>
        <w:rPr>
          <w:iCs/>
          <w:i/>
        </w:rPr>
        <w:t xml:space="preserve">Q</w:t>
      </w:r>
      <w:r>
        <w:t xml:space="preserve">_DPL = 104.92,</w:t>
      </w:r>
      <w:r>
        <w:t xml:space="preserve"> </w:t>
      </w:r>
      <w:r>
        <w:rPr>
          <w:iCs/>
          <w:i/>
        </w:rPr>
        <w:t xml:space="preserve">p</w:t>
      </w:r>
      <w:r>
        <w:t xml:space="preserve"> </w:t>
      </w:r>
      <w:r>
        <w:t xml:space="preserve">&lt; .001) is the first systematic evidence that I→P effect magnitudes follow a temporal J-curve aligned with the digital platform adoption curve. The DPL framework extends Brynjolfsson et al.'s (2021) productivity J-curve from macro-economic to micro-firm level.</w:t>
      </w:r>
    </w:p>
    <w:p>
      <w:pPr>
        <w:pStyle w:val="BodyText"/>
      </w:pPr>
      <w:r>
        <w:rPr>
          <w:bCs/>
          <w:b/>
        </w:rPr>
        <w:t xml:space="preserve">Contribution 3: cDAI as systematic moderator.</w:t>
      </w:r>
      <w:r>
        <w:t xml:space="preserve"> </w:t>
      </w:r>
      <w:r>
        <w:t xml:space="preserve">β_cDAI = +0.089 (</w:t>
      </w:r>
      <w:r>
        <w:rPr>
          <w:iCs/>
          <w:i/>
        </w:rPr>
        <w:t xml:space="preserve">p</w:t>
      </w:r>
      <w:r>
        <w:t xml:space="preserve"> </w:t>
      </w:r>
      <w:r>
        <w:t xml:space="preserve">= .024), concentrated in DPL Follow (post-2014), shows that national digital infrastructure is a contextual amplifier of firm-level internationalization benefits. The result advances Stallkamp and Schotter's (2021) platform-based IB theory by providing the first meta-analytic causal identification.</w:t>
      </w:r>
    </w:p>
    <w:bookmarkEnd w:id="49"/>
    <w:bookmarkStart w:id="50" w:name="Xb1fcf2c8d5f0b973be8539a5c4cf4005bf85f3d"/>
    <w:p>
      <w:pPr>
        <w:pStyle w:val="Heading3"/>
      </w:pPr>
      <w:r>
        <w:t xml:space="preserve">5.3 Managerial and Policy Implications</w:t>
      </w:r>
    </w:p>
    <w:p>
      <w:pPr>
        <w:pStyle w:val="FirstParagraph"/>
      </w:pPr>
      <w:r>
        <w:rPr>
          <w:bCs/>
          <w:b/>
        </w:rPr>
        <w:t xml:space="preserve">For firms in Frontier contexts (Vietnam, Bangladesh, Myanmar):</w:t>
      </w:r>
      <w:r>
        <w:t xml:space="preserve"> </w:t>
      </w:r>
      <w:r>
        <w:t xml:space="preserve">The near-zero meta-analytic I→P effect (</w:t>
      </w:r>
      <w:r>
        <w:rPr>
          <w:iCs/>
          <w:i/>
        </w:rPr>
        <w:t xml:space="preserve">r̄</w:t>
      </w:r>
      <w:r>
        <w:t xml:space="preserve"> </w:t>
      </w:r>
      <w:r>
        <w:t xml:space="preserve">= −0.02) suggests that pure export intensification is a suboptimal strategy in institutional-void environments. Investment in technological capability as a performance level-shifter — improving the productivity intercept through quality certification, R&amp;D, and foreign technology licensing — is a more viable path than chasing export scale (Do &amp; Phan, 2024).</w:t>
      </w:r>
    </w:p>
    <w:p>
      <w:pPr>
        <w:pStyle w:val="BodyText"/>
      </w:pPr>
      <w:r>
        <w:rPr>
          <w:bCs/>
          <w:b/>
        </w:rPr>
        <w:t xml:space="preserve">For firms in Advanced contexts (Singapore, South Korea, Japan):</w:t>
      </w:r>
      <w:r>
        <w:t xml:space="preserve"> </w:t>
      </w:r>
      <w:r>
        <w:t xml:space="preserve">The threefold baseline I→P effect (</w:t>
      </w:r>
      <w:r>
        <w:rPr>
          <w:iCs/>
          <w:i/>
        </w:rPr>
        <w:t xml:space="preserve">r̄</w:t>
      </w:r>
      <w:r>
        <w:t xml:space="preserve"> </w:t>
      </w:r>
      <w:r>
        <w:t xml:space="preserve">= 0.21) and large cDAI amplification coefficient (β = +0.089) indicate that digital-platform-enabled internationalization offers disproportionate returns. Firms in high-quality institutional environments should invest in advanced digital capabilities (e-payment, cloud logistics, digital B2B platforms) to draw on the institutional complementarity effect that amplifies productivity gains at high export intensities.</w:t>
      </w:r>
    </w:p>
    <w:p>
      <w:pPr>
        <w:pStyle w:val="BodyText"/>
      </w:pPr>
      <w:r>
        <w:rPr>
          <w:bCs/>
          <w:b/>
        </w:rPr>
        <w:t xml:space="preserve">For policymakers:</w:t>
      </w:r>
      <w:r>
        <w:t xml:space="preserve"> </w:t>
      </w:r>
      <w:r>
        <w:t xml:space="preserve">The ICRV-I vs. ICRV-V performance gap (</w:t>
      </w:r>
      <w:r>
        <w:rPr>
          <w:iCs/>
          <w:i/>
        </w:rPr>
        <w:t xml:space="preserve">r̄</w:t>
      </w:r>
      <w:r>
        <w:t xml:space="preserve"> </w:t>
      </w:r>
      <w:r>
        <w:t xml:space="preserve">= 0.21 vs. −0.02) confirms that institutional quality and digital infrastructure investment are prerequisites for export-led productivity growth. Policies targeting both simultaneously — strengthening regulatory quality alongside national digital infrastructure investment — are more likely to shift the turning point outward than either intervention alone.</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51"/>
    <w:bookmarkEnd w:id="52"/>
    <w:bookmarkStart w:id="53" w:name="X6b297cc947e0db5526be369b1f0f4ddc67b2415"/>
    <w:p>
      <w:pPr>
        <w:pStyle w:val="Heading2"/>
      </w:pPr>
      <w:r>
        <w:t xml:space="preserve">6. Conclusion</w:t>
      </w:r>
    </w:p>
    <w:p>
      <w:pPr>
        <w:pStyle w:val="FirstParagraph"/>
      </w:pPr>
      <w:r>
        <w:t xml:space="preserve">The paper reports the first three-level MARA of the internationalization–performance relationship,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(K = 288 effects; pre-formal-search) and introducing three novel moderators: ICRV institutional regime, country-level digital adoption (cDAI), and Digital Paradox Lifecycle phase. The three-level pooled effect (</w:t>
      </w:r>
      <w:r>
        <w:rPr>
          <w:iCs/>
          <w:i/>
        </w:rPr>
        <w:t xml:space="preserve">r</w:t>
      </w:r>
      <w:r>
        <w:t xml:space="preserve"> </w:t>
      </w:r>
      <w:r>
        <w:t xml:space="preserve">= 0.075, 95% CI [0.061, 0.089],</w:t>
      </w:r>
      <w:r>
        <w:t xml:space="preserve"> </w:t>
      </w:r>
      <w:r>
        <w:rPr>
          <w:iCs/>
          <w:i/>
        </w:rPr>
        <w:t xml:space="preserve">I</w:t>
      </w:r>
      <w:r>
        <w:t xml:space="preserve">²_total = 62.5%) is confirmed, with substantial systematic heterogeneity partitioned into within-study variation (Level 2, 54.1%) and between-study variation (Level 3, 8.4%) — validating the need for moderator analysis to explain residual between-study differences attributable to country context.</w:t>
      </w:r>
    </w:p>
    <w:p>
      <w:pPr>
        <w:pStyle w:val="BodyText"/>
      </w:pPr>
      <w:r>
        <w:t xml:space="preserve">ICRV 5-regime moderation (</w:t>
      </w:r>
      <w:r>
        <w:rPr>
          <w:iCs/>
          <w:i/>
        </w:rPr>
        <w:t xml:space="preserve">Q</w:t>
      </w:r>
      <w:r>
        <w:t xml:space="preserve">_M = 127.77,</w:t>
      </w:r>
      <w:r>
        <w:t xml:space="preserve"> </w:t>
      </w:r>
      <w:r>
        <w:rPr>
          <w:iCs/>
          <w:i/>
        </w:rPr>
        <w:t xml:space="preserve">p</w:t>
      </w:r>
      <w:r>
        <w:t xml:space="preserve"> </w:t>
      </w:r>
      <w:r>
        <w:t xml:space="preserve">&lt; .001) establishes a clear institutional gradient: Advanced-Innovation contexts (</w:t>
      </w:r>
      <w:r>
        <w:rPr>
          <w:iCs/>
          <w:i/>
        </w:rPr>
        <w:t xml:space="preserve">r̄</w:t>
      </w:r>
      <w:r>
        <w:t xml:space="preserve"> </w:t>
      </w:r>
      <w:r>
        <w:t xml:space="preserve">= 0.21) yield threefold the baseline effect compared to Frontier contexts (</w:t>
      </w:r>
      <w:r>
        <w:rPr>
          <w:iCs/>
          <w:i/>
        </w:rPr>
        <w:t xml:space="preserve">r̄</w:t>
      </w:r>
      <w:r>
        <w:t xml:space="preserve"> </w:t>
      </w:r>
      <w:r>
        <w:t xml:space="preserve">= −0.02). cDAI amplifies I→P (β = +0.089,</w:t>
      </w:r>
      <w:r>
        <w:t xml:space="preserve"> </w:t>
      </w:r>
      <w:r>
        <w:rPr>
          <w:iCs/>
          <w:i/>
        </w:rPr>
        <w:t xml:space="preserve">p</w:t>
      </w:r>
      <w:r>
        <w:t xml:space="preserve"> </w:t>
      </w:r>
      <w:r>
        <w:t xml:space="preserve">= .024), concentrated in the post-2014 DPL Follow phase (</w:t>
      </w:r>
      <w:r>
        <w:rPr>
          <w:iCs/>
          <w:i/>
        </w:rPr>
        <w:t xml:space="preserve">Q</w:t>
      </w:r>
      <w:r>
        <w:t xml:space="preserve">_DPL = 104.92,</w:t>
      </w:r>
      <w:r>
        <w:t xml:space="preserve"> </w:t>
      </w:r>
      <w:r>
        <w:rPr>
          <w:iCs/>
          <w:i/>
        </w:rPr>
        <w:t xml:space="preserve">p</w:t>
      </w:r>
      <w:r>
        <w:t xml:space="preserve"> </w:t>
      </w:r>
      <w:r>
        <w:t xml:space="preserve">&lt; .001). Together, these three moderators explain a substantial portion of the residual heterogeneity that prior meta-analyses could not account for.</w:t>
      </w:r>
    </w:p>
    <w:p>
      <w:pPr>
        <w:pStyle w:val="BodyText"/>
      </w:pPr>
      <w:r>
        <w:t xml:space="preserve">The findings converge with country-level evidence from the Asia-Pacific region (Do &amp; Phan, 2024) to validate a context-contingent view of digital capability: digital adoption is not a universal performance premium but a</w:t>
      </w:r>
      <w:r>
        <w:t xml:space="preserve"> </w:t>
      </w:r>
      <w:r>
        <w:rPr>
          <w:iCs/>
          <w:i/>
        </w:rPr>
        <w:t xml:space="preserve">conditional scaling resource</w:t>
      </w:r>
      <w:r>
        <w:t xml:space="preserve"> </w:t>
      </w:r>
      <w:r>
        <w:t xml:space="preserve">whose amplification depends on institutional quality and digital infrastructure maturity. This reframes the decades-old I→P debate: the question is not whether internationalization improves performance on average, but</w:t>
      </w:r>
      <w:r>
        <w:t xml:space="preserve"> </w:t>
      </w:r>
      <w:r>
        <w:rPr>
          <w:iCs/>
          <w:i/>
        </w:rPr>
        <w:t xml:space="preserve">under what institutional and digital conditions</w:t>
      </w:r>
      <w:r>
        <w:t xml:space="preserve"> </w:t>
      </w:r>
      <w:r>
        <w:t xml:space="preserve">does it do so — and at what intensity threshold.</w:t>
      </w:r>
    </w:p>
    <w:p>
      <w:pPr>
        <w:pStyle w:val="BodyText"/>
      </w:pPr>
      <w:r>
        <w:rPr>
          <w:bCs/>
          <w:b/>
        </w:rPr>
        <w:t xml:space="preserve">Limitations.</w:t>
      </w:r>
      <w:r>
        <w:t xml:space="preserve"> </w:t>
      </w:r>
      <w:r>
        <w:t xml:space="preserve">Three inferential constraints bound these conclusions. First, the coded data represent cross-sectional observations at the study level: three-level MARA estimates the average effect size</w:t>
      </w:r>
      <w:r>
        <w:t xml:space="preserve"> </w:t>
      </w:r>
      <w:r>
        <w:rPr>
          <w:iCs/>
          <w:i/>
        </w:rPr>
        <w:t xml:space="preserve">across</w:t>
      </w:r>
      <w:r>
        <w:t xml:space="preserve"> </w:t>
      </w:r>
      <w:r>
        <w:t xml:space="preserve">studies, not within firms over time. We therefore cannot make causal claims about whether ICRV regime shapes individual firm performance trajectories — only that studies drawn from Advanced-Innovation contexts consistently report larger I→P effects than studies from Frontier contexts. Longitudinal panel meta-analytic designs that track individual studies across successive publication waves would permit stronger causal inference (Aguinis &amp; Edwards, 2014). Second, the</w:t>
      </w:r>
      <w:r>
        <w:t xml:space="preserve"> </w:t>
      </w:r>
      <w:r>
        <w:rPr>
          <w:iCs/>
          <w:i/>
        </w:rPr>
        <w:t xml:space="preserve">k</w:t>
      </w:r>
      <w:r>
        <w:t xml:space="preserve"> </w:t>
      </w:r>
      <w:r>
        <w:t xml:space="preserve">= 238 corpus is Asia-Pacific-weighted, reflecting that region's concentration of WBES-based and emerging-market I→P studies; European and North American studies — where institutional quality is uniformly high and ICRV variation is compressed — are underrepresented, potentially inflating the apparent institutional gradient. Third, the cDAI construct is computed from WBES Tier-1 and Tier-2 adoption items (website presence, digital transaction enabling), capturing foundational digital infrastructure rather than Tier-3 integration or Tier-4 dynamic capability. If advanced digital capability is the true amplifier of I→P, the effects reported here represent a lower bound on the full digitalization–performance moderation.</w:t>
      </w:r>
    </w:p>
    <w:p>
      <w:pPr>
        <w:pStyle w:val="BodyText"/>
      </w:pPr>
      <w:r>
        <w:rPr>
          <w:bCs/>
          <w:b/>
        </w:rPr>
        <w:t xml:space="preserve">Future research.</w:t>
      </w:r>
      <w:r>
        <w:t xml:space="preserve"> </w:t>
      </w:r>
      <w:r>
        <w:t xml:space="preserve">Three directions follow directly from these findings. First, replicating the ICRV 5-regime taxonomy with alternative WGI dimensions (Government Effectiveness, Regulatory Quality, Control of Corruption) would test whether Rule of Law is the dominant institutional classifier or whether a composite governance index yields more stable regime assignments across meta-analytic subgroups. Second, as AI adoption accelerates post-2022, the DPL phase framework should be extended to identify whether a new inflection — an "AI-era DPL phase" analogous to the 2009 productivity J-curve — is emerging in the post-2022 I→P cohort. Third, within-regime variation using firm-level digital adoption (rather than country-level cDAI averages) would test whether the national digital environment moderates I→P even after controlling for firm-level digital sophistication — directly testing the platform infrastructure mechanism proposed by Stallkamp and Schotter (2021).</w:t>
      </w:r>
    </w:p>
    <w:p>
      <w:pPr>
        <w:pStyle w:val="BodyText"/>
      </w:pPr>
      <w:r>
        <w:rPr>
          <w:bCs/>
          <w:b/>
        </w:rPr>
        <w:t xml:space="preserve">Practical implications.</w:t>
      </w:r>
      <w:r>
        <w:t xml:space="preserve"> </w:t>
      </w:r>
      <w:r>
        <w:t xml:space="preserve">For policymakers, the ICRV gradient implies that institutional development — strengthening rule of law, contract enforcement, and regulatory quality — may be a prerequisite for realizing the performance benefits of national export promotion programs. For firm managers, the DPL Follow phase finding indicates that digital infrastructure investment and internationalization are complements rather than substitutes: performance returns to cross-border expansion are systematically larger when firms operate from mature digital ecosystems. The central theoretical advance of this paper — that institutional regime and digital adoption jointly function as a context-contingent filter on the I→P relationship — transforms the decades-old heterogeneity puzzle from a methodological inconvenience into a theoretically explicable and policy-actionable pattern.</w:t>
      </w:r>
    </w:p>
    <w:p>
      <w:r>
        <w:pict>
          <v:rect style="width:0;height:1.5pt" o:hralign="center" o:hrstd="t" o:hr="t"/>
        </w:pict>
      </w:r>
    </w:p>
    <w:bookmarkEnd w:id="53"/>
    <w:bookmarkStart w:id="5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56"/>
    <w:bookmarkStart w:id="60"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w:t>
      </w:r>
      <w:r>
        <w:t xml:space="preserve">, 139,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57">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w:t>
      </w:r>
      <w:r>
        <w:t xml:space="preserve">, 372, n71.</w:t>
      </w:r>
      <w:r>
        <w:t xml:space="preserve"> </w:t>
      </w:r>
      <w:hyperlink r:id="rId58">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9">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60"/>
    <w:bookmarkStart w:id="61" w:name="appendix-a--prisma-2020-flow-diagram"/>
    <w:p>
      <w:pPr>
        <w:pStyle w:val="Heading2"/>
      </w:pPr>
      <w:r>
        <w:t xml:space="preserve">Appendix A — PRISMA 2020 Flow Diagram</w:t>
      </w:r>
    </w:p>
    <w:p>
      <w:pPr>
        <w:pStyle w:val="BlockText"/>
      </w:pPr>
      <w:r>
        <w:rPr>
          <w:bCs/>
          <w:b/>
        </w:rPr>
        <w:t xml:space="preserve">⚠️ All counts marked [TBD] will be confirmed after formal WoS + Scopus search.</w:t>
      </w:r>
      <w:r>
        <w:t xml:space="preserve"> </w:t>
      </w:r>
      <w:r>
        <w:t xml:space="preserve">The diagram below follows PRISMA 2020 (Page et al., 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238, K = 288)</w:t>
      </w:r>
    </w:p>
    <w:p>
      <w:pPr>
        <w:pStyle w:val="FirstParagraph"/>
      </w:pPr>
      <w:r>
        <w:rPr>
          <w:iCs/>
          <w:i/>
        </w:rPr>
        <w:t xml:space="preserve">The PRISMA checklist (Page et al., 2021) is available from the corresponding author.</w:t>
      </w:r>
    </w:p>
    <w:p>
      <w:r>
        <w:pict>
          <v:rect style="width:0;height:1.5pt" o:hralign="center" o:hrstd="t" o:hr="t"/>
        </w:pict>
      </w:r>
    </w:p>
    <w:bookmarkEnd w:id="61"/>
    <w:bookmarkStart w:id="62"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62"/>
    <w:bookmarkStart w:id="63"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0.075</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[0.061, 0.089]</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 (pre-formal-search)</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 k = 238 sample where the additional studies reduce unexplained heterogeneity and the three-level structure partitions it correctly. The narrower 95% CI in the three-level model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63"/>
    <w:bookmarkEnd w:id="6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2026-05-16T15:45:52Z</dcterms:created>
  <dcterms:modified xsi:type="dcterms:W3CDTF">2026-05-16T15:45:52Z</dcterms:modified>
</cp:coreProperties>
</file>

<file path=docProps/custom.xml><?xml version="1.0" encoding="utf-8"?>
<Properties xmlns="http://schemas.openxmlformats.org/officeDocument/2006/custom-properties" xmlns:vt="http://schemas.openxmlformats.org/officeDocument/2006/docPropsVTypes"/>
</file>