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3.png" ContentType="image/png"/>
  <Override PartName="/word/media/rId46.png" ContentType="image/png"/>
  <Override PartName="/word/media/rId49.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Submitted to: Journal of Economics and Development (JED), National Economics University /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334000" cy="2930266"/>
            <wp:effectExtent b="0" l="0" r="0" t="0"/>
            <wp:docPr descr="Figure 1: Conceptual model — TCI, DAI, and export intensity as determinants of firm performance (Vietnam, 3-wave)" title="" id="31" name="Picture"/>
            <a:graphic>
              <a:graphicData uri="http://schemas.openxmlformats.org/drawingml/2006/picture">
                <pic:pic>
                  <pic:nvPicPr>
                    <pic:cNvPr descr="figures/vietnam/figure_1_conceptual_model.png" id="32" name="Picture"/>
                    <pic:cNvPicPr>
                      <a:picLocks noChangeArrowheads="1" noChangeAspect="1"/>
                    </pic:cNvPicPr>
                  </pic:nvPicPr>
                  <pic:blipFill>
                    <a:blip r:embed="rId30"/>
                    <a:stretch>
                      <a:fillRect/>
                    </a:stretch>
                  </pic:blipFill>
                  <pic:spPr bwMode="auto">
                    <a:xfrm>
                      <a:off x="0" y="0"/>
                      <a:ext cx="5334000" cy="293026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and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and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63"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2"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2"/>
    <w:bookmarkStart w:id="55"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334000" cy="3555999"/>
            <wp:effectExtent b="0" l="0" r="0" t="0"/>
            <wp:docPr descr="Figure 2a: Wave 2009 — predicted ln(labour productivity) vs FSTS" title="" id="44" name="Picture"/>
            <a:graphic>
              <a:graphicData uri="http://schemas.openxmlformats.org/drawingml/2006/picture">
                <pic:pic>
                  <pic:nvPicPr>
                    <pic:cNvPr descr="figures/vietnam/figure_2a.png" id="45" name="Picture"/>
                    <pic:cNvPicPr>
                      <a:picLocks noChangeArrowheads="1" noChangeAspect="1"/>
                    </pic:cNvPicPr>
                  </pic:nvPicPr>
                  <pic:blipFill>
                    <a:blip r:embed="rId43"/>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334000" cy="3555999"/>
            <wp:effectExtent b="0" l="0" r="0" t="0"/>
            <wp:docPr descr="Figure 2b: Wave 2015 — predicted ln(labour productivity) vs FSTS" title="" id="47" name="Picture"/>
            <a:graphic>
              <a:graphicData uri="http://schemas.openxmlformats.org/drawingml/2006/picture">
                <pic:pic>
                  <pic:nvPicPr>
                    <pic:cNvPr descr="figures/vietnam/figure_2b.png" id="48" name="Picture"/>
                    <pic:cNvPicPr>
                      <a:picLocks noChangeArrowheads="1" noChangeAspect="1"/>
                    </pic:cNvPicPr>
                  </pic:nvPicPr>
                  <pic:blipFill>
                    <a:blip r:embed="rId46"/>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334000" cy="3555999"/>
            <wp:effectExtent b="0" l="0" r="0" t="0"/>
            <wp:docPr descr="Figure 2c: Wave 2023 — predicted ln(labour productivity) vs FSTS" title="" id="50" name="Picture"/>
            <a:graphic>
              <a:graphicData uri="http://schemas.openxmlformats.org/drawingml/2006/picture">
                <pic:pic>
                  <pic:nvPicPr>
                    <pic:cNvPr descr="figures/vietnam/figure_2c.png" id="51" name="Picture"/>
                    <pic:cNvPicPr>
                      <a:picLocks noChangeArrowheads="1" noChangeAspect="1"/>
                    </pic:cNvPicPr>
                  </pic:nvPicPr>
                  <pic:blipFill>
                    <a:blip r:embed="rId49"/>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334000" cy="3555999"/>
            <wp:effectExtent b="0" l="0" r="0" t="0"/>
            <wp:docPr descr="Figure 2d: Pooled (2009+2015+2023) — predicted ln(labour productivity) vs FSTS" title="" id="53" name="Picture"/>
            <a:graphic>
              <a:graphicData uri="http://schemas.openxmlformats.org/drawingml/2006/picture">
                <pic:pic>
                  <pic:nvPicPr>
                    <pic:cNvPr descr="figures/vietnam/figure_2d.png" id="54" name="Picture"/>
                    <pic:cNvPicPr>
                      <a:picLocks noChangeArrowheads="1" noChangeAspect="1"/>
                    </pic:cNvPicPr>
                  </pic:nvPicPr>
                  <pic:blipFill>
                    <a:blip r:embed="rId52"/>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5"/>
    <w:bookmarkStart w:id="59"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334000" cy="2226365"/>
            <wp:effectExtent b="0" l="0" r="0" t="0"/>
            <wp:docPr descr="Figure 3: Moderator marginal effects — TCI and DAI interactions with FSTS (Vietnam)" title="" id="57" name="Picture"/>
            <a:graphic>
              <a:graphicData uri="http://schemas.openxmlformats.org/drawingml/2006/picture">
                <pic:pic>
                  <pic:nvPicPr>
                    <pic:cNvPr descr="figures/vietnam/figure_3_moderator_marginals.png" id="58" name="Picture"/>
                    <pic:cNvPicPr>
                      <a:picLocks noChangeArrowheads="1" noChangeAspect="1"/>
                    </pic:cNvPicPr>
                  </pic:nvPicPr>
                  <pic:blipFill>
                    <a:blip r:embed="rId56"/>
                    <a:stretch>
                      <a:fillRect/>
                    </a:stretch>
                  </pic:blipFill>
                  <pic:spPr bwMode="auto">
                    <a:xfrm>
                      <a:off x="0" y="0"/>
                      <a:ext cx="5334000" cy="2226365"/>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9"/>
    <w:bookmarkStart w:id="60"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0"/>
    <w:bookmarkStart w:id="62"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and Mehlum, 2010). Source: WBES Vietnam 2009, 2015, 2023; authors' calculations.</w:t>
      </w:r>
    </w:p>
    <w:bookmarkEnd w:id="61"/>
    <w:bookmarkEnd w:id="62"/>
    <w:bookmarkEnd w:id="63"/>
    <w:bookmarkStart w:id="69"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w:t>
      </w:r>
      <w:r>
        <w:t xml:space="preserve"> </w:t>
      </w:r>
      <w:r>
        <w:rPr>
          <w:iCs/>
          <w:i/>
        </w:rPr>
        <w:t xml:space="preserve">et al.</w:t>
      </w:r>
      <w:r>
        <w:t xml:space="preserve">, 2026). This corroboration strengthens the interpretation that moderate export intensity generates genuine productivity gains in Vietnamese firms — not merely a compositional artefact of positive selection into exporting.</w:t>
      </w:r>
    </w:p>
    <w:bookmarkStart w:id="64"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4"/>
    <w:bookmarkStart w:id="65"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5"/>
    <w:bookmarkStart w:id="66"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6"/>
    <w:bookmarkStart w:id="67"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7"/>
    <w:bookmarkStart w:id="68"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w:t>
      </w:r>
      <w:r>
        <w:t xml:space="preserve"> </w:t>
      </w:r>
      <w:r>
        <w:rPr>
          <w:iCs/>
          <w:i/>
        </w:rPr>
        <w:t xml:space="preserve">et al.</w:t>
      </w:r>
      <w:r>
        <w:t xml:space="preserve">, 2026), suggesting that the ascending limb documented in the WBES microdata reflects in part the economy-wide gains from trade opening that firm-level capability investments convert into sustained productivity advantage.</w:t>
      </w:r>
    </w:p>
    <w:bookmarkEnd w:id="68"/>
    <w:bookmarkEnd w:id="69"/>
    <w:bookmarkStart w:id="70"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0"/>
    <w:bookmarkStart w:id="71"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1"/>
    <w:bookmarkStart w:id="72" w:name="conflict-of-interest"/>
    <w:p>
      <w:pPr>
        <w:pStyle w:val="Heading2"/>
      </w:pPr>
      <w:r>
        <w:t xml:space="preserve">Conflict of interest</w:t>
      </w:r>
    </w:p>
    <w:p>
      <w:pPr>
        <w:pStyle w:val="FirstParagraph"/>
      </w:pPr>
      <w:r>
        <w:t xml:space="preserve">The authors declare no conflict of interest.</w: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3"/>
    <w:bookmarkStart w:id="7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4"/>
    <w:bookmarkStart w:id="75"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75"/>
    <w:bookmarkStart w:id="76"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76"/>
    <w:bookmarkStart w:id="77" w:name="acknowledgements"/>
    <w:p>
      <w:pPr>
        <w:pStyle w:val="Heading2"/>
      </w:pPr>
      <w:r>
        <w:t xml:space="preserve">Acknowledgements</w:t>
      </w:r>
    </w:p>
    <w:p>
      <w:pPr>
        <w:pStyle w:val="FirstParagraph"/>
      </w:pPr>
      <w:r>
        <w:t xml:space="preserve">[Acknowledgements removed for blind review; see separately submitted Title Page.]</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132" w:name="references"/>
    <w:p>
      <w:pPr>
        <w:pStyle w:val="Heading2"/>
      </w:pPr>
      <w:r>
        <w:t xml:space="preserve">References</w:t>
      </w:r>
    </w:p>
    <w:p>
      <w:pPr>
        <w:pStyle w:val="FirstParagraph"/>
      </w:pPr>
      <w:r>
        <w:t xml:space="preserve">Agarwal, R., Barattieri, A. and Mattoo, A. (2026), "Demand shocks, export expansion, and firm-level productivity: evidence from Vietnamese manufacturers", working paper, The World Bank, Washington, DC. [DOI pending; verify and add upon assignment before submission]</w:t>
      </w:r>
    </w:p>
    <w:p>
      <w:pPr>
        <w:pStyle w:val="BodyText"/>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79">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80">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81">
        <w:r>
          <w:rPr>
            <w:rStyle w:val="Hyperlink"/>
          </w:rPr>
          <w:t xml:space="preserve">https://doi.org/10.1057/s41267-019-00243-7</w:t>
        </w:r>
      </w:hyperlink>
    </w:p>
    <w:p>
      <w:pPr>
        <w:pStyle w:val="BodyText"/>
      </w:pPr>
      <w:r>
        <w:t xml:space="preserve">Barattieri, A., Mattoo, A. and Signoret, J.E. (2026), "Service trade liberalization and productivity growth: micro-evidence from Vietnam, 2008-2016", working paper, The World Bank, Washington, DC. [DOI pending; verify and add upon assignment before submission]</w:t>
      </w:r>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82">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83">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84">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85">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86">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87">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88">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89">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90">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91">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92">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93">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94">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95">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96">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97">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98">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99">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100">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101">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102">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103">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105">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106">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107">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108">
        <w:r>
          <w:rPr>
            <w:rStyle w:val="Hyperlink"/>
          </w:rPr>
          <w:t xml:space="preserve">https://doi.org/10.1177/0149206315624963</w:t>
        </w:r>
      </w:hyperlink>
    </w:p>
    <w:p>
      <w:pPr>
        <w:pStyle w:val="BodyText"/>
      </w:pPr>
      <w:r>
        <w:t xml:space="preserve">Nambisan, S., Wright, M. and Feldman, M. (2019), "The digital transformation of innovation and entrepreneurship: progress, challenges and key themes",</w:t>
      </w:r>
      <w:r>
        <w:t xml:space="preserve"> </w:t>
      </w:r>
      <w:r>
        <w:rPr>
          <w:iCs/>
          <w:i/>
        </w:rPr>
        <w:t xml:space="preserve">Research Policy</w:t>
      </w:r>
      <w:r>
        <w:t xml:space="preserve">, Vol. 48 No. 8, p.103773,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110">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111">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112">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113">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114">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115">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116">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117">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118">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120">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121">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125">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Wolfolds, S.E. and Siegel, J. (2019), "Misaccounting for endogeneity: the peril of relying on the Heckman two-step method without a valid instrument",</w:t>
      </w:r>
      <w:r>
        <w:t xml:space="preserve"> </w:t>
      </w:r>
      <w:r>
        <w:rPr>
          <w:iCs/>
          <w:i/>
        </w:rPr>
        <w:t xml:space="preserve">Strategic Management Journal</w:t>
      </w:r>
      <w:r>
        <w:t xml:space="preserve">, Vol. 40 No. 3, pp.432-462,</w:t>
      </w:r>
      <w:r>
        <w:t xml:space="preserve"> </w:t>
      </w:r>
      <w:hyperlink r:id="rId126">
        <w:r>
          <w:rPr>
            <w:rStyle w:val="Hyperlink"/>
          </w:rPr>
          <w:t xml:space="preserve">https://doi.org/10.1002/smj.2995</w:t>
        </w:r>
      </w:hyperlink>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127">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127">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127">
        <w:r>
          <w:rPr>
            <w:rStyle w:val="Hyperlink"/>
          </w:rPr>
          <w:t xml:space="preserve">https://www.enterprisesurveys.org/en/enterprisesurveys</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128">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129">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130">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131">
        <w:r>
          <w:rPr>
            <w:rStyle w:val="Hyperlink"/>
          </w:rPr>
          <w:t xml:space="preserve">https://doi.org/10.1016/j.jwb.2015.09.001</w:t>
        </w:r>
      </w:hyperlink>
    </w:p>
    <w:bookmarkEnd w:id="132"/>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hyperlink" Id="rId41"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2" Target="https://doi.org/10.1002/1097-0266(200010/11)21:10/11"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98"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4" Target="https://doi.org/10.1002/smj.2399" TargetMode="External" /><Relationship Type="http://schemas.openxmlformats.org/officeDocument/2006/relationships/hyperlink" Id="rId87"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97" Target="https://doi.org/10.1007/s11575-007-0023-3" TargetMode="External" /><Relationship Type="http://schemas.openxmlformats.org/officeDocument/2006/relationships/hyperlink" Id="rId89"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0"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102" Target="https://doi.org/10.1057/jibs.2009.24" TargetMode="External" /><Relationship Type="http://schemas.openxmlformats.org/officeDocument/2006/relationships/hyperlink" Id="rId85" Target="https://doi.org/10.1057/jibs.2015.20" TargetMode="External" /><Relationship Type="http://schemas.openxmlformats.org/officeDocument/2006/relationships/hyperlink" Id="rId91" Target="https://doi.org/10.1057/palgrave.jibs.8400390" TargetMode="External" /><Relationship Type="http://schemas.openxmlformats.org/officeDocument/2006/relationships/hyperlink" Id="rId101" Target="https://doi.org/10.1057/palgrave.jibs.8490676" TargetMode="External" /><Relationship Type="http://schemas.openxmlformats.org/officeDocument/2006/relationships/hyperlink" Id="rId121" Target="https://doi.org/10.1057/s41267-017-0107-7" TargetMode="External" /><Relationship Type="http://schemas.openxmlformats.org/officeDocument/2006/relationships/hyperlink" Id="rId90" Target="https://doi.org/10.1057/s41267-017-0120-x" TargetMode="External" /><Relationship Type="http://schemas.openxmlformats.org/officeDocument/2006/relationships/hyperlink" Id="rId81"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5"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2" Target="https://doi.org/10.1177/014920639101700108" TargetMode="External" /><Relationship Type="http://schemas.openxmlformats.org/officeDocument/2006/relationships/hyperlink" Id="rId79" Target="https://doi.org/10.1177/1094428119836485" TargetMode="External" /><Relationship Type="http://schemas.openxmlformats.org/officeDocument/2006/relationships/hyperlink" Id="rId93" Target="https://doi.org/10.1257/jel.20171452" TargetMode="External" /><Relationship Type="http://schemas.openxmlformats.org/officeDocument/2006/relationships/hyperlink" Id="rId83" Target="https://doi.org/10.1257/jep.21.3.105" TargetMode="External" /><Relationship Type="http://schemas.openxmlformats.org/officeDocument/2006/relationships/hyperlink" Id="rId86" Target="https://doi.org/10.1257/mac.20180386" TargetMode="External" /><Relationship Type="http://schemas.openxmlformats.org/officeDocument/2006/relationships/hyperlink" Id="rId96"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88" Target="https://doi.org/10.2307/2393553" TargetMode="External" /><Relationship Type="http://schemas.openxmlformats.org/officeDocument/2006/relationships/hyperlink" Id="rId99" Target="https://doi.org/10.2307/256948" TargetMode="External" /><Relationship Type="http://schemas.openxmlformats.org/officeDocument/2006/relationships/hyperlink" Id="rId84"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0"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41"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2" Target="https://doi.org/10.1002/1097-0266(200010/11)21:10/11"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98"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4" Target="https://doi.org/10.1002/smj.2399" TargetMode="External" /><Relationship Type="http://schemas.openxmlformats.org/officeDocument/2006/relationships/hyperlink" Id="rId87"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97" Target="https://doi.org/10.1007/s11575-007-0023-3" TargetMode="External" /><Relationship Type="http://schemas.openxmlformats.org/officeDocument/2006/relationships/hyperlink" Id="rId89"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0"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102" Target="https://doi.org/10.1057/jibs.2009.24" TargetMode="External" /><Relationship Type="http://schemas.openxmlformats.org/officeDocument/2006/relationships/hyperlink" Id="rId85" Target="https://doi.org/10.1057/jibs.2015.20" TargetMode="External" /><Relationship Type="http://schemas.openxmlformats.org/officeDocument/2006/relationships/hyperlink" Id="rId91" Target="https://doi.org/10.1057/palgrave.jibs.8400390" TargetMode="External" /><Relationship Type="http://schemas.openxmlformats.org/officeDocument/2006/relationships/hyperlink" Id="rId101" Target="https://doi.org/10.1057/palgrave.jibs.8490676" TargetMode="External" /><Relationship Type="http://schemas.openxmlformats.org/officeDocument/2006/relationships/hyperlink" Id="rId121" Target="https://doi.org/10.1057/s41267-017-0107-7" TargetMode="External" /><Relationship Type="http://schemas.openxmlformats.org/officeDocument/2006/relationships/hyperlink" Id="rId90" Target="https://doi.org/10.1057/s41267-017-0120-x" TargetMode="External" /><Relationship Type="http://schemas.openxmlformats.org/officeDocument/2006/relationships/hyperlink" Id="rId81"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5"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2" Target="https://doi.org/10.1177/014920639101700108" TargetMode="External" /><Relationship Type="http://schemas.openxmlformats.org/officeDocument/2006/relationships/hyperlink" Id="rId79" Target="https://doi.org/10.1177/1094428119836485" TargetMode="External" /><Relationship Type="http://schemas.openxmlformats.org/officeDocument/2006/relationships/hyperlink" Id="rId93" Target="https://doi.org/10.1257/jel.20171452" TargetMode="External" /><Relationship Type="http://schemas.openxmlformats.org/officeDocument/2006/relationships/hyperlink" Id="rId83" Target="https://doi.org/10.1257/jep.21.3.105" TargetMode="External" /><Relationship Type="http://schemas.openxmlformats.org/officeDocument/2006/relationships/hyperlink" Id="rId86" Target="https://doi.org/10.1257/mac.20180386" TargetMode="External" /><Relationship Type="http://schemas.openxmlformats.org/officeDocument/2006/relationships/hyperlink" Id="rId96"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88" Target="https://doi.org/10.2307/2393553" TargetMode="External" /><Relationship Type="http://schemas.openxmlformats.org/officeDocument/2006/relationships/hyperlink" Id="rId99" Target="https://doi.org/10.2307/256948" TargetMode="External" /><Relationship Type="http://schemas.openxmlformats.org/officeDocument/2006/relationships/hyperlink" Id="rId84"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0"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2026-06-07T23:36:55Z</dcterms:created>
  <dcterms:modified xsi:type="dcterms:W3CDTF">2026-06-07T23:36:55Z</dcterms:modified>
</cp:coreProperties>
</file>

<file path=docProps/custom.xml><?xml version="1.0" encoding="utf-8"?>
<Properties xmlns="http://schemas.openxmlformats.org/officeDocument/2006/custom-properties" xmlns:vt="http://schemas.openxmlformats.org/officeDocument/2006/docPropsVTypes"/>
</file>