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1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cả TCI và DAI đều</w:t>
      </w:r>
      <w:r>
        <w:t xml:space="preserve"> </w:t>
      </w:r>
      <w:r>
        <w:rPr>
          <w:bCs/>
          <w:b/>
        </w:rPr>
        <w:t xml:space="preserve">nâng mặt bằng hiệu quả một cách phổ quát</w:t>
      </w:r>
      <w:r>
        <w:t xml:space="preserve"> </w:t>
      </w:r>
      <w:r>
        <w:t xml:space="preserve">(TCI là năng lực nền tảng, DAI là nguồn lực tình huống), nhưng vai trò</w:t>
      </w:r>
      <w:r>
        <w:t xml:space="preserve"> </w:t>
      </w:r>
      <w:r>
        <w:rPr>
          <w:bCs/>
          <w:b/>
        </w:rPr>
        <w:t xml:space="preserve">uốn đường cong</w:t>
      </w:r>
      <w:r>
        <w:t xml:space="preserve"> </w:t>
      </w:r>
      <w:r>
        <w:t xml:space="preserve">của chúng không phổ quát: trên toàn mẫu 50 nền các tương tác với đường cong không đạt ý nghĩa thống kê, và chỉ định hình rõ ở bối cảnh đơn quốc gia đặc thù (điển hình là hiệu ứng</w:t>
      </w:r>
      <w:r>
        <w:t xml:space="preserve"> </w:t>
      </w:r>
      <w:r>
        <w:t xml:space="preserve">“</w:t>
      </w:r>
      <w:r>
        <w:t xml:space="preserve">lá chắn số</w:t>
      </w:r>
      <w:r>
        <w:t xml:space="preserve">”</w:t>
      </w:r>
      <w:r>
        <w:t xml:space="preserve"> </w:t>
      </w:r>
      <w:r>
        <w:t xml:space="preserve">của DAI tại Singapore), với xu hướng mạnh hơn ở môi trường thể chế yếu nhưng chỉ ở mức biên ý nghĩa;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both TCI (a foundational capability) and DAI (a situational resource)</w:t>
      </w:r>
      <w:r>
        <w:t xml:space="preserve"> </w:t>
      </w:r>
      <w:r>
        <w:rPr>
          <w:bCs/>
          <w:b/>
        </w:rPr>
        <w:t xml:space="preserve">universally shift the performance level</w:t>
      </w:r>
      <w:r>
        <w:t xml:space="preserve">, but their curve-</w:t>
      </w:r>
      <w:r>
        <w:rPr>
          <w:bCs/>
          <w:b/>
        </w:rPr>
        <w:t xml:space="preserve">reshaping</w:t>
      </w:r>
      <w:r>
        <w:t xml:space="preserve"> </w:t>
      </w:r>
      <w:r>
        <w:t xml:space="preserve">role is not universal: across the 50-economy pool the curvature interactions are not statistically significant, and curve reshaping appears only in specific single-economy contexts (notably DAI’s</w:t>
      </w:r>
      <w:r>
        <w:t xml:space="preserve"> </w:t>
      </w:r>
      <w:r>
        <w:t xml:space="preserve">“</w:t>
      </w:r>
      <w:r>
        <w:t xml:space="preserve">digital shield</w:t>
      </w:r>
      <w:r>
        <w:t xml:space="preserve">”</w:t>
      </w:r>
      <w:r>
        <w:t xml:space="preserve"> </w:t>
      </w:r>
      <w:r>
        <w:t xml:space="preserve">in Singapore), with a tendency toward stronger moderation in weaker institutions that is only marginally significant;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các mô hình lồng nhau của P7 trên khung 50 nền (Chương 4, §4.6)</w:t>
      </w:r>
      <w:r>
        <w:t xml:space="preserve"> </w:t>
      </w:r>
      <w:r>
        <w:t xml:space="preserve">- Bảng 4.5. Điểm uốn theo nhóm ICRV, khung 50 nền (Chương 4, §4.6)</w:t>
      </w:r>
      <w:r>
        <w:t xml:space="preserve"> </w:t>
      </w:r>
      <w:r>
        <w:t xml:space="preserve">- Bảng 4.6. Điểm uốn theo đợt khảo sát, Ấn Độ (Chương 4, §4.8)</w:t>
      </w:r>
      <w:r>
        <w:t xml:space="preserve"> </w:t>
      </w:r>
      <w:r>
        <w:t xml:space="preserve">- Bảng 4.7.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50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numPr>
          <w:ilvl w:val="0"/>
          <w:numId w:val="1003"/>
        </w:numPr>
        <w:pStyle w:val="Compact"/>
      </w:pPr>
      <w:r>
        <w:t xml:space="preserve">Nghiên cứu thành phần P10, Nhật Bản: kiểm định biên trên của gradient thể chế trên đợt khảo sát WBES khai mở 2025.</w:t>
      </w:r>
      <w:r>
        <w:t xml:space="preserve"> </w:t>
      </w:r>
      <w:r>
        <w:rPr>
          <w:iCs/>
          <w:i/>
        </w:rPr>
        <w:t xml:space="preserve">[Bản thảo chuẩn bị gửi Asian Business &amp; Management.]</w:t>
      </w:r>
    </w:p>
    <w:p>
      <w:pPr>
        <w:numPr>
          <w:ilvl w:val="0"/>
          <w:numId w:val="1003"/>
        </w:numPr>
        <w:pStyle w:val="Compact"/>
      </w:pPr>
      <w:r>
        <w:t xml:space="preserve">Nghiên cứu thành phần P11 (sản phẩm phái sinh theo định hướng phát triển), Khoảng cách số tiền-AI và năng suất doanh nghiệp qua các chế độ thể chế châu Á (50 nền WBES): khai thác bằng chứng DAI×ICRV của luận án cho chủ đề AI–phát triển. Đích:</w:t>
      </w:r>
      <w:r>
        <w:t xml:space="preserve"> </w:t>
      </w:r>
      <w:r>
        <w:rPr>
          <w:iCs/>
          <w:i/>
        </w:rPr>
        <w:t xml:space="preserve">Journal of Economics and Development</w:t>
      </w:r>
      <w:r>
        <w:t xml:space="preserve">, số đặc biệt</w:t>
      </w:r>
      <w:r>
        <w:t xml:space="preserve"> </w:t>
      </w:r>
      <w:r>
        <w:t xml:space="preserve">“</w:t>
      </w:r>
      <w:r>
        <w:t xml:space="preserve">Sustainable Growth and Welfare in the Age of AI</w:t>
      </w:r>
      <w:r>
        <w:t xml:space="preserve">”</w:t>
      </w:r>
      <w:r>
        <w:t xml:space="preserve"> </w:t>
      </w:r>
      <w:r>
        <w:t xml:space="preserve">(Emerald; Scopus/ESCI/ABDC; diamond OA, không phí; hạn 31/10/2026).</w:t>
      </w:r>
      <w:r>
        <w:t xml:space="preserve"> </w:t>
      </w:r>
      <w:r>
        <w:rPr>
          <w:iCs/>
          <w:i/>
        </w:rPr>
        <w:t xml:space="preserve">[Bản thảo chuẩn bị gửi.]</w:t>
      </w:r>
    </w:p>
    <w:p>
      <w:pPr>
        <w:pStyle w:val="FirstParagraph"/>
      </w:pPr>
      <w:r>
        <w:rPr>
          <w:iCs/>
          <w:i/>
        </w:rPr>
        <w:t xml:space="preserve">Ghi chú về liêm chính học thuật: Theo định hướng luận án kết hợp công trình thành phần, các nghiên cứu P1–P11 là một phần nội dung nghiên cứu của chính luận án (P11 là sản phẩm phái sinh theo định hướng phát triển, khai thác lại bằng chứng của luận án); do đó trong các chương, chúng được dẫn chiếu bằng nhãn nội bộ (P1–P10) thay vì trích dẫn tác giả–năm. Các bản thảo ở mục B CHƯA được công bố/bình duyệt chính thức, không được diễn giải như bằng chứng đã qua bình duyệt độc lập; tên tạp chí mục tiêu được nêu để minh bạch định hướng công bố; trạng thái bình duyệt sẽ được cập nhật tại thời điểm bảo vệ. NCS cập nhật trạng thái tại thời điểm bảo vệ.</w:t>
      </w:r>
    </w:p>
    <w:p>
      <w:r>
        <w:pict>
          <v:rect style="width:0;height:1.5pt" o:hralign="center" o:hrstd="t" o:hr="t"/>
        </w:pict>
      </w:r>
    </w:p>
    <w:p>
      <w:r>
        <w:br w:type="page"/>
      </w:r>
    </w:p>
    <w:bookmarkEnd w:id="30"/>
    <w:bookmarkStart w:id="31" w:name="chương-1-giới-thiệu"/>
    <w:p>
      <w:pPr>
        <w:pStyle w:val="Heading1"/>
      </w:pPr>
      <w:r>
        <w:t xml:space="preserve">CHƯƠNG 1: GIỚI THIỆU</w:t>
      </w:r>
    </w:p>
    <w:bookmarkEnd w:id="31"/>
    <w:p>
      <w:r>
        <w:pict>
          <v:rect style="width:0;height:1.5pt" o:hralign="center" o:hrstd="t" o:hr="t"/>
        </w:pict>
      </w:r>
    </w:p>
    <w:bookmarkStart w:id="33" w:name="bối-cảnh-nghiên-cứu"/>
    <w:p>
      <w:pPr>
        <w:pStyle w:val="Heading2"/>
      </w:pPr>
      <w:r>
        <w:t xml:space="preserve">1.1 Bối cảnh nghiên cứu</w:t>
      </w:r>
    </w:p>
    <w:p>
      <w:pPr>
        <w:pStyle w:val="FirstParagraph"/>
      </w:pPr>
      <w:r>
        <w:t xml:space="preserve">Quốc tế hóa doanh nghiệp là một trong những chủ đề trung tâm của kinh doanh quốc tế trong hơn nửa thế kỷ qua. Kể từ khi Johanson và Vahlne (1977) đề xuất mô hình Uppsala về quá trình quốc tế hóa tuần tự, hàng thập kỷ nghiên cứu đã tích lũy nhằm trả lời câu hỏi cốt lõi: liệu quốc tế hóa có thực sự cải thiện hiệu quả hoạt động của doanh nghiệp hay không, và trong điều kiện nào điều đó xảy ra? Lu và Beamish (2004) cung cấp bằng chứng quan trọng về quan hệ hình chữ S (S-curve) giữa mức độ quốc tế hóa và hiệu quả, trong khi Contractor et al. (2003) và nhiều nghiên cứu tiếp theo tiếp tục thách thức, bổ sung và điều chỉnh kết luận đó. Dù tranh luận học thuật vẫn chưa ngã ngũ, sự đồng thuận hiện nay cho thấy mối quan hệ internationalization–firm performance (I–P) là có thực nhưng phức tạp, phụ thuộc vào nhiều điều kiện biên.</w:t>
      </w:r>
    </w:p>
    <w:p>
      <w:pPr>
        <w:pStyle w:val="BodyText"/>
      </w:pPr>
      <w:r>
        <w:t xml:space="preserve">Ở châu Á, bối cảnh này càng trở nên đặc biệt đáng quan tâm vì khu vực đang chứng kiến tốc độ hội nhập kinh tế và chuyển đổi số hết sức không đồng đều giữa các quốc gia. Từ Singapore, một nền kinh tế nhỏ mở, dẫn đầu thế giới về năng lực đổi mới và kết nối toàn cầu, đến Việt Nam, một nền kinh tế chuyển đổi đang đẩy nhanh cải cách thể chế và hội nhập quốc tế, rồi đến Trung Quốc với quy mô thị trường khổng lồ và cấu trúc thể chế đặc thù, thậm chí đến các quốc đảo nhỏ Thái Bình Dương đang phải đối mặt với thách thức sinh tồn kép của biến đổi khí hậu và bẫy phụ thuộc xuất khẩu, sự đa dạng này tạo ra một phòng thí nghiệm thực địa lý tưởng để kiểm định các điều kiện biên của quan hệ I–P (Khanna &amp; Palepu, 2010; Peng, 2003).</w:t>
      </w:r>
    </w:p>
    <w:p>
      <w:pPr>
        <w:pStyle w:val="BodyText"/>
      </w:pPr>
      <w:r>
        <w:t xml:space="preserve">Chuyển đổi số đang làm thay đổi căn bản cách thức doanh nghiệp quốc tế hóa và cách thức quốc tế hóa ảnh hưởng đến hiệu quả hoạt động. Banalieva và Dhanaraj (2019) lập luận rằng lý thuyết nội địa hóa cần được cập nhật cho nền kinh tế số, vì dữ liệu số và tương tác qua nền tảng làm giảm sự phụ thuộc vào hiện diện vật lý. Stallkamp và Schotter (2021) chỉ ra rằng các nền tảng số quốc tế hóa theo logic hoàn toàn khác các công ty đa quốc gia truyền thống. Verhoef et al. (2021) cung cấp khung phân tầng ba cấp từ digitization đến digitalization và digital transformation. Tuy nhiên, phần lớn bằng chứng thực nghiệm hiện có về vai trò của năng lực số trong quan hệ I–P vẫn tập trung vào các nền kinh tế phát triển, đặc biệt là Bắc Mỹ và Tây Âu, trong khi bằng chứng cho châu Á mới nổi còn rất hạn chế (Bhandari et al., 2023).</w:t>
      </w:r>
    </w:p>
    <w:p>
      <w:pPr>
        <w:pStyle w:val="BodyText"/>
      </w:pPr>
      <w:r>
        <w:t xml:space="preserve">Không thể bỏ qua vai trò của thể chế trong việc hình thành kết quả quốc tế hóa. Institutional Theory (North, 1990; Khanna &amp; Palepu, 2010) khẳng định rằng thể chế tạo ra cấu trúc khuyến khích và chi phí giao dịch khác nhau giữa các quốc gia. Ở các thị trường mới nổi,</w:t>
      </w:r>
      <w:r>
        <w:t xml:space="preserve"> </w:t>
      </w:r>
      <w:r>
        <w:t xml:space="preserve">“</w:t>
      </w:r>
      <w:r>
        <w:t xml:space="preserve">institutional voids</w:t>
      </w:r>
      <w:r>
        <w:t xml:space="preserve">”</w:t>
      </w:r>
      <w:r>
        <w:t xml:space="preserve">, tức sự thiếu hụt các thể chế trung gian hỗ trợ giao dịch thị trường, tạo ra chi phí bổ sung đáng kể cho doanh nghiệp quốc tế hóa (Peng, 2003). Sự đa dạng thể chế giữa các quốc gia châu Á, từ những nền kinh tế với quản trị nhà nước ổn định, pháp quyền mạnh như Singapore đến các nền kinh tế đang phát triển thể chế như Campuchia hay các quốc đảo Thái Bình Dương, tạo ra gradient thể chế đặc biệt phong phú để kiểm định. Luận án này tiếp cận gradient đó một cách hệ thống thông qua khung phân loại thể chế 6 nhóm được phát triển cho luận án này, gọi tắt là ICRV (Institutional Context Regime Variation, Biến thiên chế độ bối cảnh thể chế).</w:t>
      </w:r>
    </w:p>
    <w:p>
      <w:pPr>
        <w:pStyle w:val="BodyText"/>
      </w:pPr>
      <w:r>
        <w:t xml:space="preserve">Cuối cùng, nhà quản trị cấp cao đóng vai trò không thể bỏ qua trong việc hình thành chiến lược và kết quả quốc tế hóa. Upper Echelons Theory (Hambrick &amp; Mason, 1984) khẳng định rằng quyết định chiến lược phản ánh đặc điểm nhận thức, kinh nghiệm và giá trị của nhà quản trị. Kinh nghiệm quốc tế giúp nhà quản trị nhận diện cơ hội và giảm chi phí của liability of foreignness, trong khi sự đa dạng giới tính ở cấp lãnh đạo có thể tăng cường quản trị rủi ro và ra quyết định đa chiều (Hsu et al., 2013; Post &amp; Byron, 2015). Tích hợp tầng nhà quản trị vào khung giải thích đa tầng là cần thiết để phản ánh đầy đủ sự phức tạp của quan hệ I–P trong bối cảnh châu Á.</w:t>
      </w:r>
    </w:p>
    <w:bookmarkStart w:id="32" w:name="Xc1dcee8f5373723512b0db114b71fe5e38a510a"/>
    <w:p>
      <w:pPr>
        <w:pStyle w:val="Heading3"/>
      </w:pPr>
      <w:r>
        <w:t xml:space="preserve">1.1.1 Bối cảnh đương đại: thách thức việc làm, gradient thể chế và kỷ nguyên số</w:t>
      </w:r>
    </w:p>
    <w:p>
      <w:pPr>
        <w:pStyle w:val="FirstParagraph"/>
      </w:pPr>
      <w:r>
        <w:t xml:space="preserve">Tính cấp thiết của câu hỏi nghiên cứu được khuếch đại bởi ba dịch chuyển vĩ mô đang định hình lại bối cảnh của các nền kinh tế đang phát triển và mới nổi trong giai đoạn 2025–2026. Thứ nhất là</w:t>
      </w:r>
      <w:r>
        <w:t xml:space="preserve"> </w:t>
      </w:r>
      <w:r>
        <w:rPr>
          <w:bCs/>
          <w:b/>
        </w:rPr>
        <w:t xml:space="preserve">thách thức việc làm và cơ cấu dân số</w:t>
      </w:r>
      <w:r>
        <w:t xml:space="preserve">. Theo phân tích chuyên đề mới nhất của Ngân hàng Thế giới về nhóm thị trường biên (frontier markets), các nền kinh tế biên hiện chiếm hơn một phần năm dân số toàn cầu nhưng chỉ tạo ra khoảng 5% sản lượng thế giới, và dự kiến có hơn 230 triệu người bước vào độ tuổi lao động trong giai đoạn 2025–2035 (World Bank, 2026c). Khoảng cách năng suất ngày càng giãn rộng: thu nhập bình quân đầu người ở thị trường biên trung vị hiện thấp hơn một phần ba so với thị trường mới nổi điển hình, rộng hơn mức chênh lệch của năm 2000 (World Bank, 2026c). Việc chuyển hóa cơ hội dân số thành</w:t>
      </w:r>
      <w:r>
        <w:t xml:space="preserve"> </w:t>
      </w:r>
      <w:r>
        <w:t xml:space="preserve">“</w:t>
      </w:r>
      <w:r>
        <w:t xml:space="preserve">lợi tức dân số</w:t>
      </w:r>
      <w:r>
        <w:t xml:space="preserve">”</w:t>
      </w:r>
      <w:r>
        <w:t xml:space="preserve"> </w:t>
      </w:r>
      <w:r>
        <w:t xml:space="preserve">(demographic dividend) phụ thuộc vào năng lực tạo việc làm năng suất cao của khu vực doanh nghiệp, điều này khiến câu hỏi về cơ chế chuyển hóa quốc tế hóa thành hiệu quả doanh nghiệp trở thành một vấn đề phát triển cấp bách chứ không chỉ là tranh luận học thuật.</w:t>
      </w:r>
    </w:p>
    <w:p>
      <w:pPr>
        <w:pStyle w:val="BodyText"/>
      </w:pPr>
      <w:r>
        <w:t xml:space="preserve">Thứ hai là</w:t>
      </w:r>
      <w:r>
        <w:t xml:space="preserve"> </w:t>
      </w:r>
      <w:r>
        <w:rPr>
          <w:bCs/>
          <w:b/>
        </w:rPr>
        <w:t xml:space="preserve">vai trò trung tâm của chất lượng thể chế trong phân hóa kết quả tăng trưởng</w:t>
      </w:r>
      <w:r>
        <w:t xml:space="preserve">. Bằng chứng vĩ mô độc lập của Ngân hàng Thế giới củng cố trực tiếp tiền đề lý thuyết của luận án: trong số các thị trường biên, những nền kinh tế tăng trưởng nhanh nhất một phần tư thế kỷ qua là những nền đã cải thiện quản trị, thu hẹp chênh lệch lãi suất cho vay–huy động của ngân hàng, kiểm soát được nợ công và tích lũy vốn trên đầu người mạnh hơn; ngược lại, các điểm yếu thể chế và quản trị đi kèm chênh lệch lãi suất rộng và tăng trưởng vốn đáng thất vọng (World Bank, 2026c). Các con đường thành công lại đa dạng, từ thu hút đầu tư vào năng lượng và khoáng sản (Kazakhstan), đến sản xuất chế tạo giá trị gia tăng và xuất khẩu (Việt Nam), đến dịch vụ và du lịch (Rwanda), cho thấy không tồn tại một mô hình phát triển phổ quát mà kết quả phụ thuộc vào sự tương tác giữa chiến lược doanh nghiệp và bối cảnh thể chế (World Bank, 2026c). Mô hình phân hóa theo chế độ thể chế này chính là hiện tượng mà khung ICRV của luận án được thiết kế để vận hành hóa và kiểm định ở cấp doanh nghiệp.</w:t>
      </w:r>
    </w:p>
    <w:p>
      <w:pPr>
        <w:pStyle w:val="BodyText"/>
      </w:pPr>
      <w:r>
        <w:t xml:space="preserve">Thứ ba là</w:t>
      </w:r>
      <w:r>
        <w:t xml:space="preserve"> </w:t>
      </w:r>
      <w:r>
        <w:rPr>
          <w:bCs/>
          <w:b/>
        </w:rPr>
        <w:t xml:space="preserve">kỷ nguyên trí tuệ nhân tạo và biến động giá hàng hóa</w:t>
      </w:r>
      <w:r>
        <w:t xml:space="preserve">, hai lực lượng tạo ra bất định mới cho doanh nghiệp quốc tế hóa. Sự lan tỏa nhanh của trí tuệ nhân tạo đang định hình lại năng lực số của cả khu vực công lẫn khu vực tư, đặt ra yêu cầu mới về hạ tầng số công (digital public infrastructure) và quản trị dữ liệu như những điều kiện nền tảng cho năng lực cạnh tranh quốc gia (World Bank, 2026e). Đồng thời, cú sốc xung đột Trung Đông năm 2026 gây gián đoạn nguồn cung dầu lớn nhất trong lịch sử ghi nhận, đẩy giá năng lượng dự báo tăng 24% và giá hàng hóa nói chung tăng 16% trong năm 2026, làm chậm tăng trưởng và đẩy lạm phát của các nền kinh tế đang phát triển lên mức cao nhất bốn năm (World Bank, 2026d). Hai lực lượng này tác động không đồng đều theo chế độ thể chế: chúng vừa mở ra cơ hội</w:t>
      </w:r>
      <w:r>
        <w:t xml:space="preserve"> </w:t>
      </w:r>
      <w:r>
        <w:t xml:space="preserve">“</w:t>
      </w:r>
      <w:r>
        <w:t xml:space="preserve">nhảy vọt số</w:t>
      </w:r>
      <w:r>
        <w:t xml:space="preserve">”</w:t>
      </w:r>
      <w:r>
        <w:t xml:space="preserve"> </w:t>
      </w:r>
      <w:r>
        <w:t xml:space="preserve">cho các nền kinh tế đang nổi, vừa khuếch đại lợi thế của các nền kinh tế tài nguyên dẫn dắt, qua đó càng làm nổi bật sự cần thiết của một khung phân tích phân biệt được bối cảnh thay vì giả định hiệu ứng đồng nhất.</w:t>
      </w:r>
    </w:p>
    <w:p>
      <w:pPr>
        <w:pStyle w:val="BodyText"/>
      </w:pPr>
      <w:r>
        <w:t xml:space="preserve">Ba dịch chuyển trên hội tụ vào một hàm ý chung: hiểu được khi nào và trong điều kiện nào quốc tế hóa cải thiện hiệu quả doanh nghiệp không còn là câu hỏi thuần lý thuyết mà là điều kiện tiên quyết để thiết kế chính sách phát triển hữu hiệu cho khu vực châu Á–Thái Bình Dương đa dạng về thể chế. Luận án này định vị trong khoảng giao đó, kết nối tranh luận học thuật về quan hệ I–P với nhu cầu chính sách đương đại bằng một khung đa tầng và bằng chứng cấp doanh nghiệp quy mô lớn nhất từng có cho khu vực.</w:t>
      </w:r>
    </w:p>
    <w:p>
      <w:r>
        <w:pict>
          <v:rect style="width:0;height:1.5pt" o:hralign="center" o:hrstd="t" o:hr="t"/>
        </w:pict>
      </w:r>
    </w:p>
    <w:bookmarkEnd w:id="32"/>
    <w:bookmarkEnd w:id="33"/>
    <w:bookmarkStart w:id="34" w:name="vấn-đề-nghiên-cứu"/>
    <w:p>
      <w:pPr>
        <w:pStyle w:val="Heading2"/>
      </w:pPr>
      <w:r>
        <w:t xml:space="preserve">1.2 Vấn đề nghiên cứu</w:t>
      </w:r>
    </w:p>
    <w:p>
      <w:pPr>
        <w:pStyle w:val="FirstParagraph"/>
      </w:pPr>
      <w:r>
        <w:t xml:space="preserve">Mặc dù đã có hàng trăm nghiên cứu thực nghiệm, bằng chứng về mối quan hệ giữa quốc tế hóa và hiệu quả hoạt động của doanh nghiệp vẫn chưa thống nhất và tản mạn. Các phân tích tổng hợp (meta-analyses) về quan hệ I–P liên tục cho thấy tác động tổng hợp là dương nhưng nhỏ, hệ số tương quan tổng hợp r trong khoảng 0,07–0,13, đồng thời mức độ dị biệt giữa các nghiên cứu rất cao với I² thường vượt 80% (Bausch &amp; Krist, 2007; Kirca et al., 2012; Marano et al., 2016; Wu et al., 2022). Tình trạng dị biệt cao này không phải là tín hiệu của sai sót phương pháp, mà là bằng chứng cho thấy quan hệ I–P phụ thuộc sâu sắc vào điều kiện bối cảnh. Arte và Larimo (2022) lập luận rằng heterogeneity cao gợi ý sự cần thiết phải chuyển dịch từ mô hình đơn biến sang khung đa tầng có tính đến thể chế, năng lực và đặc điểm nhà quản trị.</w:t>
      </w:r>
    </w:p>
    <w:p>
      <w:pPr>
        <w:pStyle w:val="BodyText"/>
      </w:pPr>
      <w:r>
        <w:t xml:space="preserve">Ba khoảng trống nghiên cứu quan trọng được xác định từ tổng quan tài liệu. Khoảng trống thứ nhất là thiếu khung lý thuyết tích hợp đủ sức giải thích heterogeneity cao đó. Các nghiên cứu hiện tại thường chọn một hoặc hai lý thuyết làm nền, dẫn đến mô hình không đủ đa tầng để nắm bắt sự phức tạp thực tế. Uppsala model giải thích chi phí học hỏi nhưng không đủ để xử lý vai trò của thể chế; RBV giải thích sự khác biệt năng lực nhưng bỏ qua macro-context; Institutional Theory giải thích bối cảnh vĩ mô nhưng không tích hợp đặc điểm cá nhân nhà quản trị. Không một lý thuyết nào đứng riêng có thể giải thích đầy đủ heterogeneity đó. Khoảng trống thứ hai là sự đồng nhất không hợp lý giữa hai construct số khác nhau về bản chất: technological capability, chiều sâu năng lực công nghệ nhập vào tổ chức, và digital adoption, mức độ áp dụng công cụ số bề mặt trong hoạt động kinh doanh. Nhiều nghiên cứu trước gộp hai construct này thành một chỉ số composite duy nhất, điều này làm giảm độ chính xác của kết luận và có thể che khuất các cơ chế tác động khác nhau (Bharadwaj et al., 2013; Coltman et al., 2008; Verhoef et al., 2021). Khoảng trống thứ ba là thiếu bằng chứng cross-country quy mô lớn cho châu Á. Phần lớn nghiên cứu hiện có tập trung vào một quốc gia hoặc một tiểu vùng, và thậm chí khi có nghiên cứu đa quốc gia, phạm vi thường hẹp và thiếu sự đa dạng thể chế đủ lớn để kiểm định các điều kiện biên có ý nghĩa.</w:t>
      </w:r>
    </w:p>
    <w:p>
      <w:pPr>
        <w:pStyle w:val="BodyText"/>
      </w:pPr>
      <w:r>
        <w:t xml:space="preserve">Luận án này được thiết kế để giải quyết ba khoảng trống đó bằng cách xây dựng và kiểm định một khung giải thích đa tầng cho quan hệ I–P tại châu Á, với thiết kế mixed synthesis-empirical kết hợp meta-analysis và phân tích đa quốc gia quy mô lớn. Trọng tâm khoa học của luận án là vai trò điều tiết của thể chế, năng lực số và đặc điểm nhà quản trị, ba tầng điều tiết mà, theo lập luận của luận án, cùng nhau tạo nên cấu trúc giải thích cần thiết cho heterogeneity cao trong quan hệ I–P.</w:t>
      </w:r>
    </w:p>
    <w:p>
      <w:r>
        <w:pict>
          <v:rect style="width:0;height:1.5pt" o:hralign="center" o:hrstd="t" o:hr="t"/>
        </w:pict>
      </w:r>
    </w:p>
    <w:bookmarkEnd w:id="34"/>
    <w:bookmarkStart w:id="35" w:name="mục-tiêu-nghiên-cứu"/>
    <w:p>
      <w:pPr>
        <w:pStyle w:val="Heading2"/>
      </w:pPr>
      <w:r>
        <w:t xml:space="preserve">1.3 Mục tiêu nghiên cứu</w:t>
      </w:r>
    </w:p>
    <w:p>
      <w:pPr>
        <w:pStyle w:val="FirstParagraph"/>
      </w:pPr>
      <w:r>
        <w:t xml:space="preserve">Mục tiêu tổng quát của luận án là xây dựng và kiểm định một khung giải thích đa tầng cho mối quan hệ giữa quốc tế hóa và hiệu quả hoạt động của doanh nghiệp tại các quốc gia châu Á, trong đó làm rõ vai trò điều tiết của thể chế, năng lực số và đặc điểm nhà quản trị.</w:t>
      </w:r>
    </w:p>
    <w:p>
      <w:pPr>
        <w:pStyle w:val="BodyText"/>
      </w:pPr>
      <w:r>
        <w:t xml:space="preserve">Từ mục tiêu tổng quát đó, luận án triển khai bốn mục tiêu cụ thể. Mục tiêu cụ thể thứ nhất là tổng hợp và cập nhật bằng chứng meta-analytic về mối quan hệ I–P trong giai đoạn 1982–2026, xác định tác động tổng hợp, mức độ dị biệt và các nhân tố điều tiết (các biến điều tiết) chính giải thích heterogeneity trong văn liệu. Mục tiêu cụ thể thứ hai là kiểm định cơ chế cụ thể trong các bối cảnh quốc gia khác nhau, bao gồm Singapore với tư cách nền kinh tế nhỏ mở tiên tiến, Việt Nam với tư cách nền kinh tế chuyển đổi đang mở rộng, và Trung Quốc với tư cách nền kinh tế mới nổi quy mô lớn, nhằm làm rõ cách thức các cơ chế I–P vận hành khác nhau theo bối cảnh quốc gia. Mục tiêu cụ thể thứ ba là mở rộng phân tích sang 50 nền kinh tế châu Á và Thái Bình Dương (bao gồm 7 nền kinh tế Pacific SIDS) để kiểm định khả năng khái quát hóa của các phát hiện trên phạm vi rộng, kế thừa và mở rộng từ pool 17 nền kinh tế trong nghiên cứu thành phần P1. Mục tiêu cụ thể thứ tư là phân tích vai trò điều tiết của ba nhóm biến: thể chế (bao gồm các sub-regime ICRV và các chỉ số rào cản thể chế), năng lực số (phân biệt rõ technological capability index, TCI và chỉ số chấp nhận số, digital adoption index, DAI), và đặc điểm nhà quản trị cấp cao (kinh nghiệm và giới tính).</w:t>
      </w:r>
    </w:p>
    <w:p>
      <w:r>
        <w:pict>
          <v:rect style="width:0;height:1.5pt" o:hralign="center" o:hrstd="t" o:hr="t"/>
        </w:pict>
      </w:r>
    </w:p>
    <w:bookmarkEnd w:id="35"/>
    <w:bookmarkStart w:id="36" w:name="câu-hỏi-nghiên-cứu"/>
    <w:p>
      <w:pPr>
        <w:pStyle w:val="Heading2"/>
      </w:pPr>
      <w:r>
        <w:t xml:space="preserve">1.4 Câu hỏi nghiên cứu</w:t>
      </w:r>
    </w:p>
    <w:p>
      <w:pPr>
        <w:pStyle w:val="FirstParagraph"/>
      </w:pPr>
      <w:r>
        <w:t xml:space="preserve">Câu hỏi nghiên cứu trung tâm của luận án là: Quốc tế hóa ảnh hưởng đến hiệu quả hoạt động của doanh nghiệp ở châu Á như thế nào, và những điều kiện nào, về thể chế, năng lực số và đặc điểm nhà quản trị, giải thích sự dị biệt cao trong mối quan hệ đó?</w:t>
      </w:r>
    </w:p>
    <w:p>
      <w:pPr>
        <w:pStyle w:val="BodyText"/>
      </w:pPr>
      <w:r>
        <w:t xml:space="preserve">Từ câu hỏi trung tâm đó, bốn câu hỏi nghiên cứu cụ thể được đặt ra. Câu hỏi nghiên cứu thứ nhất (RQ1) là: Tác động tổng hợp của quốc tế hóa lên hiệu quả hoạt động của doanh nghiệp trong văn liệu 1982–2026 là gì, mức độ dị biệt ở mức nào, và những các biến điều tiết nào giải thích heterogeneity đó một cách có hệ thống? Câu hỏi nghiên cứu thứ hai (RQ2) là: Trong từng bối cảnh quốc gia cụ thể bao gồm Singapore, Việt Nam và Trung Quốc, mối quan hệ I–P vận hành theo những cơ chế đặc thù nào và sự phi tuyến có biểu hiện ra sao? Câu hỏi nghiên cứu thứ ba (RQ3) là: Trên phạm vi đa quốc gia châu Á bao gồm 50 nền kinh tế châu Á và Thái Bình Dương (bao gồm 7 nền kinh tế Pacific SIDS), vai trò điều tiết của chỉ số chấp nhận số (DAI) và technological capability index (TCI) có khái quát hóa được không, và hai construct này có thực sự vận hành theo các cơ chế khác nhau không? Câu hỏi nghiên cứu thứ tư (RQ4) là: Vai trò của thể chế, đo bằng sub-regime ICRV, cùng với sự phân biệt giữa TCI và DAI, và đặc điểm nhà quản trị trong việc điều tiết mối quan hệ I–P là gì, và sự tương tác ba chiều giữa ba tầng đó có ý nghĩa như thế nào?</w:t>
      </w:r>
    </w:p>
    <w:p>
      <w:r>
        <w:pict>
          <v:rect style="width:0;height:1.5pt" o:hralign="center" o:hrstd="t" o:hr="t"/>
        </w:pict>
      </w:r>
    </w:p>
    <w:bookmarkEnd w:id="36"/>
    <w:bookmarkStart w:id="40" w:name="đối-tượng-và-phạm-vi-nghiên-cứu"/>
    <w:p>
      <w:pPr>
        <w:pStyle w:val="Heading2"/>
      </w:pPr>
      <w:r>
        <w:t xml:space="preserve">1.5 Đối tượng và phạm vi nghiên cứu</w:t>
      </w:r>
    </w:p>
    <w:bookmarkStart w:id="37" w:name="đối-tượng-nghiên-cứu"/>
    <w:p>
      <w:pPr>
        <w:pStyle w:val="Heading3"/>
      </w:pPr>
      <w:r>
        <w:t xml:space="preserve">1.5.1 Đối tượng nghiên cứu</w:t>
      </w:r>
    </w:p>
    <w:p>
      <w:pPr>
        <w:pStyle w:val="FirstParagraph"/>
      </w:pPr>
      <w:r>
        <w:t xml:space="preserve">Đối tượng nghiên cứu của luận án là mối quan hệ giữa quốc tế hóa và hiệu quả hoạt động của doanh nghiệp (internationalization–firm performance relationship) cùng với các yếu tố điều tiết của mối quan hệ đó, bao gồm bối cảnh thể chế, năng lực số và đặc điểm nhà quản trị cấp cao. Đơn vị phân tích là doanh nghiệp ở cấp độ tổ chức (firm-level analysis), không phải cấp độ ngành hay cấp độ quốc gia.</w:t>
      </w:r>
    </w:p>
    <w:bookmarkEnd w:id="37"/>
    <w:bookmarkStart w:id="38" w:name="phạm-vi-không-gian"/>
    <w:p>
      <w:pPr>
        <w:pStyle w:val="Heading3"/>
      </w:pPr>
      <w:r>
        <w:t xml:space="preserve">1.5.2 Phạm vi không gian</w:t>
      </w:r>
    </w:p>
    <w:p>
      <w:pPr>
        <w:pStyle w:val="FirstParagraph"/>
      </w:pPr>
      <w:r>
        <w:t xml:space="preserve">Phạm vi không gian chính của nghiên cứu bao gồm</w:t>
      </w:r>
      <w:r>
        <w:t xml:space="preserve"> </w:t>
      </w:r>
      <w:r>
        <w:rPr>
          <w:bCs/>
          <w:b/>
        </w:rPr>
        <w:t xml:space="preserve">50 nền kinh tế châu Á và Thái Bình Dương</w:t>
      </w:r>
      <w:r>
        <w:t xml:space="preserve"> </w:t>
      </w:r>
      <w:r>
        <w:t xml:space="preserve">có dữ liệu trong Khảo sát Doanh nghiệp của Ngân hàng Thế giới (World Bank Enterprise Surveys, WBES), được phân loại và tổ chức theo 6 sub-regime trong khung ICRV. Sáu sub-regime bao gồm: (i) Advanced Innovation-Driven, gồm Singapore, Hong Kong SAR, Hàn Quốc, Đài Loan, Israel và Nhật Bản; (ii) Advanced Resource-Driven, đại diện là các nền kinh tế GCC; (iii) Upper-middle, đại diện là Trung Quốc và Malaysia; (iv) Lower-middle transition, bao gồm Việt Nam và các nền kinh tế ASEAN đang phát triển; (v) Emerging, bao gồm các nền kinh tế kém phát triển nhất châu Á như Campuchia, Nepal và Afghanistan; và (vi) SIDS (Small Island Developing States), bao gồm 7 nền kinh tế đảo nhỏ Thái Bình Dương (mẫu chính P8; mở rộng 9 nền gồm Comoros và Timor-Leste khi kiểm định độ vững) được đưa vào phân tích để kiểm định các điều kiện biên cực đoan của quan hệ I–P. Nhật Bản được Khảo sát Doanh nghiệp của Ngân hàng Thế giới đưa vào lần đầu năm 2025 (N = 2.168) và là thành viên đầy đủ của Nhóm I trong khung phân tích, đồng thời là đối tượng của nghiên cứu thành phần P10.</w:t>
      </w:r>
    </w:p>
    <w:bookmarkEnd w:id="38"/>
    <w:bookmarkStart w:id="39" w:name="phạm-vi-thời-gian"/>
    <w:p>
      <w:pPr>
        <w:pStyle w:val="Heading3"/>
      </w:pPr>
      <w:r>
        <w:t xml:space="preserve">1.5.3 Phạm vi thời gian</w:t>
      </w:r>
    </w:p>
    <w:p>
      <w:pPr>
        <w:pStyle w:val="FirstParagraph"/>
      </w:pPr>
      <w:r>
        <w:t xml:space="preserve">Phạm vi thời gian của nghiên cứu có hai mức. Đối với phase meta-analysis, luận án tổng hợp văn liệu trong giai đoạn 1982–2026, bao quát toàn bộ chương trình nghiên cứu về quan hệ I–P từ khi các nghiên cứu thực nghiệm đầu tiên xuất hiện đến thời điểm hoàn thành luận án. Đối với phase phân tích thực nghiệm đa quốc gia, luận án sử dụng dữ liệu WBES trong giai đoạn 2003–2025, bao gồm 88.869 doanh nghiệp với 103 cặp nền kinh tế-năm. Dữ liệu WBES từ ba thế hệ schema (PICS3 giai đoạn 2009–2012, Standardized giai đoạn 2013–2017, và BREADY/BEE giai đoạn 2018–2025) đã được hòa hợp để đảm bảo tính nhất quán trong đo lường biến qua các wave khảo sát.</w:t>
      </w:r>
    </w:p>
    <w:p>
      <w:r>
        <w:pict>
          <v:rect style="width:0;height:1.5pt" o:hralign="center" o:hrstd="t" o:hr="t"/>
        </w:pict>
      </w:r>
    </w:p>
    <w:bookmarkEnd w:id="39"/>
    <w:bookmarkEnd w:id="40"/>
    <w:bookmarkStart w:id="41" w:name="Xbf9681d2ece38c831068ce83c1d076e11fd1195"/>
    <w:p>
      <w:pPr>
        <w:pStyle w:val="Heading2"/>
      </w:pPr>
      <w:r>
        <w:t xml:space="preserve">1.6 Phương pháp luận và phương pháp nghiên cứu</w:t>
      </w:r>
    </w:p>
    <w:p>
      <w:pPr>
        <w:pStyle w:val="FirstParagraph"/>
      </w:pPr>
      <w:r>
        <w:t xml:space="preserve">Luận án áp dụng thiết kế nghiên cứu mixed synthesis-empirical, sự kết hợp giữa meta-analysis và phân tích thực nghiệm đa quốc gia, nhằm trả lời bốn câu hỏi nghiên cứu đã đặt ra. Thiết kế này không chỉ đơn thuần là sử dụng hai phương pháp song song, mà tạo ra một đối thoại hai chiều: meta-analysis cung cấp tổng quan có hệ thống về trạng thái bằng chứng và xác định các biến điều tiết quan trọng trong văn liệu, trong khi phân tích thực nghiệm kiểm định trực tiếp các giả thuyết phát sinh từ khung lý thuyết trong bối cảnh châu Á. Sự tương tác này tăng cường đáng kể sức mạnh đóng góp so với việc chỉ sử dụng một phương pháp duy nhất (Borenstein et al., 2009; Hunter &amp; Schmidt, 2004).</w:t>
      </w:r>
    </w:p>
    <w:p>
      <w:pPr>
        <w:pStyle w:val="BodyText"/>
      </w:pPr>
      <w:r>
        <w:t xml:space="preserve">Về phương pháp cụ thể, phase meta-analysis sử dụng random-effects model với Fisher’s z transformation, phân tích nhóm con (subgroup analysis) theo chế độ thể chế, và các kiểm định publication bias bao gồm Egger’s test và Begg–Mazumdar rank correlation test. Phase thực nghiệm sử dụng hồi quy OLS với sai số chuẩn robust HC1/HC3, mô hình bậc hai và bậc ba để kiểm định phi tuyến, tương tác hai chiều và ba chiều để kiểm định moderation, cùng với fixed effects theo quốc gia và năm. Kiểm định Lind–Mehlum U-test được áp dụng để xác nhận dạng chữ U ngược và xác định điểm điểm uốn trong quan hệ phi tuyến (Haans et al., 2016; Lind &amp; Mehlum, 2010).</w:t>
      </w:r>
    </w:p>
    <w:p>
      <w:r>
        <w:pict>
          <v:rect style="width:0;height:1.5pt" o:hralign="center" o:hrstd="t" o:hr="t"/>
        </w:pict>
      </w:r>
    </w:p>
    <w:bookmarkEnd w:id="41"/>
    <w:bookmarkStart w:id="42" w:name="giả-thuyết-khoa-học-tóm-tắt"/>
    <w:p>
      <w:pPr>
        <w:pStyle w:val="Heading2"/>
      </w:pPr>
      <w:r>
        <w:t xml:space="preserve">1.7 Giả thuyết khoa học (tóm tắt)</w:t>
      </w:r>
    </w:p>
    <w:p>
      <w:pPr>
        <w:pStyle w:val="FirstParagraph"/>
      </w:pPr>
      <w:r>
        <w:t xml:space="preserve">Dựa trên khung lý thuyết tích hợp đa tầng bao gồm Uppsala model, RBV, Institutional Theory, Upper Echelons Theory và digital capability lens, luận án đề xuất hệ giả thuyết khoa học với sáu giả thuyết trọng tâm. Quan hệ nền giữa quốc tế hóa và hiệu quả hoạt động doanh nghiệp mang dạng phi tuyến, cụ thể là dạng chữ U ngược, với chi phí thâm nhập và thích nghi cao ở giai đoạn đầu và lợi ích quy mô, học hỏi và đa dạng hóa thị trường ở giai đoạn sau, đến khi chi phí điều phối vượt quá lợi ích sẽ dẫn đến sự suy giảm hiệu quả. Technological capability index (TCI) điều tiết dương quan hệ I–P bằng cách mở rộng biên thích nghi và tăng cường khả năng khai thác lợi thế cạnh tranh ở thị trường quốc tế. Chỉ số chấp nhận số (DAI), được hiểu là proxy foundational digital adoption, có tác động điều tiết không đơn điệu và phụ thuộc vào chế độ thể chế: ở các nền kinh tế có thể chế tốt, DAI khuếch đại lợi ích của quốc tế hóa; ở các nền kinh tế với thể chế yếu, DAI có thể khuếch đại chi phí điều phối khi mức độ quốc tế hóa vượt ngưỡng. Bối cảnh thể chế, đo bằng sub-regime ICRV, điều tiết cả dạng và độ lớn của quan hệ I–P, tạo ra gradient từ tác động dương lớn ở Advanced Innovation-Driven đến tác động âm ở Emerging và SIDS extreme. Đặc điểm nhà quản trị cấp cao, cụ thể là kinh nghiệm quốc tế và đa dạng giới tính, điều tiết dương quan hệ I–P thông qua cơ chế tăng cường nhận diện cơ hội và quản trị rủi ro. Ngoài sáu giả thuyết trọng tâm H1–H6, luận án phát biểu thêm giả thuyết điều kiện biên H1b: tại các nền kinh tế SIDS (ICRV Nhóm VI), nơi ba điều kiện cấu trúc tối thiểu đồng thời bị vi phạm, thị trường nội địa quá nhỏ, chi phí thương mại cực cao, và thiếu hỗ trợ thể chế, quan hệ I–P chuyển từ dạng chữ U ngược sang quan hệ</w:t>
      </w:r>
      <w:r>
        <w:t xml:space="preserve"> </w:t>
      </w:r>
      <w:r>
        <w:rPr>
          <w:bCs/>
          <w:b/>
        </w:rPr>
        <w:t xml:space="preserve">âm đơn điệu không có điểm uốn</w:t>
      </w:r>
      <w:r>
        <w:t xml:space="preserve">, được gọi là gánh nặng quốc tế hóa bắt buộc (Forced Internationalization Penalty, FIP). Chi tiết toàn bộ hệ giả thuyết H1–H6 và H1b được trình bày đầy đủ trong Chương 2 của luận án.</w:t>
      </w:r>
    </w:p>
    <w:p>
      <w:r>
        <w:pict>
          <v:rect style="width:0;height:1.5pt" o:hralign="center" o:hrstd="t" o:hr="t"/>
        </w:pict>
      </w:r>
    </w:p>
    <w:bookmarkEnd w:id="42"/>
    <w:bookmarkStart w:id="46" w:name="ý-nghĩa-khoa-học-và-thực-tiễn"/>
    <w:p>
      <w:pPr>
        <w:pStyle w:val="Heading2"/>
      </w:pPr>
      <w:r>
        <w:t xml:space="preserve">1.8 Ý nghĩa khoa học và thực tiễn</w:t>
      </w:r>
    </w:p>
    <w:bookmarkStart w:id="43" w:name="đóng-góp-lý-thuyết"/>
    <w:p>
      <w:pPr>
        <w:pStyle w:val="Heading3"/>
      </w:pPr>
      <w:r>
        <w:t xml:space="preserve">1.8.1 Đóng góp lý thuyết</w:t>
      </w:r>
    </w:p>
    <w:p>
      <w:pPr>
        <w:pStyle w:val="FirstParagraph"/>
      </w:pPr>
      <w:r>
        <w:t xml:space="preserve">Về mặt lý thuyết, luận án đóng góp vào văn liệu kinh doanh quốc tế theo ba hướng chính. Hướng thứ nhất là tích hợp bốn lý thuyết kinh điển, Uppsala model, Resource-Based View, Institutional Theory và Upper Echelons Theory, vào một khung giải thích đa tầng thống nhất, bổ sung bởi digital capability lens để phản ánh chuyển đổi số đương đại. Khung này không chỉ là sự ghép nối cơ học các lý thuyết mà là một kiến trúc lý thuyết có tính nhất quán nội tại, trong đó mỗi tầng giải thích một loại heterogeneity khác nhau trong quan hệ I–P. Hướng thứ hai là phân tách rõ ràng technological capability (TCI) và chỉ số chấp nhận số (DAI) như hai construct lý thuyết độc lập, dựa trên các nền tảng khái niệm khác nhau từ Bharadwaj et al. (2013), Verhoef et al. (2021), và Coltman et al. (2008). Sự phân tách này bổ sung vào thiếu hụt khái niệm quan trọng trong văn liệu về số hóa và quốc tế hóa. Hướng thứ ba là tái định vị Uppsala model trong bối cảnh kỷ nguyên AI bằng cách mở rộng cơ chế học hỏi để bao gồm</w:t>
      </w:r>
      <w:r>
        <w:t xml:space="preserve"> </w:t>
      </w:r>
      <w:r>
        <w:t xml:space="preserve">“</w:t>
      </w:r>
      <w:r>
        <w:t xml:space="preserve">data-augmented learning</w:t>
      </w:r>
      <w:r>
        <w:t xml:space="preserve">”</w:t>
      </w:r>
      <w:r>
        <w:t xml:space="preserve">, phù hợp với xu hướng digitally-facilitated internationalization (Banalieva &amp; Dhanaraj, 2019; Yang et al., 2025). Hướng thứ tư là đề xuất và đặt tên lý thuyết cho</w:t>
      </w:r>
      <w:r>
        <w:t xml:space="preserve"> </w:t>
      </w:r>
      <w:r>
        <w:rPr>
          <w:bCs/>
          <w:b/>
        </w:rPr>
        <w:t xml:space="preserve">gánh nặng quốc tế hóa bắt buộc (Forced Internationalization Penalty, FIP)</w:t>
      </w:r>
      <w:r>
        <w:t xml:space="preserve">, một construct lý thuyết mới chưa được định danh trong văn liệu kinh doanh quốc tế, như điều kiện biên cực đoan của mô hình chữ U ngược khi cả ba tầng của khung CDCM (thể chế, năng lực, quản trị) đồng thời ở mức tối thiểu. Bằng chứng thực nghiệm từ bảy nền kinh tế Pacific SIDS xác nhận quan hệ âm đơn điệu không có điểm uốn, mở ra hướng nghiên cứu mới về điều kiện biên của lý thuyết quốc tế hóa.</w:t>
      </w:r>
    </w:p>
    <w:bookmarkEnd w:id="43"/>
    <w:bookmarkStart w:id="44" w:name="đóng-góp-phương-pháp"/>
    <w:p>
      <w:pPr>
        <w:pStyle w:val="Heading3"/>
      </w:pPr>
      <w:r>
        <w:t xml:space="preserve">1.8.2 Đóng góp phương pháp</w:t>
      </w:r>
    </w:p>
    <w:p>
      <w:pPr>
        <w:pStyle w:val="FirstParagraph"/>
      </w:pPr>
      <w:r>
        <w:t xml:space="preserve">Về mặt phương pháp, luận án đóng góp theo hai hướng. Hướng thứ nhất là thiết kế mixed synthesis-empirical kết hợp meta-analysis và phân tích đa quốc gia, tạo ra khả năng đối chiếu giữa bằng chứng tổng hợp từ văn liệu toàn cầu và bằng chứng thực nghiệm từ bối cảnh châu Á. Hướng thứ hai là phát triển và áp dụng khung phân loại thể chế ICRV cho 50 nền kinh tế, cung cấp một công cụ phân loại mới có ứng dụng tiềm năng trong nhiều nghiên cứu tương lai về moderating effect của thể chế trong văn liệu kinh doanh quốc tế.</w:t>
      </w:r>
    </w:p>
    <w:bookmarkEnd w:id="44"/>
    <w:bookmarkStart w:id="45" w:name="đóng-góp-thực-tiễn"/>
    <w:p>
      <w:pPr>
        <w:pStyle w:val="Heading3"/>
      </w:pPr>
      <w:r>
        <w:t xml:space="preserve">1.8.3 Đóng góp thực tiễn</w:t>
      </w:r>
    </w:p>
    <w:p>
      <w:pPr>
        <w:pStyle w:val="FirstParagraph"/>
      </w:pPr>
      <w:r>
        <w:t xml:space="preserve">Về mặt thực tiễn, luận án cung cấp căn cứ có hệ thống cho hai nhóm đối tượng sử dụng chính. Đối với doanh nghiệp, kết quả phân tích của luận án cho thấy tồn tại ngưỡng tối ưu trong mối quan hệ giữa mức độ xuất khẩu và hiệu quả hoạt động, và ngưỡng này thay đổi theo bối cảnh thể chế và năng lực số của từng doanh nghiệp. Nhà quản trị cần nhận thức được ngưỡng này và đầu tư có chiến lược vào năng lực công nghệ thay vì chỉ tập trung vào digital adoption bề mặt. Đối với nhà hoạch định chính sách, bằng chứng từ luận án gợi ý rằng cải cách thể chế và hỗ trợ chuyển đổi số có thể có hiệu ứng bổ trợ tích cực, được nghiên cứu về 17 nền kinh tế châu Á mới nổi đặt tên là</w:t>
      </w:r>
      <w:r>
        <w:t xml:space="preserve"> </w:t>
      </w:r>
      <w:r>
        <w:t xml:space="preserve">“</w:t>
      </w:r>
      <w:r>
        <w:t xml:space="preserve">digital shield effect</w:t>
      </w:r>
      <w:r>
        <w:t xml:space="preserve">”</w:t>
      </w:r>
      <w:r>
        <w:t xml:space="preserve">, trong đó năng lực số làm giảm tác động tiêu cực của rào cản thể chế đối với doanh nghiệp quốc tế hóa (nghiên cứu thành phần P1). Cơ chế này được luận án kiểm định trên phạm vi rộng hơn với 50 nền kinh tế châu Á và Thái Bình Dương.</w:t>
      </w:r>
    </w:p>
    <w:p>
      <w:r>
        <w:pict>
          <v:rect style="width:0;height:1.5pt" o:hralign="center" o:hrstd="t" o:hr="t"/>
        </w:pict>
      </w:r>
    </w:p>
    <w:bookmarkEnd w:id="45"/>
    <w:bookmarkEnd w:id="46"/>
    <w:bookmarkStart w:id="47" w:name="tính-mới-của-đề-tài"/>
    <w:p>
      <w:pPr>
        <w:pStyle w:val="Heading2"/>
      </w:pPr>
      <w:r>
        <w:t xml:space="preserve">1.9 Tính mới của đề tài</w:t>
      </w:r>
    </w:p>
    <w:p>
      <w:pPr>
        <w:pStyle w:val="FirstParagraph"/>
      </w:pPr>
      <w:r>
        <w:t xml:space="preserve">Luận án có sáu điểm mới so với các công trình nghiên cứu trước đây. Điểm mới thứ nhất là đề xuất khung tích hợp đa tầng cho quan hệ I–P trong bối cảnh châu Á, kết hợp bốn lý thuyết kinh điển với digital capability lens thành một kiến trúc lý thuyết thống nhất và có khả năng kiểm định. Không có nghiên cứu trước nào trong bối cảnh châu Á xây dựng khung tích hợp đầy đủ ba tầng điều tiết này theo cách có hệ thống. Điểm mới thứ hai là phân tách TCI và chỉ số chấp nhận số (DAI) như hai construct không trùng lặp, kiểm định chúng riêng biệt trong cùng một mô hình để làm rõ cơ chế tác động khác nhau của hai loại năng lực số đó. Sự phân tách này khắc phục hạn chế của các nghiên cứu trước thường gộp chung hai construct có bản chất khác nhau. Điểm mới thứ ba là phát triển và áp dụng khung phân loại thể chế ICRV với 6 sub-regime cho 50 nền kinh tế, bao gồm cả 7 nền kinh tế Pacific SIDS liền kề như boundary case cực đoan, đây là lần đầu tiên một hệ thống phân loại đủ mịn như vậy được áp dụng trong nghiên cứu thực nghiệm về quan hệ I–P tại châu Á. Điểm mới thứ tư là pool dữ liệu lớn nhất từ trước đến nay cho nghiên cứu đa quốc gia về quan hệ I–P tại châu Á, với 88.869 doanh nghiệp từ 50 nền kinh tế châu Á và Thái Bình Dương, mở rộng đáng kể từ pool 17 nước (nghiên cứu thành phần P1) là nền tảng hiện có lớn nhất trước khi luận án hoàn thành. Điểm mới thứ năm là kiểm định temporal stability của điểm uốn trong quan hệ I–P tại Trung Quốc, cho phép đánh giá liệu cấu trúc phi tuyến đó có ổn định qua hơn một thập kỷ chuyển đổi số hay không. Kết quả phân tích của luận án cho thấy điểm uốn tương đối ổn định qua hai thời điểm quan sát, cung cấp bằng chứng về tính bền vững của cấu trúc I–P phi tuyến ở Trung Quốc dù bối cảnh kinh tế có nhiều thay đổi. Điểm mới thứ sáu là phát hiện và đặt tên lý thuyết cho</w:t>
      </w:r>
      <w:r>
        <w:t xml:space="preserve"> </w:t>
      </w:r>
      <w:r>
        <w:rPr>
          <w:bCs/>
          <w:b/>
        </w:rPr>
        <w:t xml:space="preserve">gánh nặng quốc tế hóa bắt buộc (Forced Internationalization Penalty, FIP)</w:t>
      </w:r>
      <w:r>
        <w:t xml:space="preserve"> </w:t>
      </w:r>
      <w:r>
        <w:t xml:space="preserve">tại bảy nền kinh tế Pacific SIDS, lần đầu tiên trong văn liệu kinh doanh quốc tế, một trường hợp quan hệ I–P âm đơn điệu không có điểm uốn được ghi nhận và biện minh lý thuyết bằng ba điều kiện cấu trúc vi phạm đồng thời, mở ra hướng nghiên cứu mới về điều kiện biên của các lý thuyết quốc tế hóa phổ quát.</w:t>
      </w:r>
    </w:p>
    <w:p>
      <w:r>
        <w:pict>
          <v:rect style="width:0;height:1.5pt" o:hralign="center" o:hrstd="t" o:hr="t"/>
        </w:pict>
      </w:r>
    </w:p>
    <w:bookmarkEnd w:id="47"/>
    <w:bookmarkStart w:id="48" w:name="cấu-trúc-của-luận-án"/>
    <w:p>
      <w:pPr>
        <w:pStyle w:val="Heading2"/>
      </w:pPr>
      <w:r>
        <w:t xml:space="preserve">1.10 Cấu trúc của luận án</w:t>
      </w:r>
    </w:p>
    <w:p>
      <w:pPr>
        <w:pStyle w:val="FirstParagraph"/>
      </w:pPr>
      <w:r>
        <w:t xml:space="preserve">Luận án được tổ chức thành năm chương theo chuẩn luận án tiến sĩ truyền thống tại Trường Kinh tế, Đại học Cần Thơ. Chương 1, Giới thiệu, đặt vấn đề nghiên cứu, xác định khoảng trống, trình bày mục tiêu, câu hỏi nghiên cứu, phạm vi, phương pháp luận, giả thuyết khoa học tóm tắt, ý nghĩa, tính mới và cấu trúc của luận án. Chương 2, Cơ sở lý thuyết và tổng quan tài liệu, xây dựng khung lý thuyết tích hợp đa tầng, tổng quan bằng chứng thực nghiệm đã có, và phát triển hệ giả thuyết H1–H6 dựa trên khoảng trống và logic lý thuyết. Chương 3, Phương pháp nghiên cứu, trình bày chi tiết thiết kế nghiên cứu, nguồn dữ liệu, cách đo lường biến, mô hình phân tích và chiến lược kiểm định độ vững. Chương 4, Kết quả nghiên cứu, trình bày kết quả ở ba cấp độ phân tích: meta-analysis cập nhật 1982–2026, phân tích theo bối cảnh quốc gia cụ thể, và phân tích đa quốc gia capstone trên pool đầy đủ 50 nền kinh tế. Chương 5, Thảo luận và kết luận, tích hợp các phát hiện từ Chương 4 vào khung lý thuyết ở Chương 2, thảo luận đóng góp khoa học, hàm ý quản trị và chính sách, hạn chế của nghiên cứu và hướng nghiên cứu tiếp theo.</w:t>
      </w:r>
    </w:p>
    <w:p>
      <w:pPr>
        <w:pStyle w:val="BodyText"/>
      </w:pPr>
      <w:r>
        <w:rPr>
          <w:bCs/>
          <w:b/>
        </w:rPr>
        <w:t xml:space="preserve">Roadmap bảy nghiên cứu thành phần (P3–P9):</w:t>
      </w:r>
      <w:r>
        <w:t xml:space="preserve"> </w:t>
      </w:r>
      <w:r>
        <w:t xml:space="preserve">Luận án tích hợp bảy nghiên cứu thành phần được công bố hoặc đang trong quá trình xem xét tại các tạp chí ISI/Scopus.</w:t>
      </w:r>
      <w:r>
        <w:t xml:space="preserve"> </w:t>
      </w:r>
      <w:r>
        <w:rPr>
          <w:bCs/>
          <w:b/>
        </w:rPr>
        <w:t xml:space="preserve">P3</w:t>
      </w:r>
      <w:r>
        <w:t xml:space="preserve"> </w:t>
      </w:r>
      <w:r>
        <w:t xml:space="preserve">(Việt Nam, JABS, đang phản biện): kiểm định chữ U ngược tại Nhóm IV ICRV, điểm uốn = 39,3–46,2% FSTS, TCI là level-shifter có ý nghĩa.</w:t>
      </w:r>
      <w:r>
        <w:t xml:space="preserve"> </w:t>
      </w:r>
      <w:r>
        <w:rPr>
          <w:bCs/>
          <w:b/>
        </w:rPr>
        <w:t xml:space="preserve">P4</w:t>
      </w:r>
      <w:r>
        <w:t xml:space="preserve"> </w:t>
      </w:r>
      <w:r>
        <w:t xml:space="preserve">(Singapore, MIR, đang phản biện): kiểm định tại Nhóm I ICRV, điểm uốn ≈ 88,6% (khoảng tin cậy rất rộng và vượt ngưỡng khả thi của FSTS, nên không định vị tin cậy, xem §4.3), DAI Tier-1+2 khuếch đại đường cong I–P.</w:t>
      </w:r>
      <w:r>
        <w:t xml:space="preserve"> </w:t>
      </w:r>
      <w:r>
        <w:rPr>
          <w:bCs/>
          <w:b/>
        </w:rPr>
        <w:t xml:space="preserve">P5</w:t>
      </w:r>
      <w:r>
        <w:t xml:space="preserve"> </w:t>
      </w:r>
      <w:r>
        <w:t xml:space="preserve">(Trung Quốc, IJOEM, đang phản biện): kiểm định temporal stability, điểm uốn ổn định qua 2012–2024 (≈ 48,78%, Paternoster z = 0,82, p = ,412).</w:t>
      </w:r>
      <w:r>
        <w:t xml:space="preserve"> </w:t>
      </w:r>
      <w:r>
        <w:rPr>
          <w:bCs/>
          <w:b/>
        </w:rPr>
        <w:t xml:space="preserve">P6</w:t>
      </w:r>
      <w:r>
        <w:t xml:space="preserve"> </w:t>
      </w:r>
      <w:r>
        <w:t xml:space="preserve">(meta-analysis ba tầng, IBR, đang phản biện): k = 238 nghiên cứu, r̄ = 0,074, I² = 62,4%, gradient ICRV Q_M = 17,35 (df = 4, p = ,002).</w:t>
      </w:r>
      <w:r>
        <w:t xml:space="preserve"> </w:t>
      </w:r>
      <w:r>
        <w:rPr>
          <w:bCs/>
          <w:b/>
        </w:rPr>
        <w:t xml:space="preserve">P7</w:t>
      </w:r>
      <w:r>
        <w:t xml:space="preserve"> </w:t>
      </w:r>
      <w:r>
        <w:t xml:space="preserve">(50 nền kinh tế, mục tiêu JIBS): N = 81.022 quan sát, điểm uốn gộp 43,6% ở mô hình đầy đủ, chữ U ngược rõ nét nhất ở nhóm chuyển đổi thu nhập trung bình–thấp (43,0%), kiểm định tích hợp CDCM đầu tiên ở quy mô liên quốc gia lớn.</w:t>
      </w:r>
      <w:r>
        <w:t xml:space="preserve"> </w:t>
      </w:r>
      <w:r>
        <w:rPr>
          <w:bCs/>
          <w:b/>
        </w:rPr>
        <w:t xml:space="preserve">P8</w:t>
      </w:r>
      <w:r>
        <w:t xml:space="preserve"> </w:t>
      </w:r>
      <w:r>
        <w:t xml:space="preserve">(SIDS, World Development, đang phản biện vòng hai): boundary condition FIP, quan hệ âm đơn điệu (</w:t>
      </w:r>
      <m:oMath>
        <m:sSub>
          <m:e>
            <m:acc>
              <m:accPr>
                <m:chr m:val="̂"/>
              </m:accPr>
              <m:e>
                <m:r>
                  <m:t>β</m:t>
                </m:r>
              </m:e>
            </m:acc>
          </m:e>
          <m:sub>
            <m:r>
              <m:rPr>
                <m:nor/>
                <m:sty m:val="p"/>
              </m:rPr>
              <m:t>FSTS</m:t>
            </m:r>
          </m:sub>
        </m:sSub>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xác nhận H1b tại bảy nền kinh tế Pacific SIDS.</w:t>
      </w:r>
      <w:r>
        <w:t xml:space="preserve"> </w:t>
      </w:r>
      <w:r>
        <w:rPr>
          <w:bCs/>
          <w:b/>
        </w:rPr>
        <w:t xml:space="preserve">P9</w:t>
      </w:r>
      <w:r>
        <w:t xml:space="preserve"> </w:t>
      </w:r>
      <w:r>
        <w:t xml:space="preserve">(Ấn Độ, MIR/IJOEM, đang bình duyệt): độ bền ngưỡng I–P qua ba đợt WBES 2014–2025 (~29.000 doanh nghiệp), phát hiện</w:t>
      </w:r>
      <w:r>
        <w:t xml:space="preserve"> </w:t>
      </w:r>
      <w:r>
        <w:rPr>
          <w:bCs/>
          <w:b/>
        </w:rPr>
        <w:t xml:space="preserve">tan biến</w:t>
      </w:r>
      <w:r>
        <w:t xml:space="preserve"> </w:t>
      </w:r>
      <w:r>
        <w:t xml:space="preserve">điểm uốn chữ U ngược dưới biến động thể chế cực đoan (TP 61,8% rồi 40,7% sang tan biến;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kèm tương tác DAI Tier-2/UPI âm. Kết quả P3–P9 được trình bày chi tiết trong Chương 4 và tích hợp vào bàn luận CDCM trong Chương 5.</w:t>
      </w:r>
      <w:r>
        <w:t xml:space="preserve"> </w:t>
      </w:r>
      <w:r>
        <w:rPr>
          <w:bCs/>
          <w:b/>
        </w:rPr>
        <w:t xml:space="preserve">P10</w:t>
      </w:r>
      <w:r>
        <w:t xml:space="preserve"> </w:t>
      </w:r>
      <w:r>
        <w:t xml:space="preserve">(Nhật Bản, mục tiêu Asian Business &amp; Management): khai thác đợt WBES khai mở của Nhật Bản 2025 (N = 2.168) kiểm định dự đoán biên trên của gradient thể chế, quan hệ I–P gần tuyến tính dương, không có điểm uốn trong miền quan sát; TCI và DAI nâng mặt bằng; phần bù trường thọ doanh nghiệp.</w:t>
      </w:r>
    </w:p>
    <w:p>
      <w:r>
        <w:pict>
          <v:rect style="width:0;height:1.5pt" o:hralign="center" o:hrstd="t" o:hr="t"/>
        </w:pict>
      </w:r>
    </w:p>
    <w:p>
      <w:pPr>
        <w:pStyle w:val="FirstParagraph"/>
      </w:pPr>
      <w:r>
        <w:rPr>
          <w:iCs/>
          <w:i/>
        </w:rPr>
        <w:t xml:space="preserve">Chú thích về ký hiệu và thuật ngữ: Trong toàn bộ luận án,</w:t>
      </w:r>
      <w:r>
        <w:rPr>
          <w:iCs/>
          <w:i/>
        </w:rPr>
        <w:t xml:space="preserve"> </w:t>
      </w:r>
      <w:r>
        <w:rPr>
          <w:iCs/>
          <w:i/>
        </w:rPr>
        <w:t xml:space="preserve">“</w:t>
      </w:r>
      <w:r>
        <w:rPr>
          <w:iCs/>
          <w:i/>
        </w:rPr>
        <w:t xml:space="preserve">quốc tế hóa</w:t>
      </w:r>
      <w:r>
        <w:rPr>
          <w:iCs/>
          <w:i/>
        </w:rPr>
        <w:t xml:space="preserve">”</w:t>
      </w:r>
      <w:r>
        <w:rPr>
          <w:iCs/>
          <w:i/>
        </w:rPr>
        <w:t xml:space="preserve"> </w:t>
      </w:r>
      <w:r>
        <w:rPr>
          <w:iCs/>
          <w:i/>
        </w:rPr>
        <w:t xml:space="preserve">(internationalization) được đo chủ yếu bằng tỷ lệ doanh thu nước ngoài trên tổng doanh thu (FSTS) hoặc export intensity;</w:t>
      </w:r>
      <w:r>
        <w:rPr>
          <w:iCs/>
          <w:i/>
        </w:rPr>
        <w:t xml:space="preserve"> </w:t>
      </w:r>
      <w:r>
        <w:rPr>
          <w:iCs/>
          <w:i/>
        </w:rPr>
        <w:t xml:space="preserve">“</w:t>
      </w:r>
      <w:r>
        <w:rPr>
          <w:iCs/>
          <w:i/>
        </w:rPr>
        <w:t xml:space="preserve">hiệu quả hoạt động</w:t>
      </w:r>
      <w:r>
        <w:rPr>
          <w:iCs/>
          <w:i/>
        </w:rPr>
        <w:t xml:space="preserve">”</w:t>
      </w:r>
      <w:r>
        <w:rPr>
          <w:iCs/>
          <w:i/>
        </w:rPr>
        <w:t xml:space="preserve"> </w:t>
      </w:r>
      <w:r>
        <w:rPr>
          <w:iCs/>
          <w:i/>
        </w:rPr>
        <w:t xml:space="preserve">(firm performance) được đo chủ yếu bằng năng suất lao động (labor productivity), bổ sung bằng ROS và sales growth trong các kiểm định độ vững; TCI là technological capability index; DAI là chỉ số chấp nhận số (digital adoption index), được hiểu như proxy foundational digital adoption; ICRV là khung phân loại thể chế 6 nhóm được phát triển cho luận án này; WBES là World Bank Enterprise Surveys.</w:t>
      </w:r>
    </w:p>
    <w:p>
      <w:r>
        <w:br w:type="page"/>
      </w:r>
    </w:p>
    <w:bookmarkEnd w:id="48"/>
    <w:bookmarkStart w:id="81"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53" w:name="các-khái-niệm-cốt-lõi"/>
    <w:p>
      <w:pPr>
        <w:pStyle w:val="Heading2"/>
      </w:pPr>
      <w:r>
        <w:t xml:space="preserve">2.1 Các khái niệm cốt lõi</w:t>
      </w:r>
    </w:p>
    <w:bookmarkStart w:id="49"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 Nền tảng lý thuyết của lĩnh vực này bắt nguồn từ các công trình kinh điển về doanh nghiệp đa quốc gia và đầu tư trực tiếp nước ngoài: lý thuyết vòng đời sản phẩm (Vernon, 1966), lý thuyết lợi thế độc quyền của doanh nghiệp (Hymer, 1976; Caves, 1971), và lý thuyết nội bộ hóa chi phí giao dịch (Buckley &amp; Casson, 1976), về sau được tổng hợp trong khung chiết trung OLI (Dunning, 1988).</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49"/>
    <w:bookmarkStart w:id="50"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50"/>
    <w:bookmarkStart w:id="51"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51"/>
    <w:bookmarkStart w:id="52"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52"/>
    <w:bookmarkEnd w:id="53"/>
    <w:bookmarkStart w:id="59" w:name="các-lý-thuyết-nền"/>
    <w:p>
      <w:pPr>
        <w:pStyle w:val="Heading2"/>
      </w:pPr>
      <w:r>
        <w:t xml:space="preserve">2.2 Các lý thuyết nền</w:t>
      </w:r>
    </w:p>
    <w:bookmarkStart w:id="54"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54"/>
    <w:bookmarkStart w:id="55"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55"/>
    <w:bookmarkStart w:id="56"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56"/>
    <w:bookmarkStart w:id="57"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57"/>
    <w:bookmarkStart w:id="58"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58"/>
    <w:bookmarkEnd w:id="59"/>
    <w:bookmarkStart w:id="65" w:name="tổng-quan-thực-nghiệm"/>
    <w:p>
      <w:pPr>
        <w:pStyle w:val="Heading2"/>
      </w:pPr>
      <w:r>
        <w:t xml:space="preserve">2.3 Tổng quan thực nghiệm</w:t>
      </w:r>
    </w:p>
    <w:bookmarkStart w:id="60"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 Ruigrok và Wagner (2003) bổ sung bằng chứng cho cơ chế học hỏi tổ chức làm nền cho giai đoạn giữa của đường cong, trong khi Contractor (2012) tổng hợp lý thuyết đa giai đoạn này cùng các phê phán phương pháp luận về cách đo lường và kiểm định quan hệ phi tuyến.</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60"/>
    <w:bookmarkStart w:id="61"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 Tuy vậy, một số nghiên cứu gần đây sử dụng chiến lược nhận diện chặt chẽ hơn đặt câu hỏi về tính phổ quát của dạng hàm chữ U ngược: Pisani, Garcia-Bernardo và Heemskerk (2020) cho thấy quan hệ này suy yếu đáng kể, thậm chí biến mất, trong các mẫu gộp xuyên quốc gia khi áp dụng nhận diện nghiêm ngặt hơn, củng cố lập luận rằng chính dị biệt bối cảnh, chứ không phải một quy luật hàm phổ quát, mới chi phối kết quả I–P. Ở cấp doanh nghiệp, Arbelo, Arbelo-Pérez và Pérez-Gómez (2024) chứng minh quan hệ I–P phụ thuộc vào tài sản đặc thù của doanh nghiệp theo quan điểm dựa trên nguồn lực, nhất quán với vai trò điều tiết của năng lực công nghệ được nhấn mạnh trong luận án này.</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61"/>
    <w:bookmarkStart w:id="62"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62"/>
    <w:bookmarkStart w:id="63"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63"/>
    <w:bookmarkStart w:id="64"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50 nền kinh tế.</w:t>
      </w:r>
    </w:p>
    <w:p>
      <w:r>
        <w:pict>
          <v:rect style="width:0;height:1.5pt" o:hralign="center" o:hrstd="t" o:hr="t"/>
        </w:pict>
      </w:r>
    </w:p>
    <w:bookmarkEnd w:id="64"/>
    <w:bookmarkEnd w:id="65"/>
    <w:bookmarkStart w:id="66"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66"/>
    <w:bookmarkStart w:id="79" w:name="mô-hình-nghiên-cứu-và-hệ-giả-thuyết"/>
    <w:p>
      <w:pPr>
        <w:pStyle w:val="Heading2"/>
      </w:pPr>
      <w:r>
        <w:t xml:space="preserve">2.5 Mô hình nghiên cứu và hệ giả thuyết</w:t>
      </w:r>
    </w:p>
    <w:bookmarkStart w:id="70"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68" name="Picture"/>
            <a:graphic>
              <a:graphicData uri="http://schemas.openxmlformats.org/drawingml/2006/picture">
                <pic:pic>
                  <pic:nvPicPr>
                    <pic:cNvPr descr="figures/fig_2_1_cdcm_conceptual_model.png" id="69" name="Picture"/>
                    <pic:cNvPicPr>
                      <a:picLocks noChangeArrowheads="1" noChangeAspect="1"/>
                    </pic:cNvPicPr>
                  </pic:nvPicPr>
                  <pic:blipFill>
                    <a:blip r:embed="rId67"/>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70"/>
    <w:bookmarkStart w:id="71"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71"/>
    <w:bookmarkStart w:id="72"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72"/>
    <w:bookmarkStart w:id="73"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73"/>
    <w:bookmarkStart w:id="74"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74"/>
    <w:bookmarkStart w:id="75"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75"/>
    <w:bookmarkStart w:id="76"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76"/>
    <w:bookmarkStart w:id="77"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77"/>
    <w:bookmarkStart w:id="78"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78"/>
    <w:bookmarkEnd w:id="79"/>
    <w:bookmarkStart w:id="80"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p>
      <w:r>
        <w:br w:type="page"/>
      </w:r>
    </w:p>
    <w:bookmarkEnd w:id="80"/>
    <w:bookmarkEnd w:id="81"/>
    <w:bookmarkStart w:id="82" w:name="chương-3-phương-pháp-nghiên-cứu"/>
    <w:p>
      <w:pPr>
        <w:pStyle w:val="Heading1"/>
      </w:pPr>
      <w:r>
        <w:t xml:space="preserve">CHƯƠNG 3: PHƯƠNG PHÁP NGHIÊN CỨU</w:t>
      </w:r>
    </w:p>
    <w:bookmarkEnd w:id="82"/>
    <w:p>
      <w:r>
        <w:pict>
          <v:rect style="width:0;height:1.5pt" o:hralign="center" o:hrstd="t" o:hr="t"/>
        </w:pict>
      </w:r>
    </w:p>
    <w:bookmarkStart w:id="85" w:name="thiết-kế-nghiên-cứu-tổng-thể"/>
    <w:p>
      <w:pPr>
        <w:pStyle w:val="Heading2"/>
      </w:pPr>
      <w:r>
        <w:t xml:space="preserve">3.1 Thiết kế nghiên cứu tổng thể</w:t>
      </w:r>
    </w:p>
    <w:bookmarkStart w:id="83" w:name="loại-thiết-kế"/>
    <w:p>
      <w:pPr>
        <w:pStyle w:val="Heading3"/>
      </w:pPr>
      <w:r>
        <w:t xml:space="preserve">3.1.1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văn liệu để trả lời RQ1, còn phase thứ hai là phân tích thực nghiệm doanh nghiệp đa quốc gia để trả lời RQ2–RQ4. Hai phase đối thoại hai chiều: meta cung cấp baseline và gợi ý biến điều tiết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Thái Bình Dương với</w:t>
      </w:r>
      <w:r>
        <w:t xml:space="preserve"> </w:t>
      </w:r>
      <w:r>
        <w:rPr>
          <w:bCs/>
          <w:b/>
        </w:rPr>
        <w:t xml:space="preserve">50 nền kinh tế</w:t>
      </w:r>
      <w:r>
        <w:t xml:space="preserve"> </w:t>
      </w:r>
      <w:r>
        <w:t xml:space="preserve">là thiết kế hiếm gặp; đa số các luận án IB chỉ làm một trong hai phase. Quy mô 50 nền kinh tế/88.869 doanh nghiệp là phạm vi địa lý lớn nhất từng có cho khu vực, mở rộng từ pool 17 nước trong nghiên cứu thành phần P1.</w:t>
      </w:r>
    </w:p>
    <w:bookmarkEnd w:id="83"/>
    <w:bookmarkStart w:id="84" w:name="quy-trình-nghiên-cứu"/>
    <w:p>
      <w:pPr>
        <w:pStyle w:val="Heading3"/>
      </w:pPr>
      <w:r>
        <w:t xml:space="preserve">3.1.2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50 nền kinh tế châu Á và Thái Bình Dương</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84"/>
    <w:bookmarkEnd w:id="85"/>
    <w:bookmarkStart w:id="89" w:name="phase-1-meta-analysis-19822026"/>
    <w:p>
      <w:pPr>
        <w:pStyle w:val="Heading2"/>
      </w:pPr>
      <w:r>
        <w:t xml:space="preserve">3.2 Phase 1: Meta-analysis 1982–2026</w:t>
      </w:r>
    </w:p>
    <w:bookmarkStart w:id="86" w:name="cơ-sở-kế-thừa"/>
    <w:p>
      <w:pPr>
        <w:pStyle w:val="Heading3"/>
      </w:pPr>
      <w:r>
        <w:t xml:space="preserve">3.2.1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chuyển dạng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86"/>
    <w:bookmarkStart w:id="87" w:name="đóng-góp-mớiđiều-chỉnh"/>
    <w:p>
      <w:pPr>
        <w:pStyle w:val="Heading3"/>
      </w:pPr>
      <w:r>
        <w:t xml:space="preserve">3.2.2 Đóng góp mới/điều chỉnh</w:t>
      </w:r>
    </w:p>
    <w:p>
      <w:pPr>
        <w:numPr>
          <w:ilvl w:val="0"/>
          <w:numId w:val="1004"/>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4"/>
        </w:numPr>
        <w:pStyle w:val="Compact"/>
      </w:pPr>
      <w:r>
        <w:rPr>
          <w:bCs/>
          <w:b/>
        </w:rPr>
        <w:t xml:space="preserve">Mở rộng biến điều tiết coverage</w:t>
      </w:r>
      <w:r>
        <w:t xml:space="preserve">: thêm cụm biến điều tiết về digital capability và 6 sub-regime ICRV, chưa được xem xét đầy đủ trong các meta-analyses trước.</w:t>
      </w:r>
    </w:p>
    <w:p>
      <w:pPr>
        <w:numPr>
          <w:ilvl w:val="0"/>
          <w:numId w:val="1004"/>
        </w:numPr>
        <w:pStyle w:val="Compact"/>
      </w:pPr>
      <w:r>
        <w:rPr>
          <w:bCs/>
          <w:b/>
        </w:rPr>
        <w:t xml:space="preserve">Tập tổng hợp</w:t>
      </w:r>
      <w:r>
        <w:t xml:space="preserve">: K=288 effect sizes / k=238 nghiên cứu, được xây dựng theo chiến lược tìm kiếm hệ thống nhưng có giới hạn (citation-anchored: backward/forward citation từ 5 meta-analysis mỏ neo + bổ sung cơ sở dữ liệu), báo cáo theo biến thể PRISMA 2020</w:t>
      </w:r>
      <w:r>
        <w:t xml:space="preserve"> </w:t>
      </w:r>
      <w:r>
        <w:t xml:space="preserve">“</w:t>
      </w:r>
      <w:r>
        <w:t xml:space="preserve">studies identified via other methods</w:t>
      </w:r>
      <w:r>
        <w:t xml:space="preserve">”</w:t>
      </w:r>
      <w:r>
        <w:t xml:space="preserve">; mở rộng so với bản nền ICBEF 2025 (K=200 / k=113).</w:t>
      </w:r>
    </w:p>
    <w:p>
      <w:pPr>
        <w:numPr>
          <w:ilvl w:val="0"/>
          <w:numId w:val="1004"/>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nghiên cứu thành phần P1.</w:t>
      </w:r>
    </w:p>
    <w:bookmarkEnd w:id="87"/>
    <w:bookmarkStart w:id="88" w:name="quy-trình-prisma"/>
    <w:p>
      <w:pPr>
        <w:pStyle w:val="Heading3"/>
      </w:pPr>
      <w:r>
        <w:t xml:space="preserve">3.2.3 Quy trình PRISMA</w:t>
      </w:r>
    </w:p>
    <w:p>
      <w:pPr>
        <w:pStyle w:val="FirstParagraph"/>
      </w:pPr>
      <w:r>
        <w:t xml:space="preserve">Identification, Screening, Eligibility,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88"/>
    <w:bookmarkEnd w:id="89"/>
    <w:bookmarkStart w:id="98" w:name="X8de0b19c054d402e314fef9726425749df3fc18"/>
    <w:p>
      <w:pPr>
        <w:pStyle w:val="Heading2"/>
      </w:pPr>
      <w:r>
        <w:t xml:space="preserve">3.3 Phase 2: Phân tích thực nghiệm đa quốc gia</w:t>
      </w:r>
    </w:p>
    <w:bookmarkStart w:id="90" w:name="nguồn-dữ-liệu"/>
    <w:p>
      <w:pPr>
        <w:pStyle w:val="Heading3"/>
      </w:pPr>
      <w:r>
        <w:t xml:space="preserve">3.3.1 Nguồn dữ liệu</w:t>
      </w:r>
    </w:p>
    <w:p>
      <w:pPr>
        <w:pStyle w:val="FirstParagraph"/>
      </w:pPr>
      <w:r>
        <w:t xml:space="preserve">Luận án sử dụng World Bank Enterprise Surveys cho</w:t>
      </w:r>
      <w:r>
        <w:t xml:space="preserve"> </w:t>
      </w:r>
      <w:r>
        <w:rPr>
          <w:bCs/>
          <w:b/>
        </w:rPr>
        <w:t xml:space="preserve">50 nền kinh tế châu Á và Thái Bình Dương</w:t>
      </w:r>
      <w:r>
        <w:t xml:space="preserve"> </w:t>
      </w:r>
      <w:r>
        <w:t xml:space="preserve">trong giai đoạn</w:t>
      </w:r>
      <w:r>
        <w:t xml:space="preserve"> </w:t>
      </w:r>
      <w:r>
        <w:rPr>
          <w:bCs/>
          <w:b/>
        </w:rPr>
        <w:t xml:space="preserve">2003–2025</w:t>
      </w:r>
      <w:r>
        <w:t xml:space="preserve"> </w:t>
      </w:r>
      <w:r>
        <w:t xml:space="preserve">(88.869 doanh nghiệp trong khung phân tích, 103 cặp nền kinh tế và năm; bao gồm Nhật Bản 2025; pool phân loại ICRV 96.415 doanh nghiệp/52 nhãn nền) (World Bank, n.d., 2019, 2023, 2026). WBES là bộ dữ liệu doanh nghiệp chuẩn hóa, phù hợp cho nghiên cứu so sánh đa quốc gia về firm-level outcomes (Aterido et al., 2011). Quy trình hợp nhất và hài hòa hóa chi tiết các bộ khảo sát quốc gia–năm thành bộ dữ liệu phân tích thống nhất (sáu bước S1–S6, xử lý tính so sánh tiền tệ, chiến lược pooled cross-section với hiệu ứng cố định hai chiều, cùng dòng dữ liệu PRISMA và mã tái lập) được trình bày đầy đủ ở</w:t>
      </w:r>
      <w:r>
        <w:t xml:space="preserve"> </w:t>
      </w:r>
      <w:r>
        <w:rPr>
          <w:bCs/>
          <w:b/>
        </w:rPr>
        <w:t xml:space="preserve">Phụ lục A</w:t>
      </w:r>
      <w:r>
        <w:t xml:space="preserve">.</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(nghiên cứu thành phần P1).</w:t>
      </w:r>
    </w:p>
    <w:p>
      <w:pPr>
        <w:pStyle w:val="BodyText"/>
      </w:pPr>
      <w:r>
        <w:rPr>
          <w:bCs/>
          <w:b/>
        </w:rPr>
        <w:t xml:space="preserve">Đóng góp mới</w:t>
      </w:r>
      <w:r>
        <w:t xml:space="preserve">: mở rộng quy mô từ 17 sang</w:t>
      </w:r>
      <w:r>
        <w:t xml:space="preserve"> </w:t>
      </w:r>
      <w:r>
        <w:rPr>
          <w:bCs/>
          <w:b/>
        </w:rPr>
        <w:t xml:space="preserve">50 nền kinh tế châu Á và Thái Bình Dương</w:t>
      </w:r>
      <w:r>
        <w:t xml:space="preserve">, với 6 sub-regime ICRV (Advanced innovation-driven, Advanced resource-driven, Upper-middle, Lower-middle transition, Emerging, SIDS). Quy mô này là lớn nhất cho khu vực trong văn liệu internationalization–performance, gồm cả boundary case Pacific SIDS (7 nước, n=959 (mẫu phân tích sau lọc missing)) cho phép kiểm định forced internationalization penalty (nghiên cứu thành phần P8).</w:t>
      </w:r>
    </w:p>
    <w:p>
      <w:pPr>
        <w:pStyle w:val="BlockText"/>
      </w:pPr>
      <w:r>
        <w:rPr>
          <w:bCs/>
          <w:b/>
        </w:rPr>
        <w:t xml:space="preserve">Ghi chú về trọng số khảo sát (survey sampling weights):</w:t>
      </w:r>
      <w:r>
        <w:t xml:space="preserve"> </w:t>
      </w:r>
      <w:r>
        <w:t xml:space="preserve">WBES cung cấp sampling weights để đại diện cho tổng thể doanh nghiệp trong từng quốc gia. Tuy nhiên, luận án</w:t>
      </w:r>
      <w:r>
        <w:t xml:space="preserve"> </w:t>
      </w:r>
      <w:r>
        <w:rPr>
          <w:iCs/>
          <w:i/>
        </w:rPr>
        <w:t xml:space="preserve">không áp dụng sampling weights</w:t>
      </w:r>
      <w:r>
        <w:t xml:space="preserve"> </w:t>
      </w:r>
      <w:r>
        <w:t xml:space="preserve">trong ước lượng mô hình hồi quy vì ba lý do: (1) Mục tiêu của luận án là kiểm định cơ chế lý thuyết (mechanism testing) chứ không phải ước lượng mô tả đại diện tổng thể (population-representative descriptive estimation), trong bối cảnh này, không áp dụng weights là thực hành chuẩn trong văn liệu IB sử dụng WBES (Aterido et al., 2011; Cuervo-Cazurra et al., 2018); (2) Fixed effects ở cấp country-year đã kiểm soát đặc điểm cấu trúc của từng sóng khảo sát; (3) Việc áp dụng weights có thể làm sai lệch ước lượng khi mẫu được gộp chung từ nhiều quốc gia có quy mô tổng thể doanh nghiệp khác nhau nhiều bậc (ví dụ: Trung Quốc ~100 triệu so với Tonga ~500 doanh nghiệp). Phân tích độ nhạy có áp dụng survey weights cho từng quốc gia riêng lẻ (P3/P4/P5) không thay đổi hướng hoặc mức độ ý nghĩa của các hệ số chính (xem §3.5).</w:t>
      </w:r>
    </w:p>
    <w:bookmarkEnd w:id="90"/>
    <w:bookmarkStart w:id="91" w:name="Xbff20786659f3471473d6f5f9041e850d60d8e2"/>
    <w:p>
      <w:pPr>
        <w:pStyle w:val="Heading3"/>
      </w:pPr>
      <w:r>
        <w:t xml:space="preserve">3.3.2 Đo lường biến phụ thuộc: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văn liệu về firm productivity (Bloom et al., 2012; Hsieh &amp; Klenow, 2009). Chỉ tiêu này đã được vận hành hóa thành công trong bài thực trạng emerging Asia (nghiên cứu thành phần P1).</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ít bị ảnh hưởng bởi chuẩn mực kế toán khác biệt giữa các nước hơn so với các chỉ tiêu kế toán (Combs et al., 2005; Richard et al., 2009).</w:t>
      </w:r>
    </w:p>
    <w:p>
      <w:pPr>
        <w:pStyle w:val="BodyText"/>
      </w:pPr>
      <w:r>
        <w:rPr>
          <w:bCs/>
          <w:b/>
        </w:rPr>
        <w:t xml:space="preserve">Nhất quán đo lường xuyên các nghiên cứu thành phần và điều kiện so sánh tiền tệ</w:t>
      </w:r>
      <w:r>
        <w:t xml:space="preserve">: cùng một construct</w:t>
      </w:r>
      <w:r>
        <w:t xml:space="preserve"> </w:t>
      </w:r>
      <m:oMath>
        <m:r>
          <m:rPr>
            <m:sty m:val="p"/>
          </m:rPr>
          <m:t>ln</m:t>
        </m:r>
        <m:d>
          <m:dPr>
            <m:begChr m:val="("/>
            <m:endChr m:val=")"/>
            <m:sepChr m:val=""/>
            <m:grow/>
          </m:dPr>
          <m:e>
            <m:r>
              <m:rPr>
                <m:nor/>
                <m:sty m:val="p"/>
              </m:rPr>
              <m:t>LP</m:t>
            </m:r>
          </m:e>
        </m:d>
      </m:oMath>
      <w:r>
        <w:t xml:space="preserve"> </w:t>
      </w:r>
      <w:r>
        <w:t xml:space="preserve">từ trường WBES d2/l1 được dùng thống nhất ở P3, P4, P5 và P7, nhưng cách xử lý đơn vị tiền tệ khác nhau</w:t>
      </w:r>
      <w:r>
        <w:t xml:space="preserve"> </w:t>
      </w:r>
      <w:r>
        <w:rPr>
          <w:bCs/>
          <w:b/>
        </w:rPr>
        <w:t xml:space="preserve">theo đúng bản chất thiết kế</w:t>
      </w:r>
      <w:r>
        <w:t xml:space="preserve"> </w:t>
      </w:r>
      <w:r>
        <w:t xml:space="preserve">của từng nghiên cứu: (i) các nghiên cứu</w:t>
      </w:r>
      <w:r>
        <w:t xml:space="preserve"> </w:t>
      </w:r>
      <w:r>
        <w:rPr>
          <w:bCs/>
          <w:b/>
        </w:rPr>
        <w:t xml:space="preserve">đơn quốc gia</w:t>
      </w:r>
      <w:r>
        <w:t xml:space="preserve"> </w:t>
      </w:r>
      <w:r>
        <w:t xml:space="preserve">(P3 Việt Nam, P4 Singapore, P5 Trung Quốc, P9 Ấn Độ) đo doanh thu bằng</w:t>
      </w:r>
      <w:r>
        <w:t xml:space="preserve"> </w:t>
      </w:r>
      <w:r>
        <w:rPr>
          <w:bCs/>
          <w:b/>
        </w:rPr>
        <w:t xml:space="preserve">một nội tệ duy nhất</w:t>
      </w:r>
      <w:r>
        <w:t xml:space="preserve"> </w:t>
      </w:r>
      <w:r>
        <w:t xml:space="preserve">nên mức</w:t>
      </w:r>
      <w:r>
        <w:t xml:space="preserve"> </w:t>
      </w:r>
      <m:oMath>
        <m:r>
          <m:rPr>
            <m:sty m:val="p"/>
          </m:rPr>
          <m:t>ln</m:t>
        </m:r>
        <m:d>
          <m:dPr>
            <m:begChr m:val="("/>
            <m:endChr m:val=")"/>
            <m:sepChr m:val=""/>
            <m:grow/>
          </m:dPr>
          <m:e>
            <m:r>
              <m:rPr>
                <m:nor/>
                <m:sty m:val="p"/>
              </m:rPr>
              <m:t>LP</m:t>
            </m:r>
          </m:e>
        </m:d>
      </m:oMath>
      <w:r>
        <w:t xml:space="preserve"> </w:t>
      </w:r>
      <w:r>
        <w:t xml:space="preserve">so sánh được trực tiếp trong nội bộ mẫu; khác biệt mặt bằng giá giữa các đợt khảo sát được hấp thụ bằng biến giả đợt/hiệu ứng cố định năm (P5:</w:t>
      </w:r>
      <w:r>
        <w:t xml:space="preserve"> </w:t>
      </w:r>
      <m:oMath>
        <m:sSub>
          <m:e>
            <m:r>
              <m:t>D</m:t>
            </m:r>
          </m:e>
          <m:sub>
            <m:r>
              <m:t>2024</m:t>
            </m:r>
          </m:sub>
        </m:sSub>
      </m:oMath>
      <w:r>
        <w:t xml:space="preserve">; P3 bổ sung hiệu chỉnh PPP cho khoảng cách 14 năm 2009–2023), kèm winsorize 1%/99% (P4); (ii) nghiên cứu</w:t>
      </w:r>
      <w:r>
        <w:t xml:space="preserve"> </w:t>
      </w:r>
      <w:r>
        <w:rPr>
          <w:bCs/>
          <w:b/>
        </w:rPr>
        <w:t xml:space="preserve">đa quốc gia</w:t>
      </w:r>
      <w:r>
        <w:t xml:space="preserve"> </w:t>
      </w:r>
      <w:r>
        <w:t xml:space="preserve">(P7) gộp doanh thu bằng</w:t>
      </w:r>
      <w:r>
        <w:t xml:space="preserve"> </w:t>
      </w:r>
      <w:r>
        <w:rPr>
          <w:bCs/>
          <w:b/>
        </w:rPr>
        <w:t xml:space="preserve">nhiều nội tệ</w:t>
      </w:r>
      <w:r>
        <w:t xml:space="preserve">, do đó mức</w:t>
      </w:r>
      <w:r>
        <w:t xml:space="preserve"> </w:t>
      </w:r>
      <m:oMath>
        <m:r>
          <m:rPr>
            <m:sty m:val="p"/>
          </m:rPr>
          <m:t>ln</m:t>
        </m:r>
        <m:d>
          <m:dPr>
            <m:begChr m:val="("/>
            <m:endChr m:val=")"/>
            <m:sepChr m:val=""/>
            <m:grow/>
          </m:dPr>
          <m:e>
            <m:r>
              <m:rPr>
                <m:nor/>
                <m:sty m:val="p"/>
              </m:rPr>
              <m:t>LP</m:t>
            </m:r>
          </m:e>
        </m:d>
      </m:oMath>
      <w:r>
        <w:t xml:space="preserve"> </w:t>
      </w:r>
      <w:r>
        <w:t xml:space="preserve">thô không so sánh được giữa các nước, tính so sánh được bảo đảm bằng chuẩn hóa z within country–year và hiệu ứng cố định hai chiều, như trình bày chi tiết ở Phụ lục A (§A.5); mọi so sánh</w:t>
      </w:r>
      <w:r>
        <w:t xml:space="preserve"> </w:t>
      </w:r>
      <w:r>
        <w:rPr>
          <w:bCs/>
          <w:b/>
        </w:rPr>
        <w:t xml:space="preserve">mức</w:t>
      </w:r>
      <w:r>
        <w:t xml:space="preserve"> </w:t>
      </w:r>
      <w:r>
        <w:t xml:space="preserve">xuyên quốc gia trong luận án dùng tỷ suất không thứ nguyên (ROS) hoặc giá trị đã hiệu chỉnh PPP. Như vậy tính so sánh xuyên quốc gia của thước đo là</w:t>
      </w:r>
      <w:r>
        <w:t xml:space="preserve"> </w:t>
      </w:r>
      <w:r>
        <w:rPr>
          <w:bCs/>
          <w:b/>
        </w:rPr>
        <w:t xml:space="preserve">có điều kiện</w:t>
      </w:r>
      <w:r>
        <w:t xml:space="preserve">, đạt được qua thiết kế ước lượng, không phải tự động ở mức thô. Về phía biến quốc tế hóa, khung ước lượng đa quốc gia của luận án (P7, P8, P9) và thống kê mô tả ở Chuyên đề 1 đo FSTS bằng</w:t>
      </w:r>
      <w:r>
        <w:t xml:space="preserve"> </w:t>
      </w:r>
      <w:r>
        <w:rPr>
          <w:bCs/>
          <w:b/>
        </w:rPr>
        <w:t xml:space="preserve">tổng xuất khẩu trực tiếp và gián tiếp</w:t>
      </w:r>
      <w:r>
        <w:t xml:space="preserve"> </w:t>
      </w:r>
      <w:r>
        <w:t xml:space="preserve">(trường WBES d3b + d3c), định nghĩa tham gia xuất khẩu chuẩn của bộ công cụ WBES; hai nghiên cứu đơn quốc gia (P3 Việt Nam, P5 Trung Quốc) dùng</w:t>
      </w:r>
      <w:r>
        <w:t xml:space="preserve"> </w:t>
      </w:r>
      <w:r>
        <w:rPr>
          <w:bCs/>
          <w:b/>
        </w:rPr>
        <w:t xml:space="preserve">riêng xuất khẩu trực tiếp</w:t>
      </w:r>
      <w:r>
        <w:t xml:space="preserve"> </w:t>
      </w:r>
      <w:r>
        <w:t xml:space="preserve">(d3c), vì xuất khẩu gián tiếp ủy thác chức năng quốc tế hóa cho trung gian thương mại với cơ chế học hỏi và yêu cầu nguồn lực khác về bản chất (Hessels &amp; Terjesen, 2010; Peng &amp; Ilinitch, 1998), trong khi tỷ trọng doanh thu xuất khẩu là thước đo cường độ quốc tế hóa chuẩn của văn liệu I–P (Lu &amp; Beamish, 2001; Sullivan, 1994); lựa chọn thao tác hóa được ghi rõ trong phần dữ liệu của từng nghiên cứu thành phần.</w:t>
      </w:r>
    </w:p>
    <w:p>
      <w:pPr>
        <w:pStyle w:val="BodyText"/>
      </w:pPr>
      <w:r>
        <w:rPr>
          <w:bCs/>
          <w:b/>
        </w:rPr>
        <w:t xml:space="preserve">Biến độ vững</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 Chương 2).</w:t>
      </w:r>
    </w:p>
    <w:bookmarkEnd w:id="91"/>
    <w:bookmarkStart w:id="92" w:name="đo-lường-biến-độc-lập-quốc-tế-hóa"/>
    <w:p>
      <w:pPr>
        <w:pStyle w:val="Heading3"/>
      </w:pPr>
      <w:r>
        <w:t xml:space="preserve">3.3.3 Đo lường biến độc lập: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văn liệu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nghiên cứu thành phần P2 xác nhận có ý nghĩa thống kê ở Trung Quốc với điểm uốn ~47,8% FSTS, làm baseline cho việc kiểm định mở rộng trong luận án.</w:t>
      </w:r>
    </w:p>
    <w:bookmarkEnd w:id="92"/>
    <w:bookmarkStart w:id="96" w:name="đo-lường-biến-điều-tiết"/>
    <w:p>
      <w:pPr>
        <w:pStyle w:val="Heading3"/>
      </w:pPr>
      <w:r>
        <w:t xml:space="preserve">3.3.4 Đo lường biến điều tiết</w:t>
      </w:r>
    </w:p>
    <w:bookmarkStart w:id="93" w:name="digital-constructs-tci-và-dai"/>
    <w:p>
      <w:pPr>
        <w:pStyle w:val="Heading4"/>
      </w:pPr>
      <w:r>
        <w:t xml:space="preserve">Digital constructs (TCI và DAI)</w:t>
      </w:r>
    </w:p>
    <w:p>
      <w:pPr>
        <w:pStyle w:val="FirstParagraph"/>
      </w:pPr>
      <w:r>
        <w:t xml:space="preserve">Luận án phân biệt rõ hai construct:</w:t>
      </w:r>
    </w:p>
    <w:p>
      <w:pPr>
        <w:numPr>
          <w:ilvl w:val="0"/>
          <w:numId w:val="1005"/>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5"/>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w:t>
      </w:r>
      <w:r>
        <w:t xml:space="preserve"> </w:t>
      </w:r>
      <w:r>
        <w:t xml:space="preserve">“</w:t>
      </w:r>
      <w:r>
        <w:t xml:space="preserve">digital shield effect</w:t>
      </w:r>
      <w:r>
        <w:t xml:space="preserve">”</w:t>
      </w:r>
      <w:r>
        <w:t xml:space="preserve"> </w:t>
      </w:r>
      <w:r>
        <w:t xml:space="preserve">được nghiên cứu thành phần P1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50 nền kinh tế châu Á và Thái Bình Dương, với pipeline hòa hợp 3 thế hệ schema. Phân tách TCI và DAI theo (i) Bharadwaj et al. (2013), IT capability vs digital business strategy có nomological nets khác nhau; (ii) phân tầng 3 cấp của Verhoef et al. (2021),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đảm bảo TCI và DAI là hai composite độc lập.</w:t>
      </w:r>
    </w:p>
    <w:bookmarkEnd w:id="93"/>
    <w:bookmarkStart w:id="94" w:name="biến-thể-chế"/>
    <w:p>
      <w:pPr>
        <w:pStyle w:val="Heading4"/>
      </w:pPr>
      <w:r>
        <w:t xml:space="preserve">Biến thể chế</w:t>
      </w:r>
    </w:p>
    <w:p>
      <w:pPr>
        <w:pStyle w:val="FirstParagraph"/>
      </w:pPr>
      <w:r>
        <w:rPr>
          <w:bCs/>
          <w:b/>
        </w:rPr>
        <w:t xml:space="preserve">Biến chính</w:t>
      </w:r>
      <w:r>
        <w:t xml:space="preserve">: business obstacle index (tổng hợp từ các câu hỏi WBES về obstacles), country-level governance proxies, chỉ số pháp quyền WGI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các biến điều tiết.</w:t>
      </w:r>
    </w:p>
    <w:bookmarkEnd w:id="94"/>
    <w:bookmarkStart w:id="95" w:name="đặc-điểm-nhà-quản-trị-cấp-cao"/>
    <w:p>
      <w:pPr>
        <w:pStyle w:val="Heading4"/>
      </w:pPr>
      <w:r>
        <w:t xml:space="preserve">Đặc điểm nhà quản trị cấp cao</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độ vững chứ không bắt buộc trong mô hình chính.</w:t>
      </w:r>
    </w:p>
    <w:bookmarkEnd w:id="95"/>
    <w:bookmarkEnd w:id="96"/>
    <w:bookmarkStart w:id="97" w:name="biến-kiểm-soát"/>
    <w:p>
      <w:pPr>
        <w:pStyle w:val="Heading3"/>
      </w:pPr>
      <w:r>
        <w:t xml:space="preserve">3.3.5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97"/>
    <w:bookmarkEnd w:id="98"/>
    <w:bookmarkStart w:id="113" w:name="mô-hình-phân-tích"/>
    <w:p>
      <w:pPr>
        <w:pStyle w:val="Heading2"/>
      </w:pPr>
      <w:r>
        <w:t xml:space="preserve">3.4 Mô hình phân tích</w:t>
      </w:r>
    </w:p>
    <w:bookmarkStart w:id="99" w:name="mô-hình-meta-analysis"/>
    <w:p>
      <w:pPr>
        <w:pStyle w:val="Heading3"/>
      </w:pPr>
      <w:r>
        <w:t xml:space="preserve">3.4.1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các biến điều tiết.</w:t>
      </w:r>
    </w:p>
    <w:p>
      <w:pPr>
        <w:pStyle w:val="BodyText"/>
      </w:pPr>
      <w:r>
        <w:rPr>
          <w:bCs/>
          <w:b/>
        </w:rPr>
        <w:t xml:space="preserve">Cơ sở kế thừa</w:t>
      </w:r>
      <w:r>
        <w:t xml:space="preserve">: chuẩn meta-analysis trong quản trị chiến lược (Combs et al., 2011; Aguinis et al., 2011).</w:t>
      </w:r>
    </w:p>
    <w:bookmarkEnd w:id="99"/>
    <w:bookmarkStart w:id="100" w:name="mô-hình-empirical-tuyến-tính-cơ-bản"/>
    <w:p>
      <w:pPr>
        <w:pStyle w:val="Heading3"/>
      </w:pPr>
      <w:r>
        <w:t xml:space="preserve">3.4.2 Mô hình empirical: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100"/>
    <w:bookmarkStart w:id="101" w:name="mô-hình-phi-tuyến-h1"/>
    <w:p>
      <w:pPr>
        <w:pStyle w:val="Heading3"/>
      </w:pPr>
      <w:r>
        <w:t xml:space="preserve">3.4.3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chữ U ngược được xác nhận. Điểm uốn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nghiên cứu thành phần P2 cho cubic specification ở China với điểm uốn ~47,8% FSTS.</w:t>
      </w:r>
    </w:p>
    <w:p>
      <w:pPr>
        <w:pStyle w:val="BodyText"/>
      </w:pPr>
      <w:r>
        <w:rPr>
          <w:bCs/>
          <w:b/>
        </w:rPr>
        <w:t xml:space="preserve">Lind–Mehlum U-test</w:t>
      </w:r>
      <w:r>
        <w:t xml:space="preserve"> </w:t>
      </w:r>
      <w:r>
        <w:t xml:space="preserve">(Lind &amp; Mehlum, 2010; Haans et al., 2016) để xác nhận chặt chữ U ngược: kiểm định slope dương ở bên trái và slope âm ở bên phải của domain</w:t>
      </w:r>
      <w:r>
        <w:t xml:space="preserve"> </w:t>
      </w:r>
      <m:oMath>
        <m:r>
          <m:t>F</m:t>
        </m:r>
        <m:r>
          <m:t>S</m:t>
        </m:r>
        <m:r>
          <m:t>T</m:t>
        </m:r>
        <m:r>
          <m:t>S</m:t>
        </m:r>
      </m:oMath>
      <w:r>
        <w:t xml:space="preserve">.</w:t>
      </w:r>
    </w:p>
    <w:bookmarkEnd w:id="101"/>
    <w:bookmarkStart w:id="104" w:name="mô-hình-moderation-h2h6"/>
    <w:p>
      <w:pPr>
        <w:pStyle w:val="Heading3"/>
      </w:pPr>
      <w:r>
        <w:t xml:space="preserve">3.4.4 Mô hình moderation (H2–H6)</w:t>
      </w:r>
    </w:p>
    <w:bookmarkStart w:id="102"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biến điều tiết (TCI hoặc DAI).</w:t>
      </w:r>
    </w:p>
    <w:bookmarkEnd w:id="102"/>
    <w:bookmarkStart w:id="103"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50 nước chưa được kiểm định trước đây.</w:t>
      </w:r>
    </w:p>
    <w:bookmarkEnd w:id="103"/>
    <w:bookmarkEnd w:id="104"/>
    <w:bookmarkStart w:id="105" w:name="mô-hình-temporal-heterogeneity-h6"/>
    <w:p>
      <w:pPr>
        <w:pStyle w:val="Heading3"/>
      </w:pPr>
      <w:r>
        <w:t xml:space="preserve">3.4.5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nghiên cứu thành phần P2 làm baseline cubic 2012.</w:t>
      </w:r>
    </w:p>
    <w:p>
      <w:pPr>
        <w:pStyle w:val="BodyText"/>
      </w:pPr>
      <w:r>
        <w:rPr>
          <w:bCs/>
          <w:b/>
        </w:rPr>
        <w:t xml:space="preserve">Đóng góp mới</w:t>
      </w:r>
      <w:r>
        <w:t xml:space="preserve">: áp dụng cho China 2012 và 2024 để kiểm định stability của cubic điểm uốn (~47,8% FSTS) sau hơn một thập kỷ chuyển đổi số.</w:t>
      </w:r>
    </w:p>
    <w:bookmarkEnd w:id="105"/>
    <w:bookmarkStart w:id="106" w:name="X3ef1c131b29643aac6595f7e8338779440cc96b"/>
    <w:p>
      <w:pPr>
        <w:pStyle w:val="Heading3"/>
      </w:pPr>
      <w:r>
        <w:t xml:space="preserve">3.4.5.1 Mô hình cụ thể: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6"/>
        </w:numPr>
        <w:pStyle w:val="Compact"/>
      </w:pPr>
      <w:r>
        <w:rPr>
          <w:bCs/>
          <w:b/>
        </w:rPr>
        <w:t xml:space="preserve">lnNSLD_it</w:t>
      </w:r>
      <w:r>
        <w:t xml:space="preserve"> </w:t>
      </w:r>
      <w:r>
        <w:t xml:space="preserve">= lnLP_it: log năng suất lao động (ln doanh thu PPP / lao động thường xuyên)</w:t>
      </w:r>
    </w:p>
    <w:p>
      <w:pPr>
        <w:numPr>
          <w:ilvl w:val="0"/>
          <w:numId w:val="1006"/>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6"/>
        </w:numPr>
        <w:pStyle w:val="Compact"/>
      </w:pPr>
      <w:r>
        <w:rPr>
          <w:bCs/>
          <w:b/>
        </w:rPr>
        <w:t xml:space="preserve">CDDXK_c²_it</w:t>
      </w:r>
      <w:r>
        <w:t xml:space="preserve"> </w:t>
      </w:r>
      <w:r>
        <w:t xml:space="preserve">= FSTS_c²_it: bình phương cường độ xuất khẩu điều chỉnh</w:t>
      </w:r>
    </w:p>
    <w:p>
      <w:pPr>
        <w:numPr>
          <w:ilvl w:val="0"/>
          <w:numId w:val="1006"/>
        </w:numPr>
        <w:pStyle w:val="Compact"/>
      </w:pPr>
      <w:r>
        <w:rPr>
          <w:bCs/>
          <w:b/>
        </w:rPr>
        <w:t xml:space="preserve">NLCN_z_it</w:t>
      </w:r>
      <w:r>
        <w:t xml:space="preserve"> </w:t>
      </w:r>
      <w:r>
        <w:t xml:space="preserve">= TCI_z_it: năng lực công nghệ (chuẩn hoá z trong sóng)</w:t>
      </w:r>
    </w:p>
    <w:p>
      <w:pPr>
        <w:numPr>
          <w:ilvl w:val="0"/>
          <w:numId w:val="1006"/>
        </w:numPr>
        <w:pStyle w:val="Compact"/>
      </w:pPr>
      <w:r>
        <w:rPr>
          <w:bCs/>
          <w:b/>
        </w:rPr>
        <w:t xml:space="preserve">CSS_z_it</w:t>
      </w:r>
      <w:r>
        <w:t xml:space="preserve"> </w:t>
      </w:r>
      <w:r>
        <w:t xml:space="preserve">= DAI_z_it: chỉ số số hoá cơ sở, Tier-1 (chuẩn hoá z trong sóng)</w:t>
      </w:r>
    </w:p>
    <w:p>
      <w:pPr>
        <w:numPr>
          <w:ilvl w:val="0"/>
          <w:numId w:val="1006"/>
        </w:numPr>
        <w:pStyle w:val="Compact"/>
      </w:pPr>
      <w:r>
        <w:rPr>
          <w:bCs/>
          <w:b/>
        </w:rPr>
        <w:t xml:space="preserve">lnLD, TuoiDN, SoHuuNuocNgoai</w:t>
      </w:r>
      <w:r>
        <w:t xml:space="preserve">: kiểm soát quy mô, tuổi, sở hữu</w:t>
      </w:r>
    </w:p>
    <w:p>
      <w:pPr>
        <w:numPr>
          <w:ilvl w:val="0"/>
          <w:numId w:val="1006"/>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Quốc tế hoá phi tuyến (kiểm định H1, chữ U ngược):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Điều tiết CSS/DAI (H3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Nghiên cứu 3 (Việt Nam):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(H3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106"/>
    <w:bookmarkStart w:id="107" w:name="Xee326425775ef5a6cb69bdccb6b7f607df42eb1"/>
    <w:p>
      <w:pPr>
        <w:pStyle w:val="Heading3"/>
      </w:pPr>
      <w:r>
        <w:t xml:space="preserve">3.4.5.2 Mô hình cụ thể: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7"/>
        </w:numPr>
        <w:pStyle w:val="Compact"/>
      </w:pPr>
      <w:r>
        <w:rPr>
          <w:bCs/>
          <w:b/>
        </w:rPr>
        <w:t xml:space="preserve">lnNSLD_i</w:t>
      </w:r>
      <w:r>
        <w:t xml:space="preserve"> </w:t>
      </w:r>
      <w:r>
        <w:t xml:space="preserve">= lnLP_i: log năng suất lao động (ln doanh thu PPP / lao động thường xuyên)</w:t>
      </w:r>
    </w:p>
    <w:p>
      <w:pPr>
        <w:numPr>
          <w:ilvl w:val="0"/>
          <w:numId w:val="1007"/>
        </w:numPr>
        <w:pStyle w:val="Compact"/>
      </w:pPr>
      <w:r>
        <w:rPr>
          <w:bCs/>
          <w:b/>
        </w:rPr>
        <w:t xml:space="preserve">CDDXK_i</w:t>
      </w:r>
      <w:r>
        <w:t xml:space="preserve"> </w:t>
      </w:r>
      <w:r>
        <w:t xml:space="preserve">= FSTS_i: cường độ xuất khẩu trực tiếp (d3c / 100)</w:t>
      </w:r>
    </w:p>
    <w:p>
      <w:pPr>
        <w:numPr>
          <w:ilvl w:val="0"/>
          <w:numId w:val="1007"/>
        </w:numPr>
        <w:pStyle w:val="Compact"/>
      </w:pPr>
      <w:r>
        <w:rPr>
          <w:bCs/>
          <w:b/>
        </w:rPr>
        <w:t xml:space="preserve">CDDXK_c_i</w:t>
      </w:r>
      <w:r>
        <w:t xml:space="preserve"> </w:t>
      </w:r>
      <w:r>
        <w:t xml:space="preserve">= FSTS_c_i: CDDXK trung bình mẫu; CDDXK_c² là bình phương</w:t>
      </w:r>
    </w:p>
    <w:p>
      <w:pPr>
        <w:numPr>
          <w:ilvl w:val="0"/>
          <w:numId w:val="1007"/>
        </w:numPr>
        <w:pStyle w:val="Compact"/>
      </w:pPr>
      <w:r>
        <w:rPr>
          <w:bCs/>
          <w:b/>
        </w:rPr>
        <w:t xml:space="preserve">NLCN_z_i</w:t>
      </w:r>
      <w:r>
        <w:t xml:space="preserve"> </w:t>
      </w:r>
      <w:r>
        <w:t xml:space="preserve">= TCI_z_i: năng lực công nghệ, z-std của trung bình(b8₀₁, e6₀₁)</w:t>
      </w:r>
    </w:p>
    <w:p>
      <w:pPr>
        <w:numPr>
          <w:ilvl w:val="0"/>
          <w:numId w:val="1007"/>
        </w:numPr>
        <w:pStyle w:val="Compact"/>
      </w:pPr>
      <w:r>
        <w:rPr>
          <w:bCs/>
          <w:b/>
        </w:rPr>
        <w:t xml:space="preserve">CSS_z_i</w:t>
      </w:r>
      <w:r>
        <w:t xml:space="preserve"> </w:t>
      </w:r>
      <w:r>
        <w:t xml:space="preserve">= DAI_z_i: chỉ số số hoá</w:t>
      </w:r>
      <w:r>
        <w:t xml:space="preserve"> </w:t>
      </w:r>
      <w:r>
        <w:rPr>
          <w:bCs/>
          <w:b/>
        </w:rPr>
        <w:t xml:space="preserve">Tier-1+2</w:t>
      </w:r>
      <w:r>
        <w:t xml:space="preserve">, z-std của trung bình(c22b₀₁, k33₀₁, k38₀₁); khác P3 ở chỗ bao gồm e-payment hai chiều (Tier-2)</w:t>
      </w:r>
    </w:p>
    <w:p>
      <w:pPr>
        <w:numPr>
          <w:ilvl w:val="0"/>
          <w:numId w:val="1007"/>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7"/>
        </w:numPr>
        <w:pStyle w:val="Compact"/>
      </w:pPr>
      <w:r>
        <w:rPr>
          <w:bCs/>
          <w:b/>
        </w:rPr>
        <w:t xml:space="preserve">δ_s</w:t>
      </w:r>
      <w:r>
        <w:t xml:space="preserve">: sector fixed effects (ISIC 1-chữ số)</w:t>
      </w:r>
    </w:p>
    <w:p>
      <w:pPr>
        <w:numPr>
          <w:ilvl w:val="0"/>
          <w:numId w:val="1007"/>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không bác bỏ tuyến tính trong phạm vi dữ liệu quan sát; đây là kết quả thông tin tích cực theo khung bão hòa (saturation framework)</w:t>
      </w:r>
    </w:p>
    <w:p>
      <w:pPr>
        <w:pStyle w:val="BlockText"/>
      </w:pPr>
      <w:r>
        <w:t xml:space="preserve">M3 (+ NLCN,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Nghiên cứu 4 (Singapore):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107"/>
    <w:bookmarkStart w:id="108" w:name="Xd0414c1f445c504fea8a4b83b026b3007745b73"/>
    <w:p>
      <w:pPr>
        <w:pStyle w:val="Heading3"/>
      </w:pPr>
      <w:r>
        <w:t xml:space="preserve">3.4.5.3 Mô hình cụ thể: Nghiên cứu 5 (Trung Quốc, WBES 2012 và 2024)</w:t>
      </w:r>
    </w:p>
    <w:p>
      <w:pPr>
        <w:pStyle w:val="FirstParagraph"/>
      </w:pPr>
      <w:r>
        <w:t xml:space="preserve">Nghiên cứu 5 sử dụng hai sóng WBES Trung Quốc (2012: N = 2.619; 2024: N = 1.940; pooled N = 4.559). Thiết kế đa sóng không panel (217 doanh nghiệp xuất hiện cả hai sóng tạo thành</w:t>
      </w:r>
      <w:r>
        <w:t xml:space="preserve"> </w:t>
      </w:r>
      <w:r>
        <w:t xml:space="preserve">“</w:t>
      </w:r>
      <w:r>
        <w:t xml:space="preserve">panel core</w:t>
      </w:r>
      <w:r>
        <w:t xml:space="preserve">”</w:t>
      </w:r>
      <w:r>
        <w:t xml:space="preserve"> </w:t>
      </w:r>
      <w:r>
        <w:t xml:space="preserve">được sử dụng cho cluster-robust SE). Ký hiệu tiếng Việt:</w:t>
      </w:r>
    </w:p>
    <w:p>
      <w:pPr>
        <w:numPr>
          <w:ilvl w:val="0"/>
          <w:numId w:val="1008"/>
        </w:numPr>
        <w:pStyle w:val="Compact"/>
      </w:pPr>
      <w:r>
        <w:rPr>
          <w:bCs/>
          <w:b/>
        </w:rPr>
        <w:t xml:space="preserve">lnNSLD_it</w:t>
      </w:r>
      <w:r>
        <w:t xml:space="preserve"> </w:t>
      </w:r>
      <w:r>
        <w:t xml:space="preserve">= lnLP_it: log năng suất lao động (biến phụ thuộc)</w:t>
      </w:r>
    </w:p>
    <w:p>
      <w:pPr>
        <w:numPr>
          <w:ilvl w:val="0"/>
          <w:numId w:val="1008"/>
        </w:numPr>
        <w:pStyle w:val="Compact"/>
      </w:pPr>
      <w:r>
        <w:rPr>
          <w:bCs/>
          <w:b/>
        </w:rPr>
        <w:t xml:space="preserve">CDDXK_c_it</w:t>
      </w:r>
      <w:r>
        <w:t xml:space="preserve"> </w:t>
      </w:r>
      <w:r>
        <w:t xml:space="preserve">= FSTS_c_it: cường độ xuất khẩu centred theo trung bình sóng</w:t>
      </w:r>
    </w:p>
    <w:p>
      <w:pPr>
        <w:numPr>
          <w:ilvl w:val="0"/>
          <w:numId w:val="1008"/>
        </w:numPr>
        <w:pStyle w:val="Compact"/>
      </w:pPr>
      <w:r>
        <w:rPr>
          <w:bCs/>
          <w:b/>
        </w:rPr>
        <w:t xml:space="preserve">NLCN_z_it</w:t>
      </w:r>
      <w:r>
        <w:t xml:space="preserve"> </w:t>
      </w:r>
      <w:r>
        <w:t xml:space="preserve">= TCI_full_z_it: năng lực công nghệ toàn diện, z-std của TB(b8₀₁, e6₀₁, b4₀₁, b7a₀₁); mở rộng hơn P3</w:t>
      </w:r>
    </w:p>
    <w:p>
      <w:pPr>
        <w:numPr>
          <w:ilvl w:val="0"/>
          <w:numId w:val="1008"/>
        </w:numPr>
        <w:pStyle w:val="Compact"/>
      </w:pPr>
      <w:r>
        <w:rPr>
          <w:bCs/>
          <w:b/>
        </w:rPr>
        <w:t xml:space="preserve">CSS_z_it</w:t>
      </w:r>
      <w:r>
        <w:t xml:space="preserve"> </w:t>
      </w:r>
      <w:r>
        <w:t xml:space="preserve">= DAI_core_it: chỉ số số hoá cơ bản, chỉ c22b₀₁ (Tier-1 mỏng, single-item binary)</w:t>
      </w:r>
    </w:p>
    <w:p>
      <w:pPr>
        <w:numPr>
          <w:ilvl w:val="0"/>
          <w:numId w:val="1008"/>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8"/>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kiểm định H1):</w:t>
      </w:r>
      <w:r>
        <w:t xml:space="preserve"> </w:t>
      </w:r>
      <w:r>
        <w:t xml:space="preserve">lnNSLD_it = α + β₁ CDDXK_c_it + β₂ CDDXK_c²_it + γ·X_it + δ_s + λ_t + ε_it</w:t>
      </w:r>
      <w:r>
        <w:t xml:space="preserve"> </w:t>
      </w:r>
      <w:r>
        <w:t xml:space="preserve">H1: β₁ &gt; 0, β₂ &lt; 0; TP* = −β₁/(2β₂), điểm uốn 49,4% (2012), 47,2% (2024), và 48,8% (pooled)</w:t>
      </w:r>
      <w:r>
        <w:t xml:space="preserve"> </w:t>
      </w:r>
      <w:r>
        <w:t xml:space="preserve">Kiểm định ổn định cấu trúc: Paternoster et al. (1998) z-test: z(FSTS) = +0,82 (p = 0,412); z(FSTS²) = −0,61 (p = 0,545), không bác bỏ bình đẳng hệ số giữa hai sóng</w:t>
      </w:r>
    </w:p>
    <w:p>
      <w:pPr>
        <w:pStyle w:val="BlockText"/>
      </w:pPr>
      <w:r>
        <w:t xml:space="preserve">M3 (+ NLCN trực tiếp, H2 level-shift):</w:t>
      </w:r>
      <w:r>
        <w:t xml:space="preserve"> </w:t>
      </w:r>
      <w:r>
        <w:t xml:space="preserve">lnNSLD_it = α + β₁ CDDXK_c + β₂ CDDXK_c² + β₃ NLCN_z + γ·X + δ_s + λ_t + ε</w:t>
      </w:r>
      <w:r>
        <w:t xml:space="preserve"> </w:t>
      </w:r>
      <w:r>
        <w:t xml:space="preserve">Kết quả: β₃ = +0,28 (2012, p &lt; 0,001), +0,43 (2024, p &lt; 0,001), TCI là</w:t>
      </w:r>
      <w:r>
        <w:t xml:space="preserve"> </w:t>
      </w:r>
      <w:r>
        <w:t xml:space="preserve">“</w:t>
      </w:r>
      <w:r>
        <w:t xml:space="preserve">bộ tăng mức</w:t>
      </w:r>
      <w:r>
        <w:t xml:space="preserve">”</w:t>
      </w:r>
      <w:r>
        <w:t xml:space="preserve"> </w:t>
      </w:r>
      <w:r>
        <w:t xml:space="preserve">(level-shifter),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tương tự cho β₂ (FSTS²)</w:t>
      </w:r>
    </w:p>
    <w:p>
      <w:pPr>
        <w:pStyle w:val="BlockText"/>
      </w:pPr>
      <w:r>
        <w:t xml:space="preserve">M6 (Điều tiết ba chiều,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do đó H4b (không có điều tiết độ cong theo năng lực) được chấp nhận</w:t>
      </w:r>
    </w:p>
    <w:p>
      <w:pPr>
        <w:pStyle w:val="FirstParagraph"/>
      </w:pPr>
      <w:r>
        <w:rPr>
          <w:bCs/>
          <w:b/>
        </w:rPr>
        <w:t xml:space="preserve">Bảng định nghĩa biến, Nghiên cứu 5 (Trung Quốc):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w:t>
      </w:r>
      <w:r>
        <w:rPr>
          <w:iCs/>
          <w:i/>
        </w:rPr>
        <w:t xml:space="preserve">“</w:t>
      </w:r>
      <w:r>
        <w:rPr>
          <w:iCs/>
          <w:i/>
        </w:rPr>
        <w:t xml:space="preserve">panel core</w:t>
      </w:r>
      <w:r>
        <w:rPr>
          <w:iCs/>
          <w:i/>
        </w:rPr>
        <w:t xml:space="preserve">”</w:t>
      </w:r>
      <w:r>
        <w:rPr>
          <w:iCs/>
          <w:i/>
        </w:rPr>
        <w:t xml:space="preserve">) tạo thêm nhận dạng biến thiên trong mẫu trong khi clustered SE theo idstd xử lý tương quan nội nhóm. DAI Trung Quốc chỉ là Tier-1 đơn biến, không đủ để kiểm định CDCM; hàm ý chính sách và lý thuyết khác với P4 Singapore (Tier-1+2).</w:t>
      </w:r>
    </w:p>
    <w:p>
      <w:r>
        <w:pict>
          <v:rect style="width:0;height:1.5pt" o:hralign="center" o:hrstd="t" o:hr="t"/>
        </w:pict>
      </w:r>
    </w:p>
    <w:bookmarkEnd w:id="108"/>
    <w:bookmarkStart w:id="111" w:name="Xef1ee77b66ccd9962e55365d60bd74be93a9b17"/>
    <w:p>
      <w:pPr>
        <w:pStyle w:val="Heading3"/>
      </w:pPr>
      <w:r>
        <w:t xml:space="preserve">3.4.5.4 Mô hình cụ thể: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50 nền kinh tế châu Á và Thái Bình Dương</w:t>
      </w:r>
      <w:r>
        <w:t xml:space="preserve"> </w:t>
      </w:r>
      <w:r>
        <w:t xml:space="preserve">(103 cặp nền kinh tế × năm, 2006–2026, gồm Nhật Bản 2025). Mẫu phân tích đạt N = 81.022 (M2) đến N = 79.080 (M5 với kiểm soát đầy đủ). Thiết kế hồi quy hiệu ứng cố định hai chiều (nền kinh tế và năm) với sai số chuẩn cụm theo nền kinh tế. Ký hiệu tiếng Việt:</w:t>
      </w:r>
    </w:p>
    <w:p>
      <w:pPr>
        <w:numPr>
          <w:ilvl w:val="0"/>
          <w:numId w:val="1009"/>
        </w:numPr>
        <w:pStyle w:val="Compact"/>
      </w:pPr>
      <w:r>
        <w:rPr>
          <w:bCs/>
          <w:b/>
        </w:rPr>
        <w:t xml:space="preserve">lnNSLD_it</w:t>
      </w:r>
      <w:r>
        <w:t xml:space="preserve">: ln(năng suất lao động) = ln(doanh thu / lao động thường trực), biến phụ thuộc</w:t>
      </w:r>
    </w:p>
    <w:p>
      <w:pPr>
        <w:numPr>
          <w:ilvl w:val="0"/>
          <w:numId w:val="1009"/>
        </w:numPr>
        <w:pStyle w:val="Compact"/>
      </w:pPr>
      <w:r>
        <w:rPr>
          <w:bCs/>
          <w:b/>
        </w:rPr>
        <w:t xml:space="preserve">CDDXK_c_it</w:t>
      </w:r>
      <w:r>
        <w:t xml:space="preserve">: cường độ xuất khẩu mean-centred, FSTS_c = (d3c/100) − mean_pool(FSTS)</w:t>
      </w:r>
    </w:p>
    <w:p>
      <w:pPr>
        <w:numPr>
          <w:ilvl w:val="0"/>
          <w:numId w:val="1009"/>
        </w:numPr>
        <w:pStyle w:val="Compact"/>
      </w:pPr>
      <w:r>
        <w:rPr>
          <w:bCs/>
          <w:b/>
        </w:rPr>
        <w:t xml:space="preserve">CDDXK_c²_it</w:t>
      </w:r>
      <w:r>
        <w:t xml:space="preserve">: CDDXK_c bình phương, kiểm định phi tuyến</w:t>
      </w:r>
    </w:p>
    <w:p>
      <w:pPr>
        <w:numPr>
          <w:ilvl w:val="0"/>
          <w:numId w:val="1009"/>
        </w:numPr>
        <w:pStyle w:val="Compact"/>
      </w:pPr>
      <w:r>
        <w:rPr>
          <w:bCs/>
          <w:b/>
        </w:rPr>
        <w:t xml:space="preserve">NLCN_z_it</w:t>
      </w:r>
      <w:r>
        <w:t xml:space="preserve">: năng lực công nghệ z-standardised, TCI_z = z-std(b8, e6)</w:t>
      </w:r>
    </w:p>
    <w:p>
      <w:pPr>
        <w:numPr>
          <w:ilvl w:val="0"/>
          <w:numId w:val="1009"/>
        </w:numPr>
        <w:pStyle w:val="Compact"/>
      </w:pPr>
      <w:r>
        <w:rPr>
          <w:bCs/>
          <w:b/>
        </w:rPr>
        <w:t xml:space="preserve">CSS_z_it</w:t>
      </w:r>
      <w:r>
        <w:t xml:space="preserve">: chỉ số số hoá z-standardised, DAI_z = z-std(website + e-pay, Tier 1+2: c22b/e1, k33)</w:t>
      </w:r>
    </w:p>
    <w:p>
      <w:pPr>
        <w:numPr>
          <w:ilvl w:val="0"/>
          <w:numId w:val="1009"/>
        </w:numPr>
        <w:pStyle w:val="Compact"/>
      </w:pPr>
      <w:r>
        <w:rPr>
          <w:bCs/>
          <w:b/>
        </w:rPr>
        <w:t xml:space="preserve">KNQLy_it</w:t>
      </w:r>
      <w:r>
        <w:t xml:space="preserve">: kinh nghiệm nhà quản lý trong ngành (năm, b7)</w:t>
      </w:r>
    </w:p>
    <w:p>
      <w:pPr>
        <w:numPr>
          <w:ilvl w:val="0"/>
          <w:numId w:val="1009"/>
        </w:numPr>
        <w:pStyle w:val="Compact"/>
      </w:pPr>
      <w:r>
        <w:rPr>
          <w:bCs/>
          <w:b/>
        </w:rPr>
        <w:t xml:space="preserve">NQL_nu_it</w:t>
      </w:r>
      <w:r>
        <w:t xml:space="preserve">: top manager là nữ (binary, b7a/b6a)</w:t>
      </w:r>
    </w:p>
    <w:p>
      <w:pPr>
        <w:numPr>
          <w:ilvl w:val="0"/>
          <w:numId w:val="1009"/>
        </w:numPr>
        <w:pStyle w:val="Compact"/>
      </w:pPr>
      <w:r>
        <w:rPr>
          <w:bCs/>
          <w:b/>
        </w:rPr>
        <w:t xml:space="preserve">ICRV_j</w:t>
      </w:r>
      <w:r>
        <w:t xml:space="preserve">: phân loại chế độ thể chế ICRV (integer 1–6, Advanced sang SIDS)</w:t>
      </w:r>
    </w:p>
    <w:p>
      <w:pPr>
        <w:numPr>
          <w:ilvl w:val="0"/>
          <w:numId w:val="1009"/>
        </w:numPr>
        <w:pStyle w:val="Compact"/>
      </w:pPr>
      <w:r>
        <w:rPr>
          <w:bCs/>
          <w:b/>
        </w:rPr>
        <w:t xml:space="preserve">lnLD_it</w:t>
      </w:r>
      <w:r>
        <w:t xml:space="preserve">: ln(lao động thường trực), kiểm soát quy mô doanh nghiệp</w:t>
      </w:r>
    </w:p>
    <w:p>
      <w:pPr>
        <w:numPr>
          <w:ilvl w:val="0"/>
          <w:numId w:val="1009"/>
        </w:numPr>
        <w:pStyle w:val="Compact"/>
      </w:pPr>
      <w:r>
        <w:rPr>
          <w:bCs/>
          <w:b/>
        </w:rPr>
        <w:t xml:space="preserve">TuoiDN_it</w:t>
      </w:r>
      <w:r>
        <w:t xml:space="preserve">: tuổi doanh nghiệp (năm_khảo_sát − b5)</w:t>
      </w:r>
    </w:p>
    <w:p>
      <w:pPr>
        <w:numPr>
          <w:ilvl w:val="0"/>
          <w:numId w:val="1009"/>
        </w:numPr>
        <w:pStyle w:val="Compact"/>
      </w:pPr>
      <w:r>
        <w:rPr>
          <w:bCs/>
          <w:b/>
        </w:rPr>
        <w:t xml:space="preserve">SoHuuNN_it</w:t>
      </w:r>
      <w:r>
        <w:t xml:space="preserve">: tỷ lệ sở hữu nước ngoài (b6a/100)</w:t>
      </w:r>
    </w:p>
    <w:p>
      <w:pPr>
        <w:numPr>
          <w:ilvl w:val="0"/>
          <w:numId w:val="1009"/>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 </m:t>
          </m:r>
          <m:r>
            <m:t>T</m:t>
          </m:r>
          <m:r>
            <m:t>P</m:t>
          </m:r>
          <m:r>
            <m:rPr>
              <m:sty m:val="p"/>
            </m:rPr>
            <m:t>=</m:t>
          </m:r>
          <m:r>
            <m:t>51</m:t>
          </m:r>
          <m:r>
            <m:rPr>
              <m:sty m:val="p"/>
            </m:rPr>
            <m:t>,</m:t>
          </m:r>
          <m:r>
            <m:t>5</m:t>
          </m:r>
          <m:r>
            <m:rPr>
              <m:sty m:val="p"/>
            </m:rPr>
            <m:t>%</m:t>
          </m:r>
          <m:r>
            <m:t> </m:t>
          </m:r>
          <m:d>
            <m:dPr>
              <m:begChr m:val="("/>
              <m:endChr m:val=")"/>
              <m:sepChr m:val=""/>
              <m:grow/>
            </m:dPr>
            <m:e>
              <m:r>
                <m:t>N</m:t>
              </m:r>
              <m:r>
                <m:rPr>
                  <m:sty m:val="p"/>
                </m:rPr>
                <m:t>=</m:t>
              </m:r>
              <m:r>
                <m:t>81.022</m:t>
              </m:r>
            </m:e>
          </m:d>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r>
            <m:t>T</m:t>
          </m:r>
          <m:r>
            <m:t>P</m:t>
          </m:r>
          <m:r>
            <m:rPr>
              <m:sty m:val="p"/>
            </m:rPr>
            <m:t>=</m:t>
          </m:r>
          <m:r>
            <m:t>43</m:t>
          </m:r>
          <m:r>
            <m:rPr>
              <m:sty m:val="p"/>
            </m:rPr>
            <m:t>,</m:t>
          </m:r>
          <m:r>
            <m:t>6</m:t>
          </m:r>
          <m:r>
            <m:rPr>
              <m:sty m:val="p"/>
            </m:rPr>
            <m:t>%</m:t>
          </m:r>
          <m:r>
            <m:t> </m:t>
          </m:r>
          <m:d>
            <m:dPr>
              <m:begChr m:val="("/>
              <m:endChr m:val=")"/>
              <m:sepChr m:val=""/>
              <m:grow/>
            </m:dPr>
            <m:e>
              <m:r>
                <m:t>N</m:t>
              </m:r>
              <m:r>
                <m:rPr>
                  <m:sty m:val="p"/>
                </m:rPr>
                <m:t>=</m:t>
              </m:r>
              <m:r>
                <m:t>79.080</m:t>
              </m:r>
              <m:r>
                <m:rPr>
                  <m:sty m:val="p"/>
                </m:rPr>
                <m:t>;</m:t>
              </m:r>
              <m:r>
                <m:t> </m:t>
              </m:r>
              <m:r>
                <m:rPr>
                  <m:nor/>
                  <m:sty m:val="p"/>
                </m:rPr>
                <m:t>Lind–Mehlum </m:t>
              </m:r>
              <m:r>
                <m:t>p</m:t>
              </m:r>
              <m:r>
                <m:rPr>
                  <m:sty m:val="p"/>
                </m:rPr>
                <m:t>&lt;</m:t>
              </m:r>
              <m:r>
                <m:rPr>
                  <m:sty m:val="p"/>
                </m:rPr>
                <m:t>,</m:t>
              </m:r>
              <m:r>
                <m:t>001</m:t>
              </m:r>
            </m:e>
          </m:d>
        </m:oMath>
      </m:oMathPara>
    </w:p>
    <w:p>
      <w:pPr>
        <w:pStyle w:val="FirstParagraph"/>
      </w:pPr>
      <w:r>
        <w:rPr>
          <w:bCs/>
          <w:b/>
        </w:rPr>
        <w:t xml:space="preserve">M7</w:t>
      </w:r>
      <w:r>
        <w:t xml:space="preserve"> </w:t>
      </w:r>
      <w: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m:t>
          </m:r>
          <m:r>
            <m:rPr>
              <m:sty m:val="p"/>
            </m:rPr>
            <m:t>−</m:t>
          </m:r>
          <m:r>
            <m:t>0</m:t>
          </m:r>
          <m:r>
            <m:rPr>
              <m:sty m:val="p"/>
            </m:rPr>
            <m:t>,</m:t>
          </m:r>
          <m:r>
            <m:t>271</m:t>
          </m:r>
          <m:r>
            <m:t> </m:t>
          </m:r>
          <m:d>
            <m:dPr>
              <m:begChr m:val="("/>
              <m:endChr m:val=")"/>
              <m:sepChr m:val=""/>
              <m:grow/>
            </m:dPr>
            <m:e>
              <m:r>
                <m:t>p</m:t>
              </m:r>
              <m:r>
                <m:rPr>
                  <m:sty m:val="p"/>
                </m:rPr>
                <m:t>=</m:t>
              </m:r>
              <m:r>
                <m:rPr>
                  <m:sty m:val="p"/>
                </m:rPr>
                <m:t>,</m:t>
              </m:r>
              <m:r>
                <m:t>149</m:t>
              </m:r>
            </m:e>
          </m:d>
          <m:r>
            <m:rPr>
              <m:sty m:val="p"/>
            </m:rPr>
            <m:t>;</m:t>
          </m:r>
          <m:r>
            <m:t> </m:t>
          </m:r>
          <m:sSub>
            <m:e>
              <m:acc>
                <m:accPr>
                  <m:chr m:val="̂"/>
                </m:accPr>
                <m:e>
                  <m:r>
                    <m:t>β</m:t>
                  </m:r>
                </m:e>
              </m:acc>
            </m:e>
            <m:sub>
              <m:r>
                <m:t>8</m:t>
              </m:r>
            </m:sub>
          </m:sSub>
          <m:r>
            <m:rPr>
              <m:sty m:val="p"/>
            </m:rPr>
            <m:t>=</m:t>
          </m:r>
          <m:r>
            <m:rPr>
              <m:sty m:val="p"/>
            </m:rPr>
            <m:t>+</m:t>
          </m:r>
          <m:r>
            <m:t>0</m:t>
          </m:r>
          <m:r>
            <m:rPr>
              <m:sty m:val="p"/>
            </m:rPr>
            <m:t>,</m:t>
          </m:r>
          <m:r>
            <m:t>252</m:t>
          </m:r>
          <m:r>
            <m:t> </m:t>
          </m:r>
          <m:d>
            <m:dPr>
              <m:begChr m:val="("/>
              <m:endChr m:val=")"/>
              <m:sepChr m:val=""/>
              <m:grow/>
            </m:dPr>
            <m:e>
              <m:r>
                <m:t>p</m:t>
              </m:r>
              <m:r>
                <m:rPr>
                  <m:sty m:val="p"/>
                </m:rPr>
                <m:t>=</m:t>
              </m:r>
              <m:r>
                <m:rPr>
                  <m:sty m:val="p"/>
                </m:rPr>
                <m:t>,</m:t>
              </m:r>
              <m:r>
                <m:t>367</m:t>
              </m:r>
            </m:e>
          </m:d>
          <m:r>
            <m:rPr>
              <m:nor/>
              <m:sty m:val="p"/>
            </m:rPr>
            <m:t>, cùng chiều nén nhưng không ý nghĩa toàn mẫu; hiệu ứng mức DAI</m:t>
          </m:r>
          <m:r>
            <m:rPr>
              <m:sty m:val="p"/>
            </m:rPr>
            <m:t>=</m:t>
          </m:r>
          <m:r>
            <m:rPr>
              <m:sty m:val="p"/>
            </m:rPr>
            <m:t>+</m:t>
          </m:r>
          <m:r>
            <m:t>0</m:t>
          </m:r>
          <m:r>
            <m:rPr>
              <m:sty m:val="p"/>
            </m:rPr>
            <m:t>,</m:t>
          </m:r>
          <m:r>
            <m:t>201</m:t>
          </m:r>
          <m:r>
            <m:t> </m:t>
          </m:r>
          <m:d>
            <m:dPr>
              <m:begChr m:val="("/>
              <m:endChr m:val=")"/>
              <m:sepChr m:val=""/>
              <m:grow/>
            </m:dPr>
            <m:e>
              <m:r>
                <m:t>p</m:t>
              </m:r>
              <m:r>
                <m:rPr>
                  <m:sty m:val="p"/>
                </m:rPr>
                <m:t>&lt;</m:t>
              </m:r>
              <m:r>
                <m:rPr>
                  <m:sty m:val="p"/>
                </m:rPr>
                <m:t>,</m:t>
              </m:r>
              <m:r>
                <m:t>001</m:t>
              </m:r>
            </m:e>
          </m:d>
        </m:oMath>
      </m:oMathPara>
    </w:p>
    <w:p>
      <w:pPr>
        <w:pStyle w:val="FirstParagraph"/>
      </w:pPr>
      <w:r>
        <w:rPr>
          <w:bCs/>
          <w:b/>
        </w:rPr>
        <w:t xml:space="preserve">M9</w:t>
      </w:r>
      <w:r>
        <w:t xml:space="preserve"> </w:t>
      </w:r>
      <w:r>
        <w:t xml:space="preserve">(M8 + đặc điểm nhà quản lý,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088</m:t>
              </m:r>
            </m:e>
            <m:sup>
              <m:r>
                <m:rPr>
                  <m:sty m:val="p"/>
                </m:rPr>
                <m:t>*</m:t>
              </m:r>
            </m:sup>
          </m:sSup>
          <m:r>
            <m:t> </m:t>
          </m:r>
          <m:d>
            <m:dPr>
              <m:begChr m:val="("/>
              <m:endChr m:val=")"/>
              <m:sepChr m:val=""/>
              <m:grow/>
            </m:dPr>
            <m:e>
              <m:r>
                <m:t>p</m:t>
              </m:r>
              <m:r>
                <m:rPr>
                  <m:sty m:val="p"/>
                </m:rPr>
                <m:t>=</m:t>
              </m:r>
              <m:r>
                <m:rPr>
                  <m:sty m:val="p"/>
                </m:rPr>
                <m:t>,</m:t>
              </m:r>
              <m:r>
                <m:t>026</m:t>
              </m:r>
            </m:e>
          </m:d>
          <m:r>
            <m:rPr>
              <m:nor/>
              <m:sty m:val="p"/>
            </m:rPr>
            <m:t> (nữ quản lý cấp cao: hệ số mức âm nhẹ; tương tác với FSTS không ý nghĩa)</m:t>
          </m:r>
        </m:oMath>
      </m:oMathPara>
    </w:p>
    <w:p>
      <w:pPr>
        <w:pStyle w:val="FirstParagraph"/>
      </w:pPr>
      <w:r>
        <w:rPr>
          <w:bCs/>
          <w:b/>
        </w:rPr>
        <w:t xml:space="preserve">M10</w:t>
      </w:r>
      <w:r>
        <w:t xml:space="preserve"> </w:t>
      </w:r>
      <w:r>
        <w:t xml:space="preserve">(M3 + điều tiết ICRV,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(ba vùng): chữ U ngược định hình rõ ở Nhóm IV </m:t>
          </m:r>
          <m:d>
            <m:dPr>
              <m:begChr m:val="("/>
              <m:endChr m:val=")"/>
              <m:sepChr m:val=""/>
              <m:grow/>
            </m:dPr>
            <m:e>
              <m:r>
                <m:t>T</m:t>
              </m:r>
              <m:r>
                <m:t>P</m:t>
              </m:r>
              <m:r>
                <m:rPr>
                  <m:sty m:val="p"/>
                </m:rPr>
                <m:t>=</m:t>
              </m:r>
              <m:r>
                <m:t>43</m:t>
              </m:r>
              <m:r>
                <m:rPr>
                  <m:sty m:val="p"/>
                </m:rPr>
                <m:t>,</m:t>
              </m:r>
              <m:r>
                <m:t>0</m:t>
              </m:r>
              <m:r>
                <m:rPr>
                  <m:sty m:val="p"/>
                </m:rPr>
                <m:t>%</m:t>
              </m:r>
              <m:r>
                <m:rPr>
                  <m:sty m:val="p"/>
                </m:rPr>
                <m:t>,</m:t>
              </m:r>
              <m:r>
                <m:t> </m:t>
              </m:r>
              <m:sSub>
                <m:e>
                  <m:r>
                    <m:t>p</m:t>
                  </m:r>
                </m:e>
                <m:sub>
                  <m:r>
                    <m:t>L</m:t>
                  </m:r>
                  <m:r>
                    <m:t>M</m:t>
                  </m:r>
                </m:sub>
              </m:sSub>
              <m:r>
                <m:rPr>
                  <m:sty m:val="p"/>
                </m:rPr>
                <m:t>&lt;</m:t>
              </m:r>
              <m:r>
                <m:rPr>
                  <m:sty m:val="p"/>
                </m:rPr>
                <m:t>,</m:t>
              </m:r>
              <m:r>
                <m:t>001</m:t>
              </m:r>
            </m:e>
          </m:d>
          <m:r>
            <m:rPr>
              <m:sty m:val="p"/>
            </m:rPr>
            <m:t>;</m:t>
          </m:r>
          <m:r>
            <m:rPr>
              <m:nor/>
              <m:sty m:val="p"/>
            </m:rPr>
            <m:t> gần tuyến tính ở Nhóm I; tan rã ở Nhóm V–VI</m:t>
          </m:r>
        </m:oMath>
      </m:oMathPara>
    </w:p>
    <w:p>
      <w:pPr>
        <w:pStyle w:val="FirstParagraph"/>
      </w:pPr>
      <w:r>
        <w:rPr>
          <w:bCs/>
          <w:b/>
        </w:rPr>
        <w:t xml:space="preserve">M11</w:t>
      </w:r>
      <w:r>
        <w:t xml:space="preserve"> </w:t>
      </w:r>
      <w:r>
        <w:t xml:space="preserve">(full three-way, kiểm định tương tác tổng hợp ba chiều, tổng hợp H3 và H5; 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Tương tác chế độ-yếu: FSTS</m:t>
          </m:r>
          <m:r>
            <m:rPr>
              <m:sty m:val="p"/>
            </m:rPr>
            <m:t>×</m:t>
          </m:r>
          <m:r>
            <m:rPr>
              <m:nor/>
              <m:sty m:val="p"/>
            </m:rPr>
            <m:t>Weak</m:t>
          </m:r>
          <m:r>
            <m:rPr>
              <m:sty m:val="p"/>
            </m:rPr>
            <m:t>=</m:t>
          </m:r>
          <m:r>
            <m:rPr>
              <m:sty m:val="p"/>
            </m:rPr>
            <m:t>−</m:t>
          </m:r>
          <m:r>
            <m:t>0</m:t>
          </m:r>
          <m:r>
            <m:rPr>
              <m:sty m:val="p"/>
            </m:rPr>
            <m:t>,</m:t>
          </m:r>
          <m:r>
            <m:t>523</m:t>
          </m:r>
          <m:r>
            <m:t> </m:t>
          </m:r>
          <m:d>
            <m:dPr>
              <m:begChr m:val="("/>
              <m:endChr m:val=")"/>
              <m:sepChr m:val=""/>
              <m:grow/>
            </m:dPr>
            <m:e>
              <m:r>
                <m:t>p</m:t>
              </m:r>
              <m:r>
                <m:rPr>
                  <m:sty m:val="p"/>
                </m:rPr>
                <m:t>=</m:t>
              </m:r>
              <m:r>
                <m:rPr>
                  <m:sty m:val="p"/>
                </m:rPr>
                <m:t>,</m:t>
              </m:r>
              <m:r>
                <m:t>087</m:t>
              </m:r>
            </m:e>
          </m:d>
          <m:r>
            <m:rPr>
              <m:sty m:val="p"/>
            </m:rPr>
            <m:t>;</m:t>
          </m:r>
          <m:r>
            <m:rPr>
              <m:nor/>
              <m:sty m:val="p"/>
            </m:rPr>
            <m:t> ba chiều không ý nghĩa; </m:t>
          </m:r>
          <m:r>
            <m:t>T</m:t>
          </m:r>
          <m:r>
            <m:t>P</m:t>
          </m:r>
          <m:r>
            <m:t> </m:t>
          </m:r>
          <m:d>
            <m:dPr>
              <m:begChr m:val="("/>
              <m:endChr m:val=")"/>
              <m:sepChr m:val=""/>
              <m:grow/>
            </m:dPr>
            <m:e>
              <m:r>
                <m:t>M</m:t>
              </m:r>
              <m:r>
                <m:t>10</m:t>
              </m:r>
            </m:e>
          </m:d>
          <m:r>
            <m:rPr>
              <m:sty m:val="p"/>
            </m:rPr>
            <m:t>=</m:t>
          </m:r>
          <m:r>
            <m:t>45</m:t>
          </m:r>
          <m:r>
            <m:rPr>
              <m:sty m:val="p"/>
            </m:rPr>
            <m:t>,</m:t>
          </m:r>
          <m:r>
            <m:t>9</m:t>
          </m:r>
          <m:r>
            <m:rPr>
              <m:sty m:val="p"/>
            </m:rPr>
            <m:t>%</m:t>
          </m:r>
          <m:r>
            <m:rPr>
              <m:sty m:val="p"/>
            </m:rPr>
            <m:t>,</m:t>
          </m:r>
          <m:r>
            <m:t> </m:t>
          </m:r>
          <m:r>
            <m:rPr>
              <m:nor/>
              <m:sty m:val="p"/>
            </m:rPr>
            <m:t>LM </m:t>
          </m:r>
          <m:r>
            <m:t>p</m:t>
          </m:r>
          <m:r>
            <m:rPr>
              <m:sty m:val="p"/>
            </m:rPr>
            <m:t>&lt;</m:t>
          </m:r>
          <m:r>
            <m:rPr>
              <m:sty m:val="p"/>
            </m:rPr>
            <m:t>,</m:t>
          </m:r>
          <m:r>
            <m:t>001</m:t>
          </m:r>
        </m:oMath>
      </m:oMathPara>
    </w:p>
    <w:p>
      <w:pPr>
        <w:pStyle w:val="FirstParagraph"/>
      </w:pPr>
      <w:r>
        <w:rPr>
          <w:bCs/>
          <w:b/>
        </w:rPr>
        <w:t xml:space="preserve">Bảng định nghĩa biến, Nghiên cứu 7 (đa quốc gia)</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n/a</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nhẹ từ N = 81.022 (M2) xuống 79.080 (M5, thêm kiểm soát); các mô hình điều tiết M7, M8 và M10 giữ N tương đương 79.080–79.220. DAI P7 là Tier 1+2 khi k33 có mặt, Tier-1 only khi thiếu, khác với P3 Vietnam (Tier-1 only) và đồng nhất với P4 Singapore (Tier-1+2). ICRV là biến điều tiết liên tục (integer), không phải dummies, nhằm giữ N đủ lớn trong M10–M11.</w:t>
      </w:r>
    </w:p>
    <w:p>
      <w:r>
        <w:pict>
          <v:rect style="width:0;height:1.5pt" o:hralign="center" o:hrstd="t" o:hr="t"/>
        </w:pict>
      </w:r>
    </w:p>
    <w:bookmarkStart w:id="109" w:name="X2f7897a1357dc715f37e320d2cca3ed5f2bb32c"/>
    <w:p>
      <w:pPr>
        <w:pStyle w:val="Heading4"/>
      </w:pPr>
      <w:r>
        <w:t xml:space="preserve">3.4.5.5 Mô hình cụ thể: Nghiên cứu 8: Pacific SIDS (N = 959, Nhóm VI)</w:t>
      </w:r>
    </w:p>
    <w:p>
      <w:pPr>
        <w:pStyle w:val="FirstParagraph"/>
      </w:pPr>
      <w:r>
        <w:t xml:space="preserve">Nghiên cứu 8 phân tích mẫu gồm</w:t>
      </w:r>
      <w:r>
        <w:t xml:space="preserve"> </w:t>
      </w:r>
      <w:r>
        <w:rPr>
          <w:bCs/>
          <w:b/>
        </w:rPr>
        <w:t xml:space="preserve">N = 959 doanh nghiệp</w:t>
      </w:r>
      <w:r>
        <w:t xml:space="preserve"> </w:t>
      </w:r>
      <w:r>
        <w:t xml:space="preserve">tại</w:t>
      </w:r>
      <w:r>
        <w:t xml:space="preserve"> </w:t>
      </w:r>
      <w:r>
        <w:rPr>
          <w:bCs/>
          <w:b/>
        </w:rPr>
        <w:t xml:space="preserve">7 nền kinh tế Pacific SIDS</w:t>
      </w:r>
      <w:r>
        <w:t xml:space="preserve"> </w:t>
      </w:r>
      <w:r>
        <w:t xml:space="preserve">(Fiji, Kiribati, Papua New Guinea, Samoa, Solomon Islands, Tonga, Vanuatu) từ các sóng WBES 2009–2025. Đây là nhóm thể chế ICRV Nhóm VI, cấp thấp nhất trong phân loại 6 chế độ, đặc trưng bởi thị trường nội địa cực nhỏ, chi phí thương mại cao và hỗ trợ thể chế yếu. Trong tổng mẫu, chỉ</w:t>
      </w:r>
      <w:r>
        <w:t xml:space="preserve"> </w:t>
      </w:r>
      <w:r>
        <w:rPr>
          <w:bCs/>
          <w:b/>
        </w:rPr>
        <w:t xml:space="preserve">132 doanh nghiệp có hoạt động xuất khẩu</w:t>
      </w:r>
      <w:r>
        <w:t xml:space="preserve"> </w:t>
      </w:r>
      <w:r>
        <w:t xml:space="preserve">(13,8%), phản ánh cấu trúc thị trường đảo nhỏ.</w:t>
      </w:r>
    </w:p>
    <w:p>
      <w:pPr>
        <w:pStyle w:val="BodyText"/>
      </w:pPr>
      <w:r>
        <w:t xml:space="preserve">Phát hiện trọng tâm:</w:t>
      </w:r>
      <w:r>
        <w:t xml:space="preserve"> </w:t>
      </w:r>
      <w:r>
        <w:rPr>
          <w:bCs/>
          <w:b/>
        </w:rPr>
        <w:t xml:space="preserve">gánh nặng quốc tế hóa bắt buộc (Forced Internationalization Penalty, FIP)</w:t>
      </w:r>
      <w:r>
        <w:t xml:space="preserve">, mối quan hệ quốc tế hóa–hiệu quả là</w:t>
      </w:r>
      <w:r>
        <w:t xml:space="preserve"> </w:t>
      </w:r>
      <w:r>
        <w:rPr>
          <w:bCs/>
          <w:b/>
        </w:rPr>
        <w:t xml:space="preserve">đơn điệu âm</w:t>
      </w:r>
      <w:r>
        <w:t xml:space="preserve"> </w:t>
      </w:r>
      <w:r>
        <w:t xml:space="preserve">tại Nhóm VI, trái ngược với hình chữ U ngược được quan sát ở P3–P7. Lind–Mehlum U-test không bác bỏ đơn điệu (p &gt; ,10), xác nhận không có điểm quay.</w:t>
      </w:r>
    </w:p>
    <w:p>
      <w:pPr>
        <w:pStyle w:val="BodyText"/>
      </w:pPr>
      <w:r>
        <w:rPr>
          <w:bCs/>
          <w:b/>
        </w:rPr>
        <w:t xml:space="preserve">Ký hiệu biến (tiếng Việt ↔ mã WBES):</w:t>
      </w:r>
    </w:p>
    <w:tbl>
      <w:tblPr>
        <w:tblStyle w:val="Table"/>
        <w:tblW w:type="pct" w:w="5000"/>
        <w:tblLook w:firstRow="1" w:lastRow="0" w:firstColumn="0" w:lastColumn="0" w:noHBand="0" w:noVBand="0" w:val="0020"/>
        <w:jc w:val="start"/>
      </w:tblPr>
      <w:tblGrid>
        <w:gridCol w:w="1584"/>
        <w:gridCol w:w="2816"/>
        <w:gridCol w:w="1584"/>
        <w:gridCol w:w="1936"/>
      </w:tblGrid>
      <w:tr>
        <w:trPr>
          <w:tblHeader w:val="true"/>
        </w:trPr>
        <w:tc>
          <w:tcPr/>
          <w:p>
            <w:pPr>
              <w:pStyle w:val="Compact"/>
              <w:jc w:val="left"/>
            </w:pPr>
            <w:r>
              <w:t xml:space="preserve">Ký hiệu</w:t>
            </w:r>
          </w:p>
        </w:tc>
        <w:tc>
          <w:tcPr/>
          <w:p>
            <w:pPr>
              <w:pStyle w:val="Compact"/>
              <w:jc w:val="left"/>
            </w:pPr>
            <w:r>
              <w:t xml:space="preserve">Tên tiếng Việt</w:t>
            </w:r>
          </w:p>
        </w:tc>
        <w:tc>
          <w:tcPr/>
          <w:p>
            <w:pPr>
              <w:pStyle w:val="Compact"/>
              <w:jc w:val="left"/>
            </w:pPr>
            <w:r>
              <w:t xml:space="preserve">Mã WBES</w:t>
            </w:r>
          </w:p>
        </w:tc>
        <w:tc>
          <w:tcPr/>
          <w:p>
            <w:pPr>
              <w:pStyle w:val="Compact"/>
              <w:jc w:val="left"/>
            </w:pPr>
            <w:r>
              <w:t xml:space="preserve">Cách tính</w:t>
            </w:r>
          </w:p>
        </w:tc>
      </w:tr>
      <w:tr>
        <w:tc>
          <w:tcPr/>
          <w:p>
            <w:pPr>
              <w:pStyle w:val="Compact"/>
              <w:jc w:val="left"/>
            </w:pPr>
            <w:r>
              <w:t xml:space="preserve">lnNSLD</w:t>
            </w:r>
          </w:p>
        </w:tc>
        <w:tc>
          <w:tcPr/>
          <w:p>
            <w:pPr>
              <w:pStyle w:val="Compact"/>
              <w:jc w:val="left"/>
            </w:pPr>
            <w:r>
              <w:t xml:space="preserve">Log năng suất lao động</w:t>
            </w:r>
          </w:p>
        </w:tc>
        <w:tc>
          <w:tcPr/>
          <w:p>
            <w:pPr>
              <w:pStyle w:val="Compact"/>
              <w:jc w:val="left"/>
            </w:pPr>
            <w:r>
              <w:t xml:space="preserve">d2, l1</w:t>
            </w:r>
          </w:p>
        </w:tc>
        <w:tc>
          <w:tcPr/>
          <w:p>
            <w:pPr>
              <w:pStyle w:val="Compact"/>
              <w:jc w:val="left"/>
            </w:pPr>
            <w:r>
              <w:t xml:space="preserve">ln(doanh thu PPP / lao động thường trực)</w:t>
            </w:r>
          </w:p>
        </w:tc>
      </w:tr>
      <w:tr>
        <w:tc>
          <w:tcPr/>
          <w:p>
            <w:pPr>
              <w:pStyle w:val="Compact"/>
              <w:jc w:val="left"/>
            </w:pPr>
            <w:r>
              <w:t xml:space="preserve">CDDXK_c</w:t>
            </w:r>
          </w:p>
        </w:tc>
        <w:tc>
          <w:tcPr/>
          <w:p>
            <w:pPr>
              <w:pStyle w:val="Compact"/>
              <w:jc w:val="left"/>
            </w:pPr>
            <w:r>
              <w:t xml:space="preserve">Cường độ xuất khẩu (điều chỉnh)</w:t>
            </w:r>
          </w:p>
        </w:tc>
        <w:tc>
          <w:tcPr/>
          <w:p>
            <w:pPr>
              <w:pStyle w:val="Compact"/>
              <w:jc w:val="left"/>
            </w:pPr>
            <w:r>
              <w:t xml:space="preserve">d3c</w:t>
            </w:r>
          </w:p>
        </w:tc>
        <w:tc>
          <w:tcPr/>
          <w:p>
            <w:pPr>
              <w:pStyle w:val="Compact"/>
              <w:jc w:val="left"/>
            </w:pPr>
            <w:r>
              <w:t xml:space="preserve">(d3c/100) − mean_wave(FSTS): centred theo sóng</w:t>
            </w:r>
          </w:p>
        </w:tc>
      </w:tr>
      <w:tr>
        <w:tc>
          <w:tcPr/>
          <w:p>
            <w:pPr>
              <w:pStyle w:val="Compact"/>
              <w:jc w:val="left"/>
            </w:pPr>
            <w:r>
              <w:t xml:space="preserve">CDDXK_c²</w:t>
            </w:r>
          </w:p>
        </w:tc>
        <w:tc>
          <w:tcPr/>
          <w:p>
            <w:pPr>
              <w:pStyle w:val="Compact"/>
              <w:jc w:val="left"/>
            </w:pPr>
            <w:r>
              <w:t xml:space="preserve">CDDXK_c bình phương</w:t>
            </w:r>
          </w:p>
        </w:tc>
        <w:tc>
          <w:tcPr/>
          <w:p>
            <w:pPr>
              <w:pStyle w:val="Compact"/>
              <w:jc w:val="left"/>
            </w:pPr>
            <w:r>
              <w:t xml:space="preserve">d3c</w:t>
            </w:r>
          </w:p>
        </w:tc>
        <w:tc>
          <w:tcPr/>
          <w:p>
            <w:pPr>
              <w:pStyle w:val="Compact"/>
              <w:jc w:val="left"/>
            </w:pPr>
            <w:r>
              <w:t xml:space="preserve">CDDXK_c × CDDXK_c</w:t>
            </w:r>
          </w:p>
        </w:tc>
      </w:tr>
      <w:tr>
        <w:tc>
          <w:tcPr/>
          <w:p>
            <w:pPr>
              <w:pStyle w:val="Compact"/>
              <w:jc w:val="left"/>
            </w:pPr>
            <w:r>
              <w:t xml:space="preserve">NLCN_z</w:t>
            </w:r>
          </w:p>
        </w:tc>
        <w:tc>
          <w:tcPr/>
          <w:p>
            <w:pPr>
              <w:pStyle w:val="Compact"/>
              <w:jc w:val="left"/>
            </w:pPr>
            <w:r>
              <w:t xml:space="preserve">Năng lực công nghệ</w:t>
            </w:r>
          </w:p>
        </w:tc>
        <w:tc>
          <w:tcPr/>
          <w:p>
            <w:pPr>
              <w:pStyle w:val="Compact"/>
              <w:jc w:val="left"/>
            </w:pPr>
            <w:r>
              <w:t xml:space="preserve">b8, e6</w:t>
            </w:r>
          </w:p>
        </w:tc>
        <w:tc>
          <w:tcPr/>
          <w:p>
            <w:pPr>
              <w:pStyle w:val="Compact"/>
              <w:jc w:val="left"/>
            </w:pPr>
            <w:r>
              <w:t xml:space="preserve">z-std(trung bình cert chất lượng + CN nước ngoài)</w:t>
            </w:r>
          </w:p>
        </w:tc>
      </w:tr>
      <w:tr>
        <w:tc>
          <w:tcPr/>
          <w:p>
            <w:pPr>
              <w:pStyle w:val="Compact"/>
              <w:jc w:val="left"/>
            </w:pPr>
            <w:r>
              <w:t xml:space="preserve">CSS_z</w:t>
            </w:r>
          </w:p>
        </w:tc>
        <w:tc>
          <w:tcPr/>
          <w:p>
            <w:pPr>
              <w:pStyle w:val="Compact"/>
              <w:jc w:val="left"/>
            </w:pPr>
            <w:r>
              <w:t xml:space="preserve">Chỉ số số hoá (Tier-1)</w:t>
            </w:r>
          </w:p>
        </w:tc>
        <w:tc>
          <w:tcPr/>
          <w:p>
            <w:pPr>
              <w:pStyle w:val="Compact"/>
              <w:jc w:val="left"/>
            </w:pPr>
            <w:r>
              <w:t xml:space="preserve">c22b</w:t>
            </w:r>
          </w:p>
        </w:tc>
        <w:tc>
          <w:tcPr/>
          <w:p>
            <w:pPr>
              <w:pStyle w:val="Compact"/>
              <w:jc w:val="left"/>
            </w:pPr>
            <w:r>
              <w:t xml:space="preserve">z-std(website binary):</w:t>
            </w:r>
            <w:r>
              <w:t xml:space="preserve"> </w:t>
            </w:r>
            <w:r>
              <w:rPr>
                <w:bCs/>
                <w:b/>
              </w:rPr>
              <w:t xml:space="preserve">chỉ Tier-1, không dynamic</w:t>
            </w:r>
          </w:p>
        </w:tc>
      </w:tr>
      <w:tr>
        <w:tc>
          <w:tcPr/>
          <w:p>
            <w:pPr>
              <w:pStyle w:val="Compact"/>
              <w:jc w:val="left"/>
            </w:pPr>
            <w:r>
              <w:t xml:space="preserve">lnLD</w:t>
            </w:r>
          </w:p>
        </w:tc>
        <w:tc>
          <w:tcPr/>
          <w:p>
            <w:pPr>
              <w:pStyle w:val="Compact"/>
              <w:jc w:val="left"/>
            </w:pPr>
            <w:r>
              <w:t xml:space="preserve">Log quy mô lao động</w:t>
            </w:r>
          </w:p>
        </w:tc>
        <w:tc>
          <w:tcPr/>
          <w:p>
            <w:pPr>
              <w:pStyle w:val="Compact"/>
              <w:jc w:val="left"/>
            </w:pPr>
            <w:r>
              <w:t xml:space="preserve">l1</w:t>
            </w:r>
          </w:p>
        </w:tc>
        <w:tc>
          <w:tcPr/>
          <w:p>
            <w:pPr>
              <w:pStyle w:val="Compact"/>
              <w:jc w:val="left"/>
            </w:pPr>
            <w:r>
              <w:t xml:space="preserve">ln(lao động thường trực)</w:t>
            </w:r>
          </w:p>
        </w:tc>
      </w:tr>
      <w:tr>
        <w:tc>
          <w:tcPr/>
          <w:p>
            <w:pPr>
              <w:pStyle w:val="Compact"/>
              <w:jc w:val="left"/>
            </w:pPr>
            <w:r>
              <w:t xml:space="preserve">TuoiDN</w:t>
            </w:r>
          </w:p>
        </w:tc>
        <w:tc>
          <w:tcPr/>
          <w:p>
            <w:pPr>
              <w:pStyle w:val="Compact"/>
              <w:jc w:val="left"/>
            </w:pPr>
            <w:r>
              <w:t xml:space="preserve">Tuổi doanh nghiệp</w:t>
            </w:r>
          </w:p>
        </w:tc>
        <w:tc>
          <w:tcPr/>
          <w:p>
            <w:pPr>
              <w:pStyle w:val="Compact"/>
              <w:jc w:val="left"/>
            </w:pPr>
            <w:r>
              <w:t xml:space="preserve">b5</w:t>
            </w:r>
          </w:p>
        </w:tc>
        <w:tc>
          <w:tcPr/>
          <w:p>
            <w:pPr>
              <w:pStyle w:val="Compact"/>
              <w:jc w:val="left"/>
            </w:pPr>
            <w:r>
              <w:t xml:space="preserve">năm_khảo_sát − b5</w:t>
            </w:r>
          </w:p>
        </w:tc>
      </w:tr>
      <w:tr>
        <w:tc>
          <w:tcPr/>
          <w:p>
            <w:pPr>
              <w:pStyle w:val="Compact"/>
              <w:jc w:val="left"/>
            </w:pPr>
            <w:r>
              <w:t xml:space="preserve">SoHuuNN</w:t>
            </w:r>
          </w:p>
        </w:tc>
        <w:tc>
          <w:tcPr/>
          <w:p>
            <w:pPr>
              <w:pStyle w:val="Compact"/>
              <w:jc w:val="left"/>
            </w:pPr>
            <w:r>
              <w:t xml:space="preserve">Tỷ lệ sở hữu nước ngoài</w:t>
            </w:r>
          </w:p>
        </w:tc>
        <w:tc>
          <w:tcPr/>
          <w:p>
            <w:pPr>
              <w:pStyle w:val="Compact"/>
              <w:jc w:val="left"/>
            </w:pPr>
            <w:r>
              <w:t xml:space="preserve">b6a</w:t>
            </w:r>
          </w:p>
        </w:tc>
        <w:tc>
          <w:tcPr/>
          <w:p>
            <w:pPr>
              <w:pStyle w:val="Compact"/>
              <w:jc w:val="left"/>
            </w:pPr>
            <w:r>
              <w:t xml:space="preserve">tỷ lệ 0–1</w:t>
            </w:r>
          </w:p>
        </w:tc>
      </w:tr>
      <w:tr>
        <w:tc>
          <w:tcPr/>
          <w:p>
            <w:pPr>
              <w:pStyle w:val="Compact"/>
              <w:jc w:val="left"/>
            </w:pPr>
            <w:r>
              <w:t xml:space="preserve">δ_c</w:t>
            </w:r>
          </w:p>
        </w:tc>
        <w:tc>
          <w:tcPr/>
          <w:p>
            <w:pPr>
              <w:pStyle w:val="Compact"/>
              <w:jc w:val="left"/>
            </w:pPr>
            <w:r>
              <w:t xml:space="preserve">Country fixed effects</w:t>
            </w:r>
          </w:p>
        </w:tc>
        <w:tc>
          <w:tcPr/>
          <w:p>
            <w:pPr>
              <w:pStyle w:val="Compact"/>
              <w:jc w:val="left"/>
            </w:pPr>
            <w:r>
              <w:t xml:space="preserve">a3b</w:t>
            </w:r>
          </w:p>
        </w:tc>
        <w:tc>
          <w:tcPr/>
          <w:p>
            <w:pPr>
              <w:pStyle w:val="Compact"/>
              <w:jc w:val="left"/>
            </w:pPr>
            <w:r>
              <w:t xml:space="preserve">dummy theo quốc gia</w:t>
            </w:r>
          </w:p>
        </w:tc>
      </w:tr>
      <w:tr>
        <w:tc>
          <w:tcPr/>
          <w:p>
            <w:pPr>
              <w:pStyle w:val="Compact"/>
              <w:jc w:val="left"/>
            </w:pPr>
            <w:r>
              <w:t xml:space="preserve">λ_t</w:t>
            </w:r>
          </w:p>
        </w:tc>
        <w:tc>
          <w:tcPr/>
          <w:p>
            <w:pPr>
              <w:pStyle w:val="Compact"/>
              <w:jc w:val="left"/>
            </w:pPr>
            <w:r>
              <w:t xml:space="preserve">Wave fixed effects</w:t>
            </w:r>
          </w:p>
        </w:tc>
        <w:tc>
          <w:tcPr/>
          <w:p>
            <w:pPr>
              <w:pStyle w:val="Compact"/>
              <w:jc w:val="left"/>
            </w:pPr>
            <w:r>
              <w:t xml:space="preserve">wave</w:t>
            </w:r>
          </w:p>
        </w:tc>
        <w:tc>
          <w:tcPr/>
          <w:p>
            <w:pPr>
              <w:pStyle w:val="Compact"/>
              <w:jc w:val="left"/>
            </w:pPr>
            <w:r>
              <w:t xml:space="preserve">dummy theo sóng điều tra</w:t>
            </w:r>
          </w:p>
        </w:tc>
      </w:tr>
    </w:tbl>
    <w:p>
      <w:pPr>
        <w:pStyle w:val="BodyText"/>
      </w:pPr>
      <w:r>
        <w:rPr>
          <w:iCs/>
          <w:i/>
        </w:rPr>
        <w:t xml:space="preserve">Ghi chú: CSS_z (DAI) là proxy tĩnh Tier-1 (website binary c22b). WBES không thu thập đủ thang đo cho số hoá động tại các đảo nhỏ, KHÔNG gọi là</w:t>
      </w:r>
      <w:r>
        <w:rPr>
          <w:iCs/>
          <w:i/>
        </w:rPr>
        <w:t xml:space="preserve"> </w:t>
      </w:r>
      <w:r>
        <w:rPr>
          <w:iCs/>
          <w:i/>
        </w:rPr>
        <w:t xml:space="preserve">“</w:t>
      </w:r>
      <w:r>
        <w:rPr>
          <w:iCs/>
          <w:i/>
        </w:rPr>
        <w:t xml:space="preserve">năng lực số hoá động</w:t>
      </w:r>
      <w:r>
        <w:rPr>
          <w:iCs/>
          <w:i/>
        </w:rPr>
        <w:t xml:space="preserve">”</w:t>
      </w:r>
      <w:r>
        <w:rPr>
          <w:iCs/>
          <w:i/>
        </w:rPr>
        <w:t xml:space="preserve">.</w:t>
      </w:r>
    </w:p>
    <w:p>
      <w:pPr>
        <w:pStyle w:val="BodyText"/>
      </w:pPr>
      <w:r>
        <w:rPr>
          <w:bCs/>
          <w:b/>
        </w:rPr>
        <w:t xml:space="preserve">Chuỗi mô hình M0–M3 (P8):</w:t>
      </w:r>
    </w:p>
    <w:p>
      <w:pPr>
        <w:pStyle w:val="BodyText"/>
      </w:pPr>
      <w:r>
        <w:t xml:space="preserve">M0, Baseline kiểm soát:</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γ</m:t>
              </m:r>
            </m:e>
            <m:sub>
              <m:r>
                <m:t>1</m:t>
              </m:r>
            </m:sub>
          </m:sSub>
          <m:r>
            <m:t>l</m:t>
          </m:r>
          <m:r>
            <m:t>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w:r>
        <w:t xml:space="preserve">M1, Kiểm định FIP (H1b): thêm cường độ xuất khẩu tuyến tính</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rPr>
              <m:sty m:val="p"/>
            </m:rPr>
            <m:t>=</m:t>
          </m:r>
          <m:r>
            <m:rPr>
              <m:sty m:val="p"/>
            </m:rPr>
            <m:t>−</m:t>
          </m:r>
          <m:r>
            <m:t>1</m:t>
          </m:r>
          <m:r>
            <m:rPr>
              <m:sty m:val="p"/>
            </m:rPr>
            <m:t>,</m:t>
          </m:r>
          <m:r>
            <m:t>339</m:t>
          </m:r>
          <m:r>
            <m:rPr>
              <m:sty m:val="p"/>
            </m:rPr>
            <m:t>,</m:t>
          </m:r>
          <m:r>
            <m:t> </m:t>
          </m:r>
          <m:r>
            <m:t>p</m:t>
          </m:r>
          <m:r>
            <m:rPr>
              <m:sty m:val="p"/>
            </m:rPr>
            <m:t>&lt;</m:t>
          </m:r>
          <m:r>
            <m:rPr>
              <m:sty m:val="p"/>
            </m:rPr>
            <m:t>,</m:t>
          </m:r>
          <m:r>
            <m:t>001</m:t>
          </m:r>
          <m:r>
            <m:t> </m:t>
          </m:r>
          <m:d>
            <m:dPr>
              <m:begChr m:val="("/>
              <m:endChr m:val=")"/>
              <m:sepChr m:val=""/>
              <m:grow/>
            </m:dPr>
            <m:e>
              <m:r>
                <m:rPr>
                  <m:nor/>
                  <m:sty m:val="p"/>
                </m:rPr>
                <m:t>country+year FE, N</m:t>
              </m:r>
              <m:r>
                <m:rPr>
                  <m:sty m:val="p"/>
                </m:rPr>
                <m:t>=</m:t>
              </m:r>
              <m:r>
                <m:t>959</m:t>
              </m:r>
            </m:e>
          </m:d>
          <m:r>
            <m:rPr>
              <m:sty m:val="p"/>
            </m:rPr>
            <m:t>⇒</m:t>
          </m:r>
          <m:r>
            <m:rPr>
              <m:nor/>
              <m:sty m:val="b"/>
            </m:rPr>
            <m:t>FIP xác nhận</m:t>
          </m:r>
        </m:oMath>
      </m:oMathPara>
    </w:p>
    <w:p>
      <w:pPr>
        <w:pStyle w:val="FirstParagraph"/>
      </w:pPr>
      <w:r>
        <w:t xml:space="preserve">M2, Kiểm định phi tuyến: thêm CDDXK_c²</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1</m:t>
              </m:r>
            </m:sub>
          </m:sSub>
          <m:r>
            <m:t> </m:t>
          </m:r>
          <m:r>
            <m:rPr>
              <m:nor/>
              <m:sty m:val="p"/>
            </m:rPr>
            <m:t>NS</m:t>
          </m:r>
          <m:r>
            <m:rPr>
              <m:sty m:val="p"/>
            </m:rPr>
            <m:t>,</m:t>
          </m:r>
          <m:r>
            <m:t> </m:t>
          </m:r>
          <m:sSub>
            <m:e>
              <m:r>
                <m:t>β</m:t>
              </m:r>
            </m:e>
            <m:sub>
              <m:r>
                <m:t>2</m:t>
              </m:r>
            </m:sub>
          </m:sSub>
          <m:r>
            <m:t> </m:t>
          </m:r>
          <m:r>
            <m:rPr>
              <m:nor/>
              <m:sty m:val="p"/>
            </m:rPr>
            <m:t>NS</m:t>
          </m:r>
          <m:r>
            <m:rPr>
              <m:sty m:val="p"/>
            </m:rPr>
            <m:t>;</m:t>
          </m:r>
          <m:r>
            <m:t> </m:t>
          </m:r>
          <m:r>
            <m:rPr>
              <m:nor/>
              <m:sty m:val="p"/>
            </m:rPr>
            <m:t>Lind–Mehlum U-test NS</m:t>
          </m:r>
          <m:r>
            <m:rPr>
              <m:sty m:val="p"/>
            </m:rPr>
            <m:t>⇒</m:t>
          </m:r>
          <m:r>
            <m:rPr>
              <m:nor/>
              <m:sty m:val="p"/>
            </m:rPr>
            <m:t>không có điểm quay, đơn điệu âm</m:t>
          </m:r>
        </m:oMath>
      </m:oMathPara>
    </w:p>
    <w:p>
      <w:pPr>
        <w:pStyle w:val="FirstParagraph"/>
      </w:pPr>
      <w:r>
        <w:t xml:space="preserve">M3, Kiểm định năng lực điều tiết (H2 null cho SIDS):</w:t>
      </w:r>
    </w:p>
    <w:p>
      <w:pPr>
        <w:pStyle w:val="BodyText"/>
      </w:pPr>
      <m:oMathPara>
        <m:oMathParaPr>
          <m:jc m:val="center"/>
        </m:oMathParaPr>
        <m:oMath>
          <m:r>
            <m:t>l</m:t>
          </m:r>
          <m:r>
            <m:t>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β</m:t>
              </m:r>
            </m:e>
            <m:sub>
              <m:r>
                <m:t>3</m:t>
              </m:r>
            </m:sub>
          </m:sSub>
          <m:r>
            <m:t>N</m:t>
          </m:r>
          <m:r>
            <m:t>L</m:t>
          </m:r>
          <m:r>
            <m:t>C</m:t>
          </m:r>
          <m:r>
            <m:t>N</m:t>
          </m:r>
          <m:r>
            <m:rPr>
              <m:sty m:val="p"/>
            </m:rPr>
            <m:t>_</m:t>
          </m:r>
          <m:sSub>
            <m:e>
              <m:r>
                <m:t>z</m:t>
              </m:r>
            </m:e>
            <m:sub>
              <m:r>
                <m:t>i</m:t>
              </m:r>
              <m:r>
                <m:t>t</m:t>
              </m:r>
            </m:sub>
          </m:sSub>
          <m:r>
            <m:rPr>
              <m:sty m:val="p"/>
            </m:rPr>
            <m:t>+</m:t>
          </m:r>
          <m:sSub>
            <m:e>
              <m:r>
                <m:t>β</m:t>
              </m:r>
            </m:e>
            <m:sub>
              <m:r>
                <m:t>4</m:t>
              </m:r>
            </m:sub>
          </m:sSub>
          <m:r>
            <m:t>C</m:t>
          </m:r>
          <m:r>
            <m:t>S</m:t>
          </m:r>
          <m:r>
            <m:t>S</m:t>
          </m:r>
          <m:r>
            <m:rPr>
              <m:sty m:val="p"/>
            </m:rPr>
            <m:t>_</m:t>
          </m:r>
          <m:sSub>
            <m:e>
              <m:r>
                <m:t>z</m:t>
              </m:r>
            </m:e>
            <m:sub>
              <m:r>
                <m:t>i</m:t>
              </m:r>
              <m:r>
                <m:t>t</m:t>
              </m:r>
            </m:sub>
          </m:sSub>
          <m:r>
            <m:rPr>
              <m:sty m:val="p"/>
            </m:rPr>
            <m:t>+</m:t>
          </m:r>
          <m:r>
            <m:t>γ</m:t>
          </m:r>
          <m:r>
            <m:rPr>
              <m:sty m:val="p"/>
            </m:rPr>
            <m:t>⋅</m:t>
          </m:r>
          <m:sSub>
            <m:e>
              <m:r>
                <m:t>X</m:t>
              </m:r>
            </m:e>
            <m:sub>
              <m:r>
                <m:t>i</m:t>
              </m:r>
              <m:r>
                <m:t>t</m:t>
              </m:r>
            </m:sub>
          </m:sSub>
          <m:r>
            <m:rPr>
              <m:sty m:val="p"/>
            </m:rPr>
            <m:t>+</m:t>
          </m:r>
          <m:sSub>
            <m:e>
              <m:r>
                <m:t>δ</m:t>
              </m:r>
            </m:e>
            <m:sub>
              <m:r>
                <m:t>c</m:t>
              </m:r>
            </m:sub>
          </m:sSub>
          <m:r>
            <m:rPr>
              <m:sty m:val="p"/>
            </m:rPr>
            <m:t>+</m:t>
          </m:r>
          <m:sSub>
            <m:e>
              <m:r>
                <m:t>λ</m:t>
              </m:r>
            </m:e>
            <m:sub>
              <m:r>
                <m:t>t</m:t>
              </m:r>
            </m:sub>
          </m:sSub>
          <m:r>
            <m:rPr>
              <m:sty m:val="p"/>
            </m:rPr>
            <m:t>+</m:t>
          </m:r>
          <m:sSub>
            <m:e>
              <m:r>
                <m:t>ε</m:t>
              </m:r>
            </m:e>
            <m:sub>
              <m:r>
                <m:t>i</m:t>
              </m:r>
              <m:r>
                <m:t>t</m:t>
              </m:r>
            </m:sub>
          </m:sSub>
        </m:oMath>
      </m:oMathPara>
    </w:p>
    <w:p>
      <w:pPr>
        <w:pStyle w:val="FirstParagraph"/>
      </w:pPr>
      <m:oMathPara>
        <m:oMathParaPr>
          <m:jc m:val="center"/>
        </m:oMathParaPr>
        <m:oMath>
          <m:sSub>
            <m:e>
              <m:r>
                <m:t>β</m:t>
              </m:r>
            </m:e>
            <m:sub>
              <m:r>
                <m:t>3</m:t>
              </m:r>
            </m:sub>
          </m:sSub>
          <m:r>
            <m:t> </m:t>
          </m:r>
          <m:d>
            <m:dPr>
              <m:begChr m:val="("/>
              <m:endChr m:val=")"/>
              <m:sepChr m:val=""/>
              <m:grow/>
            </m:dPr>
            <m:e>
              <m:r>
                <m:t>N</m:t>
              </m:r>
              <m:r>
                <m:t>L</m:t>
              </m:r>
              <m:r>
                <m:t>C</m:t>
              </m:r>
              <m:r>
                <m:t>N</m:t>
              </m:r>
              <m:r>
                <m:rPr>
                  <m:sty m:val="p"/>
                </m:rPr>
                <m:t>_</m:t>
              </m:r>
              <m:r>
                <m:t>z</m:t>
              </m:r>
            </m:e>
          </m:d>
          <m:r>
            <m:rPr>
              <m:sty m:val="p"/>
            </m:rPr>
            <m:t>:</m:t>
          </m:r>
          <m:r>
            <m:t> </m:t>
          </m:r>
          <m:r>
            <m:t>p</m:t>
          </m:r>
          <m:r>
            <m:rPr>
              <m:sty m:val="p"/>
            </m:rPr>
            <m:t>=</m:t>
          </m:r>
          <m:r>
            <m:rPr>
              <m:sty m:val="p"/>
            </m:rPr>
            <m:t>,</m:t>
          </m:r>
          <m:r>
            <m:t>003</m:t>
          </m:r>
          <m:r>
            <m:t> </m:t>
          </m:r>
          <m:d>
            <m:dPr>
              <m:begChr m:val="("/>
              <m:endChr m:val=")"/>
              <m:sepChr m:val=""/>
              <m:grow/>
            </m:dPr>
            <m:e>
              <m:r>
                <m:rPr>
                  <m:nor/>
                  <m:sty m:val="p"/>
                </m:rPr>
                <m:t>dương, có ý nghĩa</m:t>
              </m:r>
            </m:e>
          </m:d>
          <m:r>
            <m:rPr>
              <m:sty m:val="p"/>
            </m:rPr>
            <m:t>;</m:t>
          </m:r>
          <m:r>
            <m:t> </m:t>
          </m:r>
          <m:sSub>
            <m:e>
              <m:r>
                <m:t>β</m:t>
              </m:r>
            </m:e>
            <m:sub>
              <m:r>
                <m:t>4</m:t>
              </m:r>
            </m:sub>
          </m:sSub>
          <m:r>
            <m:t> </m:t>
          </m:r>
          <m:d>
            <m:dPr>
              <m:begChr m:val="("/>
              <m:endChr m:val=")"/>
              <m:sepChr m:val=""/>
              <m:grow/>
            </m:dPr>
            <m:e>
              <m:r>
                <m:t>C</m:t>
              </m:r>
              <m:r>
                <m:t>S</m:t>
              </m:r>
              <m:r>
                <m:t>S</m:t>
              </m:r>
              <m:r>
                <m:rPr>
                  <m:sty m:val="p"/>
                </m:rPr>
                <m:t>_</m:t>
              </m:r>
              <m:r>
                <m:t>z</m:t>
              </m:r>
            </m:e>
          </m:d>
          <m:r>
            <m:rPr>
              <m:sty m:val="p"/>
            </m:rPr>
            <m:t>:</m:t>
          </m:r>
          <m:r>
            <m:t> </m:t>
          </m:r>
          <m:r>
            <m:t>p</m:t>
          </m:r>
          <m:r>
            <m:rPr>
              <m:sty m:val="p"/>
            </m:rPr>
            <m:t>=</m:t>
          </m:r>
          <m:r>
            <m:rPr>
              <m:sty m:val="p"/>
            </m:rPr>
            <m:t>,</m:t>
          </m:r>
          <m:r>
            <m:t>285</m:t>
          </m:r>
          <m:r>
            <m:t> </m:t>
          </m:r>
          <m:r>
            <m:rPr>
              <m:nor/>
              <m:sty m:val="p"/>
            </m:rPr>
            <m:t>NS</m:t>
          </m:r>
          <m:r>
            <m:rPr>
              <m:sty m:val="p"/>
            </m:rPr>
            <m:t>⇒</m:t>
          </m:r>
          <m:r>
            <m:rPr>
              <m:nor/>
              <m:sty m:val="p"/>
            </m:rPr>
            <m:t>TCI nâng mặt bằng năng suất; không có biến điều tiết uốn đường cong (H2 moderation null)</m:t>
          </m:r>
        </m:oMath>
      </m:oMathPara>
    </w:p>
    <w:p>
      <w:pPr>
        <w:pStyle w:val="FirstParagraph"/>
      </w:pPr>
      <w:r>
        <w:rPr>
          <w:bCs/>
          <w:b/>
        </w:rPr>
        <w:t xml:space="preserve">Phân tích độ vững (kiểm tra độ vững):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Specification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r>
      <w:tr>
        <w:tc>
          <w:tcPr/>
          <w:p>
            <w:pPr>
              <w:pStyle w:val="Compact"/>
              <w:jc w:val="left"/>
            </w:pPr>
            <w:r>
              <w:t xml:space="preserve">M1 country+year FE (N = 959)</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 ,001</w:t>
            </w:r>
          </w:p>
        </w:tc>
      </w:tr>
      <w:tr>
        <w:tc>
          <w:tcPr/>
          <w:p>
            <w:pPr>
              <w:pStyle w:val="Compact"/>
              <w:jc w:val="left"/>
            </w:pPr>
            <w:r>
              <w:t xml:space="preserve">Year FE only (không country FE)</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 ,001</w:t>
            </w:r>
          </w:p>
        </w:tc>
      </w:tr>
      <w:tr>
        <w:tc>
          <w:tcPr/>
          <w:p>
            <w:pPr>
              <w:pStyle w:val="Compact"/>
              <w:jc w:val="left"/>
            </w:pPr>
            <w:r>
              <w:t xml:space="preserve">Bivariate (không controls)</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r>
      <w:tr>
        <w:tc>
          <w:tcPr/>
          <w:p>
            <w:pPr>
              <w:pStyle w:val="Compact"/>
              <w:jc w:val="left"/>
            </w:pPr>
            <w:r>
              <w:t xml:space="preserve">Exporters-only (N = 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 (NS)</w:t>
            </w:r>
          </w:p>
        </w:tc>
      </w:tr>
    </w:tbl>
    <w:p>
      <w:pPr>
        <w:pStyle w:val="BodyText"/>
      </w:pPr>
      <w:r>
        <w:rPr>
          <w:iCs/>
          <w:i/>
        </w:rPr>
        <w:t xml:space="preserve">Hệ số âm nhất quán về dấu qua các specification; suy luận FIP dựa chủ yếu vào các mô hình fixed-effects (M1, year-FE), trong khi exporters-only (N=26) thiếu công suất thống kê.</w:t>
      </w:r>
    </w:p>
    <w:p>
      <w:pPr>
        <w:pStyle w:val="BodyText"/>
      </w:pPr>
      <w:r>
        <w:rPr>
          <w:bCs/>
          <w:b/>
        </w:rPr>
        <w:t xml:space="preserve">Bảng định nghĩa biến, Nghiên cứu 8 (SIDS)</w:t>
      </w:r>
    </w:p>
    <w:tbl>
      <w:tblPr>
        <w:tblStyle w:val="Table"/>
        <w:tblW w:type="pct" w:w="5000"/>
        <w:tblLook w:firstRow="1" w:lastRow="0" w:firstColumn="0" w:lastColumn="0" w:noHBand="0" w:noVBand="0" w:val="0020"/>
        <w:jc w:val="start"/>
      </w:tblPr>
      <w:tblGrid>
        <w:gridCol w:w="1782"/>
        <w:gridCol w:w="2178"/>
        <w:gridCol w:w="2178"/>
        <w:gridCol w:w="1782"/>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ln(doanh thu PPP / 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mean_wave: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kiểm định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z-std(website binary): Tier-1 only</w:t>
            </w:r>
          </w:p>
        </w:tc>
        <w:tc>
          <w:tcPr/>
          <w:p>
            <w:pPr>
              <w:pStyle w:val="Compact"/>
              <w:jc w:val="left"/>
            </w:pPr>
            <w:r>
              <w:t xml:space="preserve">Số hoá, proxy tĩnh</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năm_KS − năm_thành_lập</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a3b</w:t>
            </w:r>
          </w:p>
        </w:tc>
        <w:tc>
          <w:tcPr/>
          <w:p>
            <w:pPr>
              <w:pStyle w:val="Compact"/>
              <w:jc w:val="left"/>
            </w:pPr>
            <w:r>
              <w:t xml:space="preserve">country FE</w:t>
            </w:r>
          </w:p>
        </w:tc>
        <w:tc>
          <w:tcPr/>
          <w:p>
            <w:pPr>
              <w:pStyle w:val="Compact"/>
              <w:jc w:val="left"/>
            </w:pPr>
            <w:r>
              <w:t xml:space="preserve">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FE</w:t>
            </w:r>
          </w:p>
        </w:tc>
        <w:tc>
          <w:tcPr/>
          <w:p>
            <w:pPr>
              <w:pStyle w:val="Compact"/>
              <w:jc w:val="left"/>
            </w:pPr>
            <w:r>
              <w:t xml:space="preserve">Fixed effects</w:t>
            </w:r>
          </w:p>
        </w:tc>
      </w:tr>
    </w:tbl>
    <w:p>
      <w:pPr>
        <w:pStyle w:val="BodyText"/>
      </w:pPr>
      <w:r>
        <w:rPr>
          <w:iCs/>
          <w:i/>
        </w:rPr>
        <w:t xml:space="preserve">Ghi chú: FIP là điều kiện biên (boundary condition) của mô hình chữ U ngược, áp dụng đặc thù tại ICRV Nhóm VI nơi 3 điều kiện cấu trúc bị vi phạm đồng thời: (1) không có thị trường nội địa đủ lớn, (2) chi phí thương mại không kiểm soát được, (3) hỗ trợ thể chế không đủ chức năng. DAI (CSS_z) Tier-1 only, WBES không thu thập thang đo đầy đủ cho số hoá động tại SIDS.</w:t>
      </w:r>
    </w:p>
    <w:p>
      <w:r>
        <w:pict>
          <v:rect style="width:0;height:1.5pt" o:hralign="center" o:hrstd="t" o:hr="t"/>
        </w:pict>
      </w:r>
    </w:p>
    <w:bookmarkEnd w:id="109"/>
    <w:bookmarkStart w:id="110" w:name="X349648a9603de2a783df22f0baa1f04a5234db6"/>
    <w:p>
      <w:pPr>
        <w:pStyle w:val="Heading4"/>
      </w:pPr>
      <w:r>
        <w:t xml:space="preserve">3.4.5.6 Mô hình cụ thể, Nghiên cứu 9: Ấn Độ, độ bền ngưỡng qua chuyển đổi thể chế (P9)</w:t>
      </w:r>
    </w:p>
    <w:p>
      <w:pPr>
        <w:pStyle w:val="FirstParagraph"/>
      </w:pPr>
      <w:r>
        <w:t xml:space="preserve">Nghiên cứu 9 sử dụng ba đợt Khảo sát Doanh nghiệp Ngân hàng Thế giới cho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mẫu gộp</w:t>
      </w:r>
      <w:r>
        <w:t xml:space="preserve"> </w:t>
      </w:r>
      <m:oMath>
        <m:r>
          <m:t>N</m:t>
        </m:r>
        <m:r>
          <m:rPr>
            <m:sty m:val="p"/>
          </m:rPr>
          <m:t>=</m:t>
        </m:r>
        <m:r>
          <m:t>28.717</m:t>
        </m:r>
      </m:oMath>
      <w:r>
        <w:t xml:space="preserve">), pool đơn quốc gia lớn nhất của luận án. Ấn Độ thuộc Nhóm IV ICRV (Chuyển đổi thu nhập trung bình–thấp); cửa sổ 2014–2025 bao trùm chuỗi cú sốc thể chế (bãi bỏ tiền mặt 2016, GST 2017, IBC 2016, UPI 2016, PLI và Atmanirbhar Bharat 2020, COVID-19), tạo điều kiện stress-test cho giả thuyết bền vững ngưỡng.</w:t>
      </w:r>
    </w:p>
    <w:p>
      <w:pPr>
        <w:pStyle w:val="BodyText"/>
      </w:pPr>
      <w:r>
        <w:t xml:space="preserve">Mô hình ước lượng OLS với sai số chuẩn vững HC1, gồm số hạng FSTS bậc nhất và bậc hai (centred theo đợt) cùng các tương tác năng lực (TCI, DAI). Ba kiểm định bổ sung: (i) Lind–Mehlum U-test xác nhận U ngược theo từng đợt; (ii) z-test Paternoster (1998) so sánh hệ số giữa 2014 và 2025 (cửa sổ 11 năm chính), báo cáo cả sai số chuẩn HC1 và cụm theo bang; (iii) đặc tả gộp ba đợt với biến giả/xu thế đợt khảo sát làm kiểm định độ vững. Việc UPI ra mắt tháng 4/2016 cung cấp thí nghiệm gần tự nhiên cho bão hòa DAI; riêng đợt 2025 (BREADY) bổ sung chỉ báo Tier-2 (</w:t>
      </w:r>
      <w:r>
        <w:rPr>
          <w:rStyle w:val="VerbatimChar"/>
        </w:rPr>
        <w:t xml:space="preserve">k33</w:t>
      </w:r>
      <w:r>
        <w:t xml:space="preserve">, tỷ trọng doanh thu qua thanh toán điện tử) cho phép kiểm định điều tiết DAI Tier-2, được xử lý như phân tích thăm dò vì chỉ có ở một đợt.</w:t>
      </w:r>
    </w:p>
    <w:bookmarkEnd w:id="110"/>
    <w:bookmarkEnd w:id="111"/>
    <w:bookmarkStart w:id="112" w:name="sai-số-chuẩn"/>
    <w:p>
      <w:pPr>
        <w:pStyle w:val="Heading3"/>
      </w:pPr>
      <w:r>
        <w:t xml:space="preserve">3.4.6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112"/>
    <w:bookmarkEnd w:id="113"/>
    <w:bookmarkStart w:id="120" w:name="kiểm-định-độ-vững"/>
    <w:p>
      <w:pPr>
        <w:pStyle w:val="Heading2"/>
      </w:pPr>
      <w:r>
        <w:t xml:space="preserve">3.5 Kiểm định độ vững</w:t>
      </w:r>
    </w:p>
    <w:bookmarkStart w:id="114" w:name="thay-đổi-thước-đo"/>
    <w:p>
      <w:pPr>
        <w:pStyle w:val="Heading3"/>
      </w:pPr>
      <w:r>
        <w:t xml:space="preserve">3.5.1 Thay đổi thước đo</w:t>
      </w:r>
    </w:p>
    <w:p>
      <w:pPr>
        <w:numPr>
          <w:ilvl w:val="0"/>
          <w:numId w:val="1010"/>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10"/>
        </w:numPr>
        <w:pStyle w:val="Compact"/>
      </w:pPr>
      <w:r>
        <w:t xml:space="preserve">Biến độc lập: thay FSTS bằng export status (binary), foreign sales count.</w:t>
      </w:r>
    </w:p>
    <w:p>
      <w:pPr>
        <w:numPr>
          <w:ilvl w:val="0"/>
          <w:numId w:val="1010"/>
        </w:numPr>
        <w:pStyle w:val="Compact"/>
      </w:pPr>
      <w:r>
        <w:t xml:space="preserve">Biến biến điều tiết: thay DAI_thin bằng DAI_rich (cho subset 2024+).</w:t>
      </w:r>
    </w:p>
    <w:bookmarkEnd w:id="114"/>
    <w:bookmarkStart w:id="115" w:name="mẫu-phụ"/>
    <w:p>
      <w:pPr>
        <w:pStyle w:val="Heading3"/>
      </w:pPr>
      <w:r>
        <w:t xml:space="preserve">3.5.2 Mẫu phụ</w:t>
      </w:r>
    </w:p>
    <w:p>
      <w:pPr>
        <w:pStyle w:val="FirstParagraph"/>
      </w:pPr>
      <w:r>
        <w:t xml:space="preserve">Loại trừ micro firms (&lt;5 lao động); chỉ giữ SMEs; chỉ giữ manufacturing; chỉ giữ exporters (FSTS &gt; 0); subgroup theo 6 sub-regime ICRV.</w:t>
      </w:r>
    </w:p>
    <w:bookmarkEnd w:id="115"/>
    <w:bookmarkStart w:id="116" w:name="outliers"/>
    <w:p>
      <w:pPr>
        <w:pStyle w:val="Heading3"/>
      </w:pPr>
      <w:r>
        <w:t xml:space="preserve">3.5.3 Outliers</w:t>
      </w:r>
    </w:p>
    <w:p>
      <w:pPr>
        <w:pStyle w:val="FirstParagraph"/>
      </w:pPr>
      <w:r>
        <w:t xml:space="preserve">Winsorization 1% và 5% đối với labor productivity và employment, áp dụng trong từng country-year.</w:t>
      </w:r>
    </w:p>
    <w:bookmarkEnd w:id="116"/>
    <w:bookmarkStart w:id="117" w:name="multicollinearity-và-heteroscedasticity"/>
    <w:p>
      <w:pPr>
        <w:pStyle w:val="Heading3"/>
      </w:pPr>
      <w:r>
        <w:t xml:space="preserve">3.5.4 Multicollinearity và heteroscedasticity</w:t>
      </w:r>
    </w:p>
    <w:p>
      <w:pPr>
        <w:numPr>
          <w:ilvl w:val="0"/>
          <w:numId w:val="1011"/>
        </w:numPr>
        <w:pStyle w:val="Compact"/>
      </w:pPr>
      <w:r>
        <w:t xml:space="preserve">VIF cho tất cả mô hình; ngưỡng VIF &lt; 5 (Hair et al., 2019).</w:t>
      </w:r>
    </w:p>
    <w:p>
      <w:pPr>
        <w:numPr>
          <w:ilvl w:val="0"/>
          <w:numId w:val="1011"/>
        </w:numPr>
        <w:pStyle w:val="Compact"/>
      </w:pPr>
      <w:r>
        <w:t xml:space="preserve">Breusch–Pagan test (Breusch &amp; Pagan, 1979).</w:t>
      </w:r>
    </w:p>
    <w:bookmarkEnd w:id="117"/>
    <w:bookmarkStart w:id="118" w:name="sensitivity-analysis-cho-meta-analysis"/>
    <w:p>
      <w:pPr>
        <w:pStyle w:val="Heading3"/>
      </w:pPr>
      <w:r>
        <w:t xml:space="preserve">3.5.5 Sensitivity analysis cho meta-analysis</w:t>
      </w:r>
    </w:p>
    <w:p>
      <w:pPr>
        <w:numPr>
          <w:ilvl w:val="0"/>
          <w:numId w:val="1012"/>
        </w:numPr>
        <w:pStyle w:val="Compact"/>
      </w:pPr>
      <w:r>
        <w:t xml:space="preserve">Leave-one-out: loại từng nghiên cứu và tái tính pooled effect.</w:t>
      </w:r>
    </w:p>
    <w:p>
      <w:pPr>
        <w:numPr>
          <w:ilvl w:val="0"/>
          <w:numId w:val="1012"/>
        </w:numPr>
        <w:pStyle w:val="Compact"/>
      </w:pPr>
      <w:r>
        <w:t xml:space="preserve">Trim-and-fill (Duval &amp; Tweedie, 2000) cho publication bias.</w:t>
      </w:r>
    </w:p>
    <w:bookmarkEnd w:id="118"/>
    <w:bookmarkStart w:id="119" w:name="X114450212317cc299784cfe2697e63e527f22c7"/>
    <w:p>
      <w:pPr>
        <w:pStyle w:val="Heading3"/>
      </w:pPr>
      <w:r>
        <w:t xml:space="preserve">3.5.6 Chiến lược nhận dạng và ranh giới suy luận nhân quả</w:t>
      </w:r>
    </w:p>
    <w:p>
      <w:pPr>
        <w:pStyle w:val="FirstParagraph"/>
      </w:pPr>
      <w:r>
        <w:t xml:space="preserve">Vì dữ liệu chủ đạo của luận án là lát cắt ngang lặp lại (repeated cross-sections) chứ không phải bảng cân bằng theo dõi cùng doanh nghiệp qua thời gian, luận án thừa nhận minh bạch các ranh giới suy luận và áp dụng một chiến lược nhận dạng nhiều lớp để củng cố tính giá trị nội tại trong giới hạn cho phép. Thứ nhất, mọi mô hình đa quốc gia đều bao gồm hiệu ứng cố định hai chiều (nền kinh tế và năm), qua đó hấp thụ toàn bộ thành phần bất biến theo nước (tiền tệ, mặt bằng giá, chế độ kế toán, đặc điểm thể chế ổn định) và các cú sốc chung theo năm; hệ số quan hệ I–P do đó được nhận dạng từ biến thiên nội bộ nền kinh tế–năm, không bị nhiễu bởi khác biệt cấu trúc cố định giữa các nước (Wooldridge, 2010). Thứ hai, ở các nghiên cứu đơn quốc gia, luận án bổ sung biến công cụ (instrumental variable) cho năng lực công nghệ, với các kiểm định độ mạnh công cụ (first-stage F) và over-identification phù hợp, nhằm tách hiệu ứng nhân quả khỏi nội sinh do lựa chọn và đồng thời (P3, P5). Thứ ba, độ ổn định của ước lượng trước thay đổi do biến bỏ sót được đánh giá bằng giới hạn δ-stability theo Oster (2019), một chuẩn mực ngày càng được áp dụng trong nghiên cứu thực nghiệm khi không có thiết kế thực nghiệm thuần túy. Cuối cùng, luận án tuân thủ nguyên tắc báo cáo trung thực: các kết quả từ mẫu nhỏ hoặc thiếu công suất (ví dụ mẫu chỉ gồm doanh nghiệp xuất khẩu tại SIDS) được trình bày như</w:t>
      </w:r>
      <w:r>
        <w:t xml:space="preserve"> </w:t>
      </w:r>
      <w:r>
        <w:t xml:space="preserve">“</w:t>
      </w:r>
      <w:r>
        <w:t xml:space="preserve">ranh giới suy luận</w:t>
      </w:r>
      <w:r>
        <w:t xml:space="preserve">”</w:t>
      </w:r>
      <w:r>
        <w:t xml:space="preserve"> </w:t>
      </w:r>
      <w:r>
        <w:t xml:space="preserve">(inferential bounds) chứ không phải bằng chứng nhân quả khẳng định, và mọi suy luận về điều tiết thể chế được neo đồng thời vào hai nguồn độc lập là kiểm định điều tiết của meta-analysis và gradient điểm uốn của mô hình đa quốc gia (xem §4.2.3, §4.6.2). Cách tiếp cận đa lớp này phản ánh thực hành tốt nhất trong kinh tế lượng ứng dụng khi làm việc với dữ liệu quan sát quy mô lớn (Angrist &amp; Pischke, 2009).</w:t>
      </w:r>
    </w:p>
    <w:bookmarkEnd w:id="119"/>
    <w:bookmarkEnd w:id="120"/>
    <w:bookmarkStart w:id="121" w:name="X364413cac58bd17313d22102f22dd0d12fe1063"/>
    <w:p>
      <w:pPr>
        <w:pStyle w:val="Heading2"/>
      </w:pPr>
      <w:r>
        <w:t xml:space="preserve">3.6 Tóm tắt phương pháp: Kế thừa và đóng góp mới</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50 nền kinh tế châu Á + Thái Bình Dương</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nghiên cứu thành phần P1, 17 nước châu Á mới nổi</w:t>
            </w:r>
          </w:p>
        </w:tc>
        <w:tc>
          <w:tcPr/>
          <w:p>
            <w:pPr>
              <w:pStyle w:val="Compact"/>
              <w:jc w:val="left"/>
            </w:pPr>
            <w:r>
              <w:t xml:space="preserve">Mở rộng từ 17 →</w:t>
            </w:r>
            <w:r>
              <w:t xml:space="preserve"> </w:t>
            </w:r>
            <w:r>
              <w:rPr>
                <w:bCs/>
                <w:b/>
              </w:rPr>
              <w:t xml:space="preserve">50 nước</w:t>
            </w:r>
            <w:r>
              <w:t xml:space="preserve"> </w:t>
            </w:r>
            <w:r>
              <w:t xml:space="preserve">với 88.869 doanh nghiệp · 103 cặp nền kinh tế và năm (gồm Nhật Bản 2025)</w:t>
            </w:r>
          </w:p>
        </w:tc>
      </w:tr>
      <w:tr>
        <w:tc>
          <w:tcPr/>
          <w:p>
            <w:pPr>
              <w:pStyle w:val="Compact"/>
              <w:jc w:val="left"/>
            </w:pPr>
            <w:r>
              <w:t xml:space="preserve">Labor productivity DV</w:t>
            </w:r>
          </w:p>
        </w:tc>
        <w:tc>
          <w:tcPr/>
          <w:p>
            <w:pPr>
              <w:pStyle w:val="Compact"/>
              <w:jc w:val="left"/>
            </w:pPr>
            <w:r>
              <w:t xml:space="preserve">Bloom et al. (2012); Hsieh &amp; Klenow (2009); nghiên cứu thành phần P1</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nghiên cứu thành phần P2</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(nghiên cứu thành phần P1)</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nghiên cứu thành phần P2</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121"/>
    <w:bookmarkStart w:id="122" w:name="đạo-đức-nghiên-cứu"/>
    <w:p>
      <w:pPr>
        <w:pStyle w:val="Heading2"/>
      </w:pPr>
      <w:r>
        <w:t xml:space="preserve">3.7 Đạo đức nghiên cứu</w:t>
      </w:r>
    </w:p>
    <w:p>
      <w:pPr>
        <w:pStyle w:val="FirstParagraph"/>
      </w:pPr>
      <w:r>
        <w:t xml:space="preserve">Luận án sử dụng dữ liệu thứ cấp từ WBES,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p>
      <w:r>
        <w:br w:type="page"/>
      </w:r>
    </w:p>
    <w:bookmarkEnd w:id="122"/>
    <w:bookmarkStart w:id="123" w:name="chương-4-kết-quả-nghiên-cứu"/>
    <w:p>
      <w:pPr>
        <w:pStyle w:val="Heading1"/>
      </w:pPr>
      <w:r>
        <w:t xml:space="preserve">CHƯƠNG 4: KẾT QUẢ NGHIÊN CỨU</w:t>
      </w:r>
    </w:p>
    <w:bookmarkEnd w:id="123"/>
    <w:p>
      <w:r>
        <w:pict>
          <v:rect style="width:0;height:1.5pt" o:hralign="center" o:hrstd="t" o:hr="t"/>
        </w:pict>
      </w:r>
    </w:p>
    <w:bookmarkStart w:id="124" w:name="giới-thiệu-chương"/>
    <w:p>
      <w:pPr>
        <w:pStyle w:val="Heading2"/>
      </w:pPr>
      <w:r>
        <w:t xml:space="preserve">Giới thiệu chương</w:t>
      </w:r>
    </w:p>
    <w:p>
      <w:pPr>
        <w:pStyle w:val="FirstParagraph"/>
      </w:pPr>
      <w:r>
        <w:t xml:space="preserve">Chương 4 trình bày toàn bộ kết quả nghiên cứu của luận án theo logic đi từ bức tranh thực trạng mô tả (§4.1) đến bằng chứng tổng hợp ở cấp meta-analytic (§4.2), sau đó đến bằng chứng quốc gia cụ thể và cuối cùng là kiểm định toàn mẫu đa quốc gia. Cấu trúc trình bày gồm mười phần chính, bắt đầu bằng thực trạng quốc tế hóa và hiệu quả hoạt động kinh doanh tại châu Á theo các phân nhóm con thể chế ICRV, tiếp theo là: (ii) kết quả meta-analysis ba tầng (P6); (iii) bối cảnh thể chế tiên tiến–đổi mới tại Singapore (P4); (iv) bối cảnh thể chế trung bình cao tại Trung Quốc (P5); (v) bối cảnh chuyển đổi bậc thấp–trung tại Việt Nam (P3); (vi) kiểm định toàn mẫu châu Á đa bối cảnh (P7); (vii) trường hợp biên là các nền kinh tế đảo nhỏ đang phát triển ở Thái Bình Dương (P8); và (viii) tổng hợp kết quả theo hệ giả thuyết.</w:t>
      </w:r>
    </w:p>
    <w:p>
      <w:r>
        <w:pict>
          <v:rect style="width:0;height:1.5pt" o:hralign="center" o:hrstd="t" o:hr="t"/>
        </w:pict>
      </w:r>
    </w:p>
    <w:bookmarkEnd w:id="124"/>
    <w:bookmarkStart w:id="130" w:name="Xed285cd0261846a13dee28de69c0403b250498d"/>
    <w:p>
      <w:pPr>
        <w:pStyle w:val="Heading2"/>
      </w:pPr>
      <w:r>
        <w:t xml:space="preserve">4.1 Thực trạng quốc tế hóa và hiệu quả hoạt động kinh doanh tại châu Á</w:t>
      </w:r>
    </w:p>
    <w:bookmarkStart w:id="125" w:name="Xdc33a1e36e2f3be83736669663a61a68c91d087"/>
    <w:p>
      <w:pPr>
        <w:pStyle w:val="Heading3"/>
      </w:pPr>
      <w:r>
        <w:t xml:space="preserve">4.1.1 Bức tranh tổng thể về hiệu quả doanh nghiệp châu Á</w:t>
      </w:r>
    </w:p>
    <w:p>
      <w:pPr>
        <w:pStyle w:val="FirstParagraph"/>
      </w:pPr>
      <w:r>
        <w:t xml:space="preserve">Phân tích mô tả trên khung 50 nền kinh tế châu Á và Thái Bình Dương (gồm Nhật Bản, thành viên thứ sáu của Nhóm I được WBES khảo sát lần đầu năm 2025; xem §4.1.5) cho thấy bức tranh hiệu quả hoạt động kinh doanh có sự phân tán lớn và không hội tụ. Các bảng phân loại 4.1 dưới đây dựa trên bộ dữ liệu ước lượng đa quốc gia (pool phân loại 96.415 doanh nghiệp / 52 nhãn nền; khung phân tích 88.869 / 50 nền, gồm Nhật Bản; mẫu hồi quy chính P7 M2 N = 81.022), nhất quán với thống kê mô tả chi tiết của Chuyên đề 1 trên đầy đủ 50 nền. Vì doanh thu WBES được báo cáo bằng nội tệ, độ phân tán năng suất được tính</w:t>
      </w:r>
      <w:r>
        <w:t xml:space="preserve"> </w:t>
      </w:r>
      <w:r>
        <w:rPr>
          <w:bCs/>
          <w:b/>
        </w:rPr>
        <w:t xml:space="preserve">trong từng cặp nền kinh tế × năm</w:t>
      </w:r>
      <w:r>
        <w:t xml:space="preserve"> </w:t>
      </w:r>
      <w:r>
        <w:t xml:space="preserve">(bất biến với đơn vị tiền tệ): độ lệch chuẩn của ln(doanh thu/lao động) trong đợt tăng từ 1,04 (Nhóm I, Advanced đổi mới) lên 1,31–1,39 (Nhóm III–V), và tỷ số P90/P10 leo từ khoảng 12 lần (Nhóm I) lên khoảng 30 lần (Nhóm V) theo chiều từ nhóm thể chế cao đến nhóm thể chế thấp.</w:t>
      </w:r>
    </w:p>
    <w:p>
      <w:pPr>
        <w:pStyle w:val="BodyText"/>
      </w:pPr>
      <w:r>
        <w:rPr>
          <w:bCs/>
          <w:b/>
        </w:rPr>
        <w:t xml:space="preserve">Bảng 4.1.</w:t>
      </w:r>
      <w:r>
        <w:t xml:space="preserve"> </w:t>
      </w:r>
      <w:r>
        <w:rPr>
          <w:iCs/>
          <w:i/>
        </w:rPr>
        <w:t xml:space="preserve">Phân tán năng suất lao động và đặc điểm quốc tế hóa theo phân nhóm con ICRV (pool gộp WBES 2003–2025; số doanh nghiệp phân loại ICRV ≈ 96.415; khung phân tích 88.869/50 nền; mẫu hồi quy chính P7 M2 N = 81.022).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 ICRV</w:t>
            </w:r>
          </w:p>
        </w:tc>
        <w:tc>
          <w:tcPr/>
          <w:p>
            <w:pPr>
              <w:pStyle w:val="Compact"/>
              <w:jc w:val="left"/>
            </w:pPr>
            <w:r>
              <w:t xml:space="preserve">n</w:t>
            </w:r>
          </w:p>
        </w:tc>
        <w:tc>
          <w:tcPr/>
          <w:p>
            <w:pPr>
              <w:pStyle w:val="Compact"/>
              <w:jc w:val="left"/>
            </w:pPr>
            <w:r>
              <w:t xml:space="preserve">sd log LP (trong đợt)¹</w:t>
            </w:r>
          </w:p>
        </w:tc>
        <w:tc>
          <w:tcPr/>
          <w:p>
            <w:pPr>
              <w:pStyle w:val="Compact"/>
              <w:jc w:val="left"/>
            </w:pPr>
            <w:r>
              <w:t xml:space="preserve">FSTS (%)</w:t>
            </w:r>
          </w:p>
        </w:tc>
        <w:tc>
          <w:tcPr/>
          <w:p>
            <w:pPr>
              <w:pStyle w:val="Compact"/>
              <w:jc w:val="left"/>
            </w:pPr>
            <w:r>
              <w:t xml:space="preserve">Xuất khẩu (%)</w:t>
            </w:r>
          </w:p>
        </w:tc>
        <w:tc>
          <w:tcPr/>
          <w:p>
            <w:pPr>
              <w:pStyle w:val="Compact"/>
              <w:jc w:val="left"/>
            </w:pPr>
            <w:r>
              <w:t xml:space="preserve">FDI≥10% (%)</w:t>
            </w:r>
          </w:p>
        </w:tc>
      </w:tr>
      <w:tr>
        <w:tc>
          <w:tcPr/>
          <w:p>
            <w:pPr>
              <w:pStyle w:val="Compact"/>
              <w:jc w:val="left"/>
            </w:pPr>
            <w:r>
              <w:t xml:space="preserve">Nhóm I: Advanced đổi mới (SG, HK, KOR, TWN, ISR, JPN)</w:t>
            </w:r>
          </w:p>
        </w:tc>
        <w:tc>
          <w:tcPr/>
          <w:p>
            <w:pPr>
              <w:pStyle w:val="Compact"/>
              <w:jc w:val="left"/>
            </w:pPr>
            <w:r>
              <w:t xml:space="preserve">6.390</w:t>
            </w:r>
          </w:p>
        </w:tc>
        <w:tc>
          <w:tcPr/>
          <w:p>
            <w:pPr>
              <w:pStyle w:val="Compact"/>
              <w:jc w:val="left"/>
            </w:pPr>
            <w:r>
              <w:rPr>
                <w:bCs/>
                <w:b/>
              </w:rPr>
              <w:t xml:space="preserve">1,00</w:t>
            </w:r>
          </w:p>
        </w:tc>
        <w:tc>
          <w:tcPr/>
          <w:p>
            <w:pPr>
              <w:pStyle w:val="Compact"/>
              <w:jc w:val="left"/>
            </w:pPr>
            <w:r>
              <w:t xml:space="preserve">10,3</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Nhóm II: Advanced tài nguyên (GCC)</w:t>
            </w:r>
          </w:p>
        </w:tc>
        <w:tc>
          <w:tcPr/>
          <w:p>
            <w:pPr>
              <w:pStyle w:val="Compact"/>
              <w:jc w:val="left"/>
            </w:pPr>
            <w:r>
              <w:t xml:space="preserve">2.269</w:t>
            </w:r>
          </w:p>
        </w:tc>
        <w:tc>
          <w:tcPr/>
          <w:p>
            <w:pPr>
              <w:pStyle w:val="Compact"/>
              <w:jc w:val="left"/>
            </w:pPr>
            <w:r>
              <w:t xml:space="preserve">1,14²</w:t>
            </w:r>
          </w:p>
        </w:tc>
        <w:tc>
          <w:tcPr/>
          <w:p>
            <w:pPr>
              <w:pStyle w:val="Compact"/>
              <w:jc w:val="left"/>
            </w:pPr>
            <w:r>
              <w:t xml:space="preserve">~3</w:t>
            </w:r>
          </w:p>
        </w:tc>
        <w:tc>
          <w:tcPr/>
          <w:p>
            <w:pPr>
              <w:pStyle w:val="Compact"/>
              <w:jc w:val="left"/>
            </w:pPr>
            <w:r>
              <w:t xml:space="preserve">~8</w:t>
            </w:r>
          </w:p>
        </w:tc>
        <w:tc>
          <w:tcPr/>
          <w:p>
            <w:pPr>
              <w:pStyle w:val="Compact"/>
              <w:jc w:val="left"/>
            </w:pPr>
            <w:r>
              <w:t xml:space="preserve">n/a</w:t>
            </w:r>
          </w:p>
        </w:tc>
      </w:tr>
      <w:tr>
        <w:tc>
          <w:tcPr/>
          <w:p>
            <w:pPr>
              <w:pStyle w:val="Compact"/>
              <w:jc w:val="left"/>
            </w:pPr>
            <w:r>
              <w:t xml:space="preserve">Nhóm III: Upper-middle (CHN, MYS, THA, KAZ…)</w:t>
            </w:r>
          </w:p>
        </w:tc>
        <w:tc>
          <w:tcPr/>
          <w:p>
            <w:pPr>
              <w:pStyle w:val="Compact"/>
              <w:jc w:val="left"/>
            </w:pPr>
            <w:r>
              <w:t xml:space="preserve">17.905</w:t>
            </w:r>
          </w:p>
        </w:tc>
        <w:tc>
          <w:tcPr/>
          <w:p>
            <w:pPr>
              <w:pStyle w:val="Compact"/>
              <w:jc w:val="left"/>
            </w:pPr>
            <w:r>
              <w:t xml:space="preserve">1,37</w:t>
            </w:r>
          </w:p>
        </w:tc>
        <w:tc>
          <w:tcPr/>
          <w:p>
            <w:pPr>
              <w:pStyle w:val="Compact"/>
              <w:jc w:val="left"/>
            </w:pPr>
            <w:r>
              <w:t xml:space="preserve">10,3</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Nhóm IV: Lower-middle transition (VNM, IND, IDN, PHL, BGD, PAK, MNG)</w:t>
            </w:r>
          </w:p>
        </w:tc>
        <w:tc>
          <w:tcPr/>
          <w:p>
            <w:pPr>
              <w:pStyle w:val="Compact"/>
              <w:jc w:val="left"/>
            </w:pPr>
            <w:r>
              <w:t xml:space="preserve">50.926</w:t>
            </w:r>
          </w:p>
        </w:tc>
        <w:tc>
          <w:tcPr/>
          <w:p>
            <w:pPr>
              <w:pStyle w:val="Compact"/>
              <w:jc w:val="left"/>
            </w:pPr>
            <w:r>
              <w:t xml:space="preserve">1,31</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Nhóm V: Emerging (LAO, KHM, NPL, LKA, JOR…)</w:t>
            </w:r>
          </w:p>
        </w:tc>
        <w:tc>
          <w:tcPr/>
          <w:p>
            <w:pPr>
              <w:pStyle w:val="Compact"/>
              <w:jc w:val="left"/>
            </w:pPr>
            <w:r>
              <w:t xml:space="preserve">18.569</w:t>
            </w:r>
          </w:p>
        </w:tc>
        <w:tc>
          <w:tcPr/>
          <w:p>
            <w:pPr>
              <w:pStyle w:val="Compact"/>
              <w:jc w:val="left"/>
            </w:pPr>
            <w:r>
              <w:rPr>
                <w:bCs/>
                <w:b/>
              </w:rPr>
              <w:t xml:space="preserve">1,39</w:t>
            </w:r>
          </w:p>
        </w:tc>
        <w:tc>
          <w:tcPr/>
          <w:p>
            <w:pPr>
              <w:pStyle w:val="Compact"/>
              <w:jc w:val="left"/>
            </w:pPr>
            <w:r>
              <w:t xml:space="preserve">10,1</w:t>
            </w:r>
          </w:p>
        </w:tc>
        <w:tc>
          <w:tcPr/>
          <w:p>
            <w:pPr>
              <w:pStyle w:val="Compact"/>
              <w:jc w:val="left"/>
            </w:pPr>
            <w:r>
              <w:t xml:space="preserve">16,6</w:t>
            </w:r>
          </w:p>
        </w:tc>
        <w:tc>
          <w:tcPr/>
          <w:p>
            <w:pPr>
              <w:pStyle w:val="Compact"/>
              <w:jc w:val="left"/>
            </w:pPr>
            <w:r>
              <w:t xml:space="preserve">5,9</w:t>
            </w:r>
          </w:p>
        </w:tc>
      </w:tr>
      <w:tr>
        <w:tc>
          <w:tcPr/>
          <w:p>
            <w:pPr>
              <w:pStyle w:val="Compact"/>
              <w:jc w:val="left"/>
            </w:pPr>
            <w:r>
              <w:t xml:space="preserve">Nhóm VI: SIDS (FJI, PNG, SLB…)</w:t>
            </w:r>
          </w:p>
        </w:tc>
        <w:tc>
          <w:tcPr/>
          <w:p>
            <w:pPr>
              <w:pStyle w:val="Compact"/>
              <w:jc w:val="left"/>
            </w:pPr>
            <w:r>
              <w:t xml:space="preserve">2.038</w:t>
            </w:r>
          </w:p>
        </w:tc>
        <w:tc>
          <w:tcPr/>
          <w:p>
            <w:pPr>
              <w:pStyle w:val="Compact"/>
              <w:jc w:val="left"/>
            </w:pPr>
            <w:r>
              <w:t xml:space="preserve">1,32</w:t>
            </w:r>
          </w:p>
        </w:tc>
        <w:tc>
          <w:tcPr/>
          <w:p>
            <w:pPr>
              <w:pStyle w:val="Compact"/>
              <w:jc w:val="left"/>
            </w:pPr>
            <w:r>
              <w:t xml:space="preserve">6,3</w:t>
            </w:r>
          </w:p>
        </w:tc>
        <w:tc>
          <w:tcPr/>
          <w:p>
            <w:pPr>
              <w:pStyle w:val="Compact"/>
              <w:jc w:val="left"/>
            </w:pPr>
            <w:r>
              <w:t xml:space="preserve">16,3</w:t>
            </w:r>
          </w:p>
        </w:tc>
        <w:tc>
          <w:tcPr/>
          <w:p>
            <w:pPr>
              <w:pStyle w:val="Compact"/>
              <w:jc w:val="left"/>
            </w:pPr>
            <w:r>
              <w:t xml:space="preserve">23,5</w:t>
            </w:r>
          </w:p>
        </w:tc>
      </w:tr>
      <w:tr>
        <w:tc>
          <w:tcPr/>
          <w:p>
            <w:pPr>
              <w:pStyle w:val="Compact"/>
              <w:jc w:val="left"/>
            </w:pPr>
            <w:r>
              <w:rPr>
                <w:bCs/>
                <w:b/>
              </w:rPr>
              <w:t xml:space="preserve">Tổng (phân loại ICRV)</w:t>
            </w:r>
          </w:p>
        </w:tc>
        <w:tc>
          <w:tcPr/>
          <w:p>
            <w:pPr>
              <w:pStyle w:val="Compact"/>
              <w:jc w:val="left"/>
            </w:pPr>
            <w:r>
              <w:rPr>
                <w:bCs/>
                <w:b/>
              </w:rPr>
              <w:t xml:space="preserve">96.415</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Phân tích của tác giả từ World Bank Enterprise Surveys (WBES), 2003–2025.</w:t>
      </w:r>
    </w:p>
    <w:p>
      <w:pPr>
        <w:pStyle w:val="BodyText"/>
      </w:pPr>
      <w:r>
        <w:rPr>
          <w:iCs/>
          <w:i/>
        </w:rPr>
        <w:t xml:space="preserve">Ghi chú: Cột n là số doanh nghiệp được phân loại vào sáu nhóm ICRV trong pool gộp WBES (tổng 96.415; ngoài ra còn ~10.350 doanh nghiệp chưa gán nhóm ICRV do thiếu chỉ số thể chế). Mẫu hồi quy chính của P7 là N = 81.022 (mô hình M2, khung 50 nền gồm Nhật Bản) và giảm còn 79.080 ở M5 khi bổ sung biến kiểm soát (xem §4.6.1), do loại các quan sát thiếu biến phụ thuộc/FSTS. ¹ Độ lệch chuẩn ln(năng suất lao động) tính trong từng cặp nền kinh tế × năm rồi lấy trung vị giữa các đợt của nhóm, bất biến với đơn vị tiền tệ (thừa số quy đổi triệt tiêu trên thang log); năng suất được winsorize 1/99 trong cụm country-year (xem §3.5.3). ² Trung vị Nhóm II bị kéo lên bởi các nền nhỏ; hai nền lớn nhất khối có phân tán hẹp nhất toàn pool (Saudi Arabia 0,49; Qatar 0,33).</w:t>
      </w:r>
    </w:p>
    <w:p>
      <w:pPr>
        <w:pStyle w:val="BodyText"/>
      </w:pPr>
      <w:r>
        <w:rPr>
          <w:iCs/>
          <w:i/>
        </w:rPr>
        <w:t xml:space="preserve">Quy ước nhãn nhóm ICRV (căn theo nhãn dữ liệu P7): Nhóm I = Advanced innovation-driven; Nhóm II = Advanced resource-driven; Nhóm III = Upper-middle;</w:t>
      </w:r>
      <w:r>
        <w:rPr>
          <w:iCs/>
          <w:i/>
        </w:rPr>
        <w:t xml:space="preserve"> </w:t>
      </w:r>
      <w:r>
        <w:rPr>
          <w:bCs/>
          <w:b/>
          <w:iCs/>
          <w:i/>
        </w:rPr>
        <w:t xml:space="preserve">Nhóm IV = Lower-middle transition</w:t>
      </w:r>
      <w:r>
        <w:rPr>
          <w:iCs/>
          <w:i/>
        </w:rPr>
        <w:t xml:space="preserve"> </w:t>
      </w:r>
      <w:r>
        <w:rPr>
          <w:iCs/>
          <w:i/>
        </w:rPr>
        <w:t xml:space="preserve">(</w:t>
      </w:r>
      <w:r>
        <w:rPr>
          <w:rStyle w:val="VerbatimChar"/>
          <w:iCs/>
          <w:i/>
        </w:rPr>
        <w:t xml:space="preserve">Lower_mid_transition</w:t>
      </w:r>
      <w:r>
        <w:rPr>
          <w:iCs/>
          <w:i/>
        </w:rPr>
        <w:t xml:space="preserve">: Bangladesh, Ấn Độ, Indonesia, Mông Cổ, Pakistan, Philippines, Việt Nam);</w:t>
      </w:r>
      <w:r>
        <w:rPr>
          <w:iCs/>
          <w:i/>
        </w:rPr>
        <w:t xml:space="preserve"> </w:t>
      </w:r>
      <w:r>
        <w:rPr>
          <w:bCs/>
          <w:b/>
          <w:iCs/>
          <w:i/>
        </w:rPr>
        <w:t xml:space="preserve">Nhóm V = Emerging</w:t>
      </w:r>
      <w:r>
        <w:rPr>
          <w:iCs/>
          <w:i/>
        </w:rPr>
        <w:t xml:space="preserve"> </w:t>
      </w:r>
      <w:r>
        <w:rPr>
          <w:iCs/>
          <w:i/>
        </w:rPr>
        <w:t xml:space="preserve">(</w:t>
      </w:r>
      <w:r>
        <w:rPr>
          <w:rStyle w:val="VerbatimChar"/>
          <w:iCs/>
          <w:i/>
        </w:rPr>
        <w:t xml:space="preserve">Emerging</w:t>
      </w:r>
      <w:r>
        <w:rPr>
          <w:iCs/>
          <w:i/>
        </w:rPr>
        <w:t xml:space="preserve">: 17 nền gồm Campuchia, Lào, Nepal, Sri Lanka, Jordan…); Nhóm VI = SIDS (</w:t>
      </w:r>
      <w:r>
        <w:rPr>
          <w:rStyle w:val="VerbatimChar"/>
          <w:iCs/>
          <w:i/>
        </w:rPr>
        <w:t xml:space="preserve">SIDS_small</w:t>
      </w:r>
      <w:r>
        <w:rPr>
          <w:iCs/>
          <w:i/>
        </w:rPr>
        <w:t xml:space="preserve">). Hệ nhãn này được dùng thống nhất trong toàn bộ luận án và hai chuyên đề.</w:t>
      </w:r>
    </w:p>
    <w:p>
      <w:pPr>
        <w:pStyle w:val="BodyText"/>
      </w:pPr>
      <w:r>
        <w:t xml:space="preserve">Phát hiện quan trọng nhất từ thực trạng mô tả là sự phân biệt nội bộ trong nhóm Advanced. Hai phân nhóm cùng mức thu nhập cao nhưng đối lập về cấu trúc: nhóm đổi mới sáng tạo dẫn dắt có R&amp;D 21,0%, ISO 32,5% và 24,5% doanh nghiệp xuất khẩu, trong khi nhóm tài nguyên dẫn dắt chỉ có R&amp;D 7,0% và 11,7% doanh nghiệp xuất khẩu (Chuyên đề 1). Về phân phối, hai nền lớn nhất Vùng Vịnh có phân tán năng suất trong đợt hẹp nhất toàn pool (Saudi Arabia 0,49; Qatar 0,33, so với Singapore 1,08, chênh hơn 2 lần), biểu hiện của kinh tế nhà nước tô (rentier economy) nơi phân phối lại từ xuất khẩu dầu mỏ thu hẹp khoảng cách năng suất giữa doanh nghiệp, nhưng không nhất thiết phản ánh hiệu quả doanh nghiệp đáng kể. Điều này gợi ý rằng việc gộp hai loại Advanced vào một nhóm duy nhất (như các nghiên cứu trước thường làm) sẽ che khuất cơ chế quan trọng này.</w:t>
      </w:r>
    </w:p>
    <w:p>
      <w:pPr>
        <w:pStyle w:val="BodyText"/>
      </w:pPr>
      <w:r>
        <w:t xml:space="preserve">Sự gia tăng của độ phân tán năng suất trong đợt theo gradient ICRV (từ ~12 lần lên ~30 lần ở tỷ số P90/P10) không chỉ là một quan sát mô tả mà còn nhất quán với khung lý thuyết phân bổ sai nguồn lực (resource misallocation) của Hsieh và Klenow (2009): trong môi trường thể chế yếu, các rào cản thị trường, tiếp cận tài chính hạn chế, thực thi hợp đồng kém, méo mó chính sách, ngăn nguồn lực dịch chuyển từ doanh nghiệp kém hiệu quả sang doanh nghiệp hiệu quả hơn, khiến phương sai năng suất giữa các doanh nghiệp nới rộng. Theo logic này, độ phân tán năng suất cao ở Nhóm V–VI</w:t>
      </w:r>
      <w:r>
        <w:t xml:space="preserve"> </w:t>
      </w:r>
      <w:r>
        <w:rPr>
          <w:bCs/>
          <w:b/>
        </w:rPr>
        <w:t xml:space="preserve">có thể</w:t>
      </w:r>
      <w:r>
        <w:t xml:space="preserve"> </w:t>
      </w:r>
      <w:r>
        <w:t xml:space="preserve">là dấu hiệu của tổn thất phân bổ (allocative loss) thay vì phản ánh sự đa dạng lành mạnh. Cần lưu ý rằng độ lệch chuẩn của log năng suất lao động chỉ là</w:t>
      </w:r>
      <w:r>
        <w:t xml:space="preserve"> </w:t>
      </w:r>
      <w:r>
        <w:rPr>
          <w:bCs/>
          <w:b/>
        </w:rPr>
        <w:t xml:space="preserve">proxy gián tiếp</w:t>
      </w:r>
      <w:r>
        <w:t xml:space="preserve"> </w:t>
      </w:r>
      <w:r>
        <w:t xml:space="preserve">cho cơ chế phân tán TFPR (năng suất doanh thu) mà Hsieh và Klenow (2009) dùng để định danh misallocation, vì nó còn chịu ảnh hưởng của dị biệt công nghệ, mức thâm dụng vốn và điều kiện cầu; do đó đây là một cách diễn giải</w:t>
      </w:r>
      <w:r>
        <w:t xml:space="preserve"> </w:t>
      </w:r>
      <w:r>
        <w:rPr>
          <w:iCs/>
          <w:i/>
        </w:rPr>
        <w:t xml:space="preserve">nhất quán với</w:t>
      </w:r>
      <w:r>
        <w:t xml:space="preserve"> </w:t>
      </w:r>
      <w:r>
        <w:t xml:space="preserve">khung misallocation chứ không phải bằng chứng phân rã trực tiếp. Dù vậy, hướng diễn giải này có hàm ý chính sách khác hẳn với việc coi phân tán chỉ là nhiễu thống kê. Cần nhấn mạnh rằng các so sánh giữa các nhóm ICRV trong §4.1 mang bản chất</w:t>
      </w:r>
      <w:r>
        <w:t xml:space="preserve"> </w:t>
      </w:r>
      <w:r>
        <w:rPr>
          <w:bCs/>
          <w:b/>
        </w:rPr>
        <w:t xml:space="preserve">mô tả</w:t>
      </w:r>
      <w:r>
        <w:t xml:space="preserve">; xác nhận</w:t>
      </w:r>
      <w:r>
        <w:t xml:space="preserve"> </w:t>
      </w:r>
      <w:r>
        <w:rPr>
          <w:bCs/>
          <w:b/>
        </w:rPr>
        <w:t xml:space="preserve">suy diễn</w:t>
      </w:r>
      <w:r>
        <w:t xml:space="preserve"> </w:t>
      </w:r>
      <w:r>
        <w:t xml:space="preserve">rằng khác biệt giữa các chế độ thể chế có ý nghĩa thống kê được cung cấp ở hai cấp độ độc lập trong các phần sau của chương: kiểm định điều tiết ICRV của meta-analysis P6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§4.2.3) và gradient điểm uốn theo ICRV của mô hình hồi quy đa quốc gia P7 (§4.6.2). Hai nguồn bằng chứng này bảo đảm bức tranh thực trạng mô tả được neo vào bằng chứng suy diễn nhất quán, thay vì dừng lại ở so sánh trung bình–độ lệch chuẩn.</w:t>
      </w:r>
    </w:p>
    <w:bookmarkEnd w:id="125"/>
    <w:bookmarkStart w:id="126" w:name="X8bec3537640f28bf435d79e17219bfe20c234df"/>
    <w:p>
      <w:pPr>
        <w:pStyle w:val="Heading3"/>
      </w:pPr>
      <w:r>
        <w:t xml:space="preserve">4.1.2 Thực trạng quốc tế hóa: phân cực tham gia xuất khẩu</w:t>
      </w:r>
    </w:p>
    <w:p>
      <w:pPr>
        <w:pStyle w:val="FirstParagraph"/>
      </w:pPr>
      <w:r>
        <w:t xml:space="preserve">Trung vị FSTS bằng 0% trong tất cả các phân nhóm, chỉ 15–23% doanh nghiệp tham gia xuất khẩu tùy theo bối cảnh. Phân phối FSTS có dạng phân cực mạnh: đại đa số không xuất khẩu, trong khi một thiểu số nhỏ có tỷ lệ xuất khẩu rất cao. Phân cực này đặt ra vấn đề phương pháp quan trọng cho nghiên cứu I–P: kết quả hồi quy trên toàn mẫu bị kéo bởi hành vi của thiểu số xuất khẩu tích cực.</w:t>
      </w:r>
    </w:p>
    <w:p>
      <w:pPr>
        <w:pStyle w:val="BodyText"/>
      </w:pPr>
      <w:r>
        <w:t xml:space="preserve">Cường độ quốc tế hóa (FSTS trung bình, tính trên toàn mẫu gồm cả doanh nghiệp không xuất khẩu) dao động từ 6,3% (SIDS) đến 10,3% (Upper-middle), với mức trung bình khu vực khoảng 8,8%. Điều đáng chú ý là Upper-middle và Advanced có cùng FSTS trung bình (~10%) nhưng cơ chế xuất khẩu hoàn toàn khác: Advanced chủ yếu dịch vụ và hàng hóa hàm lượng tri thức cao; Upper-middle chủ yếu sản xuất theo chuỗi giá trị toàn cầu với biên lợi nhuận khác nhau.</w:t>
      </w:r>
    </w:p>
    <w:bookmarkEnd w:id="126"/>
    <w:bookmarkStart w:id="127" w:name="thực-trạng-năng-lực-số-và-công-nghệ"/>
    <w:p>
      <w:pPr>
        <w:pStyle w:val="Heading3"/>
      </w:pPr>
      <w:r>
        <w:t xml:space="preserve">4.1.3 Thực trạng năng lực số và công nghệ</w:t>
      </w:r>
    </w:p>
    <w:p>
      <w:pPr>
        <w:pStyle w:val="FirstParagraph"/>
      </w:pPr>
      <w:r>
        <w:t xml:space="preserve">Phân tích năm thành phần năng lực (đổi mới sản phẩm, đổi mới quy trình, R&amp;D, ISO, website) theo phân nhóm con ICRV cho thấy sự đa dạng đáng kể.</w:t>
      </w:r>
    </w:p>
    <w:p>
      <w:pPr>
        <w:pStyle w:val="BodyText"/>
      </w:pPr>
      <w:r>
        <w:rPr>
          <w:bCs/>
          <w:b/>
        </w:rPr>
        <w:t xml:space="preserve">Bảng 4.2.</w:t>
      </w:r>
      <w:r>
        <w:t xml:space="preserve"> </w:t>
      </w:r>
      <w:r>
        <w:rPr>
          <w:iCs/>
          <w:i/>
        </w:rPr>
        <w:t xml:space="preserve">Đổi mới sáng tạo và chấp nhận số theo phân nhóm con ICRV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(nhãn dữ liệu)</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 (DAI Tier-1)</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 (GCC)</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SIDS</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Phân tích của tác giả từ WBES, 2003–2025.</w:t>
      </w:r>
    </w:p>
    <w:p>
      <w:pPr>
        <w:pStyle w:val="BodyText"/>
      </w:pPr>
      <w:r>
        <w:rPr>
          <w:iCs/>
          <w:i/>
        </w:rPr>
        <w:t xml:space="preserve">Ghi chú: Bảng 4.2 được tính trực tiếp từ dữ liệu thô WBES trên khung 50 nền (một cross-section chuẩn cho mỗi cặp nền kinh tế × năm, đợt khảo sát ≥ 2006), với các chỉ báo chuẩn của bộ công cụ WBES toàn cầu: đổi mới sản phẩm (h1), đổi mới quy trình (h5), chi R&amp;D (h8), chứng nhận chất lượng quốc tế (b8) và website (c22b). Toàn bộ sáu nhóm ICRV đều có độ phủ dữ liệu đầy đủ, kể cả Nhóm II (đủ 6/6 nền GCC). Gradient năng lực thể chế thể hiện rõ ở các biến nền tảng: R&amp;D 21,0% (Nhóm I) xuống 10,2% (Nhóm VI); ISO 32,5% xuống 12,2%; website 69,2% xuống 41,5%. Bộ số này nhất quán với phân tích thực trạng ở Chuyên đề 1.</w:t>
      </w:r>
    </w:p>
    <w:p>
      <w:pPr>
        <w:pStyle w:val="BodyText"/>
      </w:pPr>
      <w:r>
        <w:t xml:space="preserve">Phát hiện đáng chú ý là pattern</w:t>
      </w:r>
      <w:r>
        <w:t xml:space="preserve"> </w:t>
      </w:r>
      <w:r>
        <w:t xml:space="preserve">“</w:t>
      </w:r>
      <w:r>
        <w:t xml:space="preserve">thích nghi và nhảy vọt</w:t>
      </w:r>
      <w:r>
        <w:t xml:space="preserve">”</w:t>
      </w:r>
      <w:r>
        <w:t xml:space="preserve"> </w:t>
      </w:r>
      <w:r>
        <w:t xml:space="preserve">(adaptive leapfrogging) ở SIDS: với dữ liệu raw đủ 8/8 nền Nhóm VI, SIDS có</w:t>
      </w:r>
      <w:r>
        <w:t xml:space="preserve"> </w:t>
      </w:r>
      <w:r>
        <w:rPr>
          <w:bCs/>
          <w:b/>
        </w:rPr>
        <w:t xml:space="preserve">tỷ lệ đổi mới sản phẩm cao nhất mọi nhóm (34,2%)</w:t>
      </w:r>
      <w:r>
        <w:t xml:space="preserve"> </w:t>
      </w:r>
      <w:r>
        <w:t xml:space="preserve">và đổi mới quy trình cao nhất (24,7%), trong khi website (41,5%) ngang nhóm Đang nổi (40,9%) dù GNI thấp hơn đáng kể, phản ánh đổi mới bằng nguồn lực hạn chế (frugal innovation) như công cụ sinh tồn chứ không phải tối ưu hóa hiệu quả. Kết quả này hỗ trợ lập luận lý thuyết về sự phân biệt giữa DAI (chấp nhận số bề mặt) và TCI (năng lực công nghệ chiều sâu): SIDS đổi mới/áp dụng số ở bề mặt cao nhưng năng lực công nghệ chiều sâu (R&amp;D 10,2%, ISO 12,2%) thấp nhất, và đây là nhóm duy nhất có quan hệ I–P âm đơn điệu (FIP).</w:t>
      </w:r>
    </w:p>
    <w:p>
      <w:pPr>
        <w:pStyle w:val="BodyText"/>
      </w:pPr>
      <w:r>
        <w:t xml:space="preserve">Một biểu hiện khác của bão hòa Tier-1 nằm ở tương quan giữa website và năng suất: phần bù tương quan của DAI Tier-1 thấp nhất ở nhóm Advanced đổi mới (+0,090, so với +0,180–0,201 ở các nhóm chuyển đổi và tài nguyên, Chuyên đề 1, Bảng 2.3.8.1) dù tỷ lệ có website của nhóm này cao (69,2%). Khi một chỉ báo nhị phân tiệm cận bão hòa, phương sai của nó co lại và nhóm</w:t>
      </w:r>
      <w:r>
        <w:t xml:space="preserve"> </w:t>
      </w:r>
      <w:r>
        <w:t xml:space="preserve">“</w:t>
      </w:r>
      <w:r>
        <w:t xml:space="preserve">không website</w:t>
      </w:r>
      <w:r>
        <w:t xml:space="preserve">”</w:t>
      </w:r>
      <w:r>
        <w:t xml:space="preserve"> </w:t>
      </w:r>
      <w:r>
        <w:t xml:space="preserve">còn lại mang tính chọn lọc đặc thù, nên hệ số đo được phản ánh giới hạn của thước đo Tier-1 nhiều hơn là giới hạn của số hóa, một vấn đề đo lường cần phân biệt với quan hệ nhân quả thực.</w:t>
      </w:r>
    </w:p>
    <w:bookmarkEnd w:id="127"/>
    <w:bookmarkStart w:id="128" w:name="Xb62897d6a910d3bf4cd9f1b24b608b7e1128a7f"/>
    <w:p>
      <w:pPr>
        <w:pStyle w:val="Heading3"/>
      </w:pPr>
      <w:r>
        <w:t xml:space="preserve">4.1.4 Bốn rào cản cấu trúc ảnh hưởng đến quốc tế hóa và hiệu quả</w:t>
      </w:r>
    </w:p>
    <w:p>
      <w:pPr>
        <w:pStyle w:val="FirstParagraph"/>
      </w:pPr>
      <w:r>
        <w:t xml:space="preserve">Phân tích thực trạng xác định bốn rào cản cấu trúc phổ biến nhất ảnh hưởng đến khả năng quốc tế hóa và hiệu quả doanh nghiệp tại châu Á: (i) tiếp cận tài chính hạn chế, đặc biệt nghiêm trọng ở Emerging và Lower-middle transition (Nhóm V–IV); (ii) thiếu hụt lao động có kỹ năng; (iii) cạnh tranh từ doanh nghiệp phi chính thức; và (iv) nguồn cung điện không đáng tin cậy. Bốn rào cản này hình thành</w:t>
      </w:r>
      <w:r>
        <w:t xml:space="preserve"> </w:t>
      </w:r>
      <w:r>
        <w:t xml:space="preserve">“</w:t>
      </w:r>
      <w:r>
        <w:t xml:space="preserve">institutional voids</w:t>
      </w:r>
      <w:r>
        <w:t xml:space="preserve">”</w:t>
      </w:r>
      <w:r>
        <w:t xml:space="preserve"> </w:t>
      </w:r>
      <w:r>
        <w:t xml:space="preserve">(Khanna &amp; Palepu, 2010) tạo ra chi phí giao dịch bổ sung cho doanh nghiệp khi mở rộng hoạt động ra ngoài biên giới. Sự hiện diện đồng thời của nhiều voids tại Emerging và SIDS giải thích tại sao quan hệ I–P ở các nhóm này yếu hoặc âm.</w:t>
      </w:r>
    </w:p>
    <w:bookmarkEnd w:id="128"/>
    <w:bookmarkStart w:id="129" w:name="X31dbb247e18ca668fe6216e3f13d76006df1ea1"/>
    <w:p>
      <w:pPr>
        <w:pStyle w:val="Heading3"/>
      </w:pPr>
      <w:r>
        <w:t xml:space="preserve">4.1.5 Nhật Bản 2025: Lần đầu tiên được khảo sát và vị trí trong khung ICRV</w:t>
      </w:r>
    </w:p>
    <w:p>
      <w:pPr>
        <w:pStyle w:val="FirstParagraph"/>
      </w:pPr>
      <w:r>
        <w:t xml:space="preserve">Một sự kiện dữ liệu đáng chú ý của giai đoạn nghiên cứu là việc Nhật Bản lần đầu tiên được đưa vào Khảo sát Doanh nghiệp của Ngân hàng Thế giới năm 2025, với mẫu</w:t>
      </w:r>
      <w:r>
        <w:t xml:space="preserve"> </w:t>
      </w:r>
      <m:oMath>
        <m:r>
          <m:t>N</m:t>
        </m:r>
        <m:r>
          <m:rPr>
            <m:sty m:val="p"/>
          </m:rPr>
          <m:t>=</m:t>
        </m:r>
        <m:r>
          <m:t>2.168</m:t>
        </m:r>
      </m:oMath>
      <w:r>
        <w:t xml:space="preserve"> </w:t>
      </w:r>
      <w:r>
        <w:t xml:space="preserve">doanh nghiệp. Nhật Bản là</w:t>
      </w:r>
      <w:r>
        <w:t xml:space="preserve"> </w:t>
      </w:r>
      <w:r>
        <w:rPr>
          <w:bCs/>
          <w:b/>
        </w:rPr>
        <w:t xml:space="preserve">thành viên thứ sáu của Nhóm I</w:t>
      </w:r>
      <w:r>
        <w:t xml:space="preserve"> </w:t>
      </w:r>
      <w:r>
        <w:t xml:space="preserve">(Advanced đổi mới sáng tạo dẫn dắt) và là nền kinh tế tiên tiến lớn cuối cùng gia nhập bộ dữ liệu WBES, cung cấp một điểm neo quý giá cho biên trên của gradient thể chế. Nhật Bản được tích hợp đầy đủ vào khung mô tả 50 nền của chuyên đề thực trạng (Chuyên đề 1) và mọi thống kê Nhóm I trong luận án. Về phía ước lượng kinh tế lượng,</w:t>
      </w:r>
      <w:r>
        <w:t xml:space="preserve"> </w:t>
      </w:r>
      <w:r>
        <w:rPr>
          <w:bCs/>
          <w:b/>
        </w:rPr>
        <w:t xml:space="preserve">điểm uốn toàn mẫu P7 đã được tái ước lượng trên khung 50 nền bao gồm Nhật Bản</w:t>
      </w:r>
      <w:r>
        <w:t xml:space="preserve"> </w:t>
      </w:r>
      <w:r>
        <w:t xml:space="preserve">(2.168 doanh nghiệp Nhật trong khung phân tích 88.869; mẫu hồi quy chính M2 N = 81.022, M5 N = 79.080; xem §4.6), nên các kết quả P7 trong luận án đã phản ánh Nhật Bản. Hai nghiên cứu thành phần còn lại là pool con riêng không liên quan Nhật Bản: P8 (FIP) trên 7 nền Pacific SIDS và P9 (ngưỡng) trên Ấn Độ. Ngoài ra, nghiên cứu thành phần P10 kiểm định chuyên sâu quan hệ I–P tại Nhật Bản (xem §4.6.2). Toàn bộ số liệu dưới đây được tính trực tiếp từ tệp vi mô gốc.</w:t>
      </w:r>
    </w:p>
    <w:p>
      <w:pPr>
        <w:pStyle w:val="BodyText"/>
      </w:pPr>
      <w:r>
        <w:rPr>
          <w:bCs/>
          <w:b/>
        </w:rPr>
        <w:t xml:space="preserve">Bảng 4.3.</w:t>
      </w:r>
      <w:r>
        <w:t xml:space="preserve"> </w:t>
      </w:r>
      <w:r>
        <w:rPr>
          <w:iCs/>
          <w:i/>
        </w:rPr>
        <w:t xml:space="preserve">Đặc trưng doanh nghiệp Nhật Bản 2025 so với năm nền còn lại của Nhóm I (Advanced đổi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Chỉ tiêu</w:t>
            </w:r>
          </w:p>
        </w:tc>
        <w:tc>
          <w:tcPr/>
          <w:p>
            <w:pPr>
              <w:pStyle w:val="Compact"/>
              <w:jc w:val="right"/>
            </w:pPr>
            <w:r>
              <w:t xml:space="preserve">Nhật Bản 2025</w:t>
            </w:r>
          </w:p>
        </w:tc>
        <w:tc>
          <w:tcPr/>
          <w:p>
            <w:pPr>
              <w:pStyle w:val="Compact"/>
              <w:jc w:val="right"/>
            </w:pPr>
            <w:r>
              <w:t xml:space="preserve">5 nền Nhóm I còn lại</w:t>
            </w:r>
          </w:p>
        </w:tc>
      </w:tr>
      <w:tr>
        <w:tc>
          <w:tcPr/>
          <w:p>
            <w:pPr>
              <w:pStyle w:val="Compact"/>
              <w:jc w:val="left"/>
            </w:pPr>
            <w:r>
              <w:t xml:space="preserve">n doanh nghiệp</w:t>
            </w:r>
          </w:p>
        </w:tc>
        <w:tc>
          <w:tcPr/>
          <w:p>
            <w:pPr>
              <w:pStyle w:val="Compact"/>
              <w:jc w:val="right"/>
            </w:pPr>
            <w:r>
              <w:t xml:space="preserve">2.168</w:t>
            </w:r>
          </w:p>
        </w:tc>
        <w:tc>
          <w:tcPr/>
          <w:p>
            <w:pPr>
              <w:pStyle w:val="Compact"/>
              <w:jc w:val="right"/>
            </w:pPr>
            <w:r>
              <w:t xml:space="preserve">4.222</w:t>
            </w:r>
          </w:p>
        </w:tc>
      </w:tr>
      <w:tr>
        <w:tc>
          <w:tcPr/>
          <w:p>
            <w:pPr>
              <w:pStyle w:val="Compact"/>
              <w:jc w:val="left"/>
            </w:pPr>
            <w:r>
              <w:t xml:space="preserve">sd ln(LP) trong đợt</w:t>
            </w:r>
          </w:p>
        </w:tc>
        <w:tc>
          <w:tcPr/>
          <w:p>
            <w:pPr>
              <w:pStyle w:val="Compact"/>
              <w:jc w:val="right"/>
            </w:pPr>
            <w:r>
              <w:rPr>
                <w:bCs/>
                <w:b/>
              </w:rPr>
              <w:t xml:space="preserve">0,89</w:t>
            </w:r>
          </w:p>
        </w:tc>
        <w:tc>
          <w:tcPr/>
          <w:p>
            <w:pPr>
              <w:pStyle w:val="Compact"/>
              <w:jc w:val="right"/>
            </w:pPr>
            <w:r>
              <w:t xml:space="preserve">1,04</w:t>
            </w:r>
          </w:p>
        </w:tc>
      </w:tr>
      <w:tr>
        <w:tc>
          <w:tcPr/>
          <w:p>
            <w:pPr>
              <w:pStyle w:val="Compact"/>
              <w:jc w:val="left"/>
            </w:pPr>
            <w:r>
              <w:t xml:space="preserve">P90/P10 năng suất</w:t>
            </w:r>
          </w:p>
        </w:tc>
        <w:tc>
          <w:tcPr/>
          <w:p>
            <w:pPr>
              <w:pStyle w:val="Compact"/>
              <w:jc w:val="right"/>
            </w:pPr>
            <w:r>
              <w:rPr>
                <w:bCs/>
                <w:b/>
              </w:rPr>
              <w:t xml:space="preserve">8,3</w:t>
            </w:r>
          </w:p>
        </w:tc>
        <w:tc>
          <w:tcPr/>
          <w:p>
            <w:pPr>
              <w:pStyle w:val="Compact"/>
              <w:jc w:val="right"/>
            </w:pPr>
            <w:r>
              <w:t xml:space="preserve">12,2</w:t>
            </w:r>
          </w:p>
        </w:tc>
      </w:tr>
      <w:tr>
        <w:tc>
          <w:tcPr/>
          <w:p>
            <w:pPr>
              <w:pStyle w:val="Compact"/>
              <w:jc w:val="left"/>
            </w:pPr>
            <w:r>
              <w:t xml:space="preserve">FSTS trung bình (%)</w:t>
            </w:r>
          </w:p>
        </w:tc>
        <w:tc>
          <w:tcPr/>
          <w:p>
            <w:pPr>
              <w:pStyle w:val="Compact"/>
              <w:jc w:val="right"/>
            </w:pPr>
            <w:r>
              <w:t xml:space="preserve">4,1</w:t>
            </w:r>
          </w:p>
        </w:tc>
        <w:tc>
          <w:tcPr/>
          <w:p>
            <w:pPr>
              <w:pStyle w:val="Compact"/>
              <w:jc w:val="right"/>
            </w:pPr>
            <w:r>
              <w:t xml:space="preserve">13,4</w:t>
            </w:r>
          </w:p>
        </w:tc>
      </w:tr>
      <w:tr>
        <w:tc>
          <w:tcPr/>
          <w:p>
            <w:pPr>
              <w:pStyle w:val="Compact"/>
              <w:jc w:val="left"/>
            </w:pPr>
            <w:r>
              <w:t xml:space="preserve">Doanh nghiệp xuất khẩu (%)</w:t>
            </w:r>
          </w:p>
        </w:tc>
        <w:tc>
          <w:tcPr/>
          <w:p>
            <w:pPr>
              <w:pStyle w:val="Compact"/>
              <w:jc w:val="right"/>
            </w:pPr>
            <w:r>
              <w:t xml:space="preserve">16,5</w:t>
            </w:r>
          </w:p>
        </w:tc>
        <w:tc>
          <w:tcPr/>
          <w:p>
            <w:pPr>
              <w:pStyle w:val="Compact"/>
              <w:jc w:val="right"/>
            </w:pPr>
            <w:r>
              <w:t xml:space="preserve">28,4</w:t>
            </w:r>
          </w:p>
        </w:tc>
      </w:tr>
      <w:tr>
        <w:tc>
          <w:tcPr/>
          <w:p>
            <w:pPr>
              <w:pStyle w:val="Compact"/>
              <w:jc w:val="left"/>
            </w:pPr>
            <w:r>
              <w:t xml:space="preserve">FDI ≥ 10% (%)</w:t>
            </w:r>
          </w:p>
        </w:tc>
        <w:tc>
          <w:tcPr/>
          <w:p>
            <w:pPr>
              <w:pStyle w:val="Compact"/>
              <w:jc w:val="right"/>
            </w:pPr>
            <w:r>
              <w:rPr>
                <w:bCs/>
                <w:b/>
              </w:rPr>
              <w:t xml:space="preserve">1,9</w:t>
            </w:r>
          </w:p>
        </w:tc>
        <w:tc>
          <w:tcPr/>
          <w:p>
            <w:pPr>
              <w:pStyle w:val="Compact"/>
              <w:jc w:val="right"/>
            </w:pPr>
            <w:r>
              <w:t xml:space="preserve">10,6</w:t>
            </w:r>
          </w:p>
        </w:tc>
      </w:tr>
      <w:tr>
        <w:tc>
          <w:tcPr/>
          <w:p>
            <w:pPr>
              <w:pStyle w:val="Compact"/>
              <w:jc w:val="left"/>
            </w:pPr>
            <w:r>
              <w:t xml:space="preserve">Website (%)</w:t>
            </w:r>
          </w:p>
        </w:tc>
        <w:tc>
          <w:tcPr/>
          <w:p>
            <w:pPr>
              <w:pStyle w:val="Compact"/>
              <w:jc w:val="right"/>
            </w:pPr>
            <w:r>
              <w:rPr>
                <w:bCs/>
                <w:b/>
              </w:rPr>
              <w:t xml:space="preserve">83,8</w:t>
            </w:r>
          </w:p>
        </w:tc>
        <w:tc>
          <w:tcPr/>
          <w:p>
            <w:pPr>
              <w:pStyle w:val="Compact"/>
              <w:jc w:val="right"/>
            </w:pPr>
            <w:r>
              <w:t xml:space="preserve">61,7</w:t>
            </w:r>
          </w:p>
        </w:tc>
      </w:tr>
      <w:tr>
        <w:tc>
          <w:tcPr/>
          <w:p>
            <w:pPr>
              <w:pStyle w:val="Compact"/>
              <w:jc w:val="left"/>
            </w:pPr>
            <w:r>
              <w:t xml:space="preserve">R&amp;D (%)</w:t>
            </w:r>
          </w:p>
        </w:tc>
        <w:tc>
          <w:tcPr/>
          <w:p>
            <w:pPr>
              <w:pStyle w:val="Compact"/>
              <w:jc w:val="right"/>
            </w:pPr>
            <w:r>
              <w:t xml:space="preserve">21,9</w:t>
            </w:r>
          </w:p>
        </w:tc>
        <w:tc>
          <w:tcPr/>
          <w:p>
            <w:pPr>
              <w:pStyle w:val="Compact"/>
              <w:jc w:val="right"/>
            </w:pPr>
            <w:r>
              <w:t xml:space="preserve">20,5</w:t>
            </w:r>
          </w:p>
        </w:tc>
      </w:tr>
      <w:tr>
        <w:tc>
          <w:tcPr/>
          <w:p>
            <w:pPr>
              <w:pStyle w:val="Compact"/>
              <w:jc w:val="left"/>
            </w:pPr>
            <w:r>
              <w:t xml:space="preserve">ISO (%)</w:t>
            </w:r>
          </w:p>
        </w:tc>
        <w:tc>
          <w:tcPr/>
          <w:p>
            <w:pPr>
              <w:pStyle w:val="Compact"/>
              <w:jc w:val="right"/>
            </w:pPr>
            <w:r>
              <w:t xml:space="preserve">27,7</w:t>
            </w:r>
          </w:p>
        </w:tc>
        <w:tc>
          <w:tcPr/>
          <w:p>
            <w:pPr>
              <w:pStyle w:val="Compact"/>
              <w:jc w:val="right"/>
            </w:pPr>
            <w:r>
              <w:t xml:space="preserve">35,0</w:t>
            </w:r>
          </w:p>
        </w:tc>
      </w:tr>
      <w:tr>
        <w:tc>
          <w:tcPr/>
          <w:p>
            <w:pPr>
              <w:pStyle w:val="Compact"/>
              <w:jc w:val="left"/>
            </w:pPr>
            <w:r>
              <w:t xml:space="preserve">Đổi mới sản phẩm (%)</w:t>
            </w:r>
          </w:p>
        </w:tc>
        <w:tc>
          <w:tcPr/>
          <w:p>
            <w:pPr>
              <w:pStyle w:val="Compact"/>
              <w:jc w:val="right"/>
            </w:pPr>
            <w:r>
              <w:t xml:space="preserve">32,2</w:t>
            </w:r>
          </w:p>
        </w:tc>
        <w:tc>
          <w:tcPr/>
          <w:p>
            <w:pPr>
              <w:pStyle w:val="Compact"/>
              <w:jc w:val="right"/>
            </w:pPr>
            <w:r>
              <w:t xml:space="preserve">24,3</w:t>
            </w:r>
          </w:p>
        </w:tc>
      </w:tr>
      <w:tr>
        <w:tc>
          <w:tcPr/>
          <w:p>
            <w:pPr>
              <w:pStyle w:val="Compact"/>
              <w:jc w:val="left"/>
            </w:pPr>
            <w:r>
              <w:t xml:space="preserve">Nữ quản lý cấp cao (%)</w:t>
            </w:r>
          </w:p>
        </w:tc>
        <w:tc>
          <w:tcPr/>
          <w:p>
            <w:pPr>
              <w:pStyle w:val="Compact"/>
              <w:jc w:val="right"/>
            </w:pPr>
            <w:r>
              <w:rPr>
                <w:bCs/>
                <w:b/>
              </w:rPr>
              <w:t xml:space="preserve">7,3</w:t>
            </w:r>
          </w:p>
        </w:tc>
        <w:tc>
          <w:tcPr/>
          <w:p>
            <w:pPr>
              <w:pStyle w:val="Compact"/>
              <w:jc w:val="right"/>
            </w:pPr>
            <w:r>
              <w:t xml:space="preserve">27,5</w:t>
            </w:r>
          </w:p>
        </w:tc>
      </w:tr>
      <w:tr>
        <w:tc>
          <w:tcPr/>
          <w:p>
            <w:pPr>
              <w:pStyle w:val="Compact"/>
              <w:jc w:val="left"/>
            </w:pPr>
            <w:r>
              <w:t xml:space="preserve">Tuổi doanh nghiệp trung bình (năm)</w:t>
            </w:r>
          </w:p>
        </w:tc>
        <w:tc>
          <w:tcPr/>
          <w:p>
            <w:pPr>
              <w:pStyle w:val="Compact"/>
              <w:jc w:val="right"/>
            </w:pPr>
            <w:r>
              <w:rPr>
                <w:bCs/>
                <w:b/>
              </w:rPr>
              <w:t xml:space="preserve">50,4</w:t>
            </w:r>
          </w:p>
        </w:tc>
        <w:tc>
          <w:tcPr/>
          <w:p>
            <w:pPr>
              <w:pStyle w:val="Compact"/>
              <w:jc w:val="right"/>
            </w:pPr>
            <w:r>
              <w:t xml:space="preserve">23,0</w:t>
            </w:r>
          </w:p>
        </w:tc>
      </w:tr>
    </w:tbl>
    <w:p>
      <w:pPr>
        <w:pStyle w:val="BodyText"/>
      </w:pPr>
      <w:r>
        <w:rPr>
          <w:iCs/>
          <w:i/>
        </w:rPr>
        <w:t xml:space="preserve">Nguồn: tính trực tiếp từ</w:t>
      </w:r>
      <w:r>
        <w:rPr>
          <w:iCs/>
          <w:i/>
        </w:rPr>
        <w:t xml:space="preserve"> </w:t>
      </w:r>
      <w:r>
        <w:rPr>
          <w:rStyle w:val="VerbatimChar"/>
          <w:iCs/>
          <w:i/>
        </w:rPr>
        <w:t xml:space="preserve">Japan-2025-full-data.dta</w:t>
      </w:r>
      <w:r>
        <w:rPr>
          <w:iCs/>
          <w:i/>
        </w:rPr>
        <w:t xml:space="preserve"> </w:t>
      </w:r>
      <w:r>
        <w:rPr>
          <w:iCs/>
          <w:i/>
        </w:rPr>
        <w:t xml:space="preserve">(WBES) và pool mô tả của năm nền còn lại Nhóm I. FSTS = d3b + d3c.</w:t>
      </w:r>
    </w:p>
    <w:p>
      <w:pPr>
        <w:pStyle w:val="BodyText"/>
      </w:pPr>
      <w:r>
        <w:t xml:space="preserve">Bốn đặc trưng nổi bật định vị Nhật Bản trong khung ICRV. Thứ nhất,</w:t>
      </w:r>
      <w:r>
        <w:t xml:space="preserve"> </w:t>
      </w:r>
      <w:r>
        <w:rPr>
          <w:bCs/>
          <w:b/>
        </w:rPr>
        <w:t xml:space="preserve">phân tán năng suất hẹp nhất</w:t>
      </w:r>
      <w:r>
        <w:t xml:space="preserve">: độ lệch chuẩn ln năng suất trong đợt của Nhật (0,89) thấp hơn mức trung vị của năm nền còn lại Nhóm I (1,04), và tỷ số P90/P10 chỉ 8,3 lần so với 12,2 lần, phản ánh một nền kinh tế tiên tiến trưởng thành với sàn năng suất cao và đồng đều. Đặc điểm này củng cố trực tiếp logic</w:t>
      </w:r>
      <w:r>
        <w:t xml:space="preserve"> </w:t>
      </w:r>
      <w:r>
        <w:t xml:space="preserve">“</w:t>
      </w:r>
      <w:r>
        <w:t xml:space="preserve">bão hòa Tier-1</w:t>
      </w:r>
      <w:r>
        <w:t xml:space="preserve">”</w:t>
      </w:r>
      <w:r>
        <w:t xml:space="preserve"> </w:t>
      </w:r>
      <w:r>
        <w:t xml:space="preserve">của khung CDCM: ở nền kinh tế đồng đều và số hóa cao, dư địa để hiện diện số cơ bản tạo khác biệt năng suất là rất hẹp. Thứ hai,</w:t>
      </w:r>
      <w:r>
        <w:t xml:space="preserve"> </w:t>
      </w:r>
      <w:r>
        <w:rPr>
          <w:bCs/>
          <w:b/>
        </w:rPr>
        <w:t xml:space="preserve">số hóa trưởng thành nhất</w:t>
      </w:r>
      <w:r>
        <w:t xml:space="preserve">: tỷ lệ có website 83,8% là cao nhất trong toàn bộ pool, vượt xa mức 61,7% của năm nền còn lại Nhóm I. Thứ ba,</w:t>
      </w:r>
      <w:r>
        <w:t xml:space="preserve"> </w:t>
      </w:r>
      <w:r>
        <w:rPr>
          <w:bCs/>
          <w:b/>
        </w:rPr>
        <w:t xml:space="preserve">trường thọ doanh nghiệp</w:t>
      </w:r>
      <w:r>
        <w:t xml:space="preserve">: tuổi trung bình 50,4 năm (so với 23,0 năm của năm nền còn lại Nhóm I) phản ánh cấu trúc doanh nghiệp lâu đời đặc thù của Nhật Bản. Thứ tư,</w:t>
      </w:r>
      <w:r>
        <w:t xml:space="preserve"> </w:t>
      </w:r>
      <w:r>
        <w:rPr>
          <w:bCs/>
          <w:b/>
        </w:rPr>
        <w:t xml:space="preserve">nghịch lý đổi mới–quốc tế hóa và khoảng cách giới</w:t>
      </w:r>
      <w:r>
        <w:t xml:space="preserve">: dù cường độ R&amp;D và đổi mới cao, cường độ quốc tế hóa cấp cơ sở lại thấp (FSTS 4,1%) cùng tỷ lệ sở hữu nước ngoài rất thấp (1,9%), cho thấy hoạt động quốc tế hóa tập trung ở các tập đoàn đa quốc gia lớn chứ không phân bố đều ở mẫu cơ sở; đồng thời tỷ lệ nữ quản lý cấp cao chỉ 7,3%, thấp hơn nhiều so với mức dẫn đầu khu vực Đông Á–Thái Bình Dương, nhất quán với văn liệu về trần kính trong quản trị doanh nghiệp Nhật Bản. Các đặc trưng này được khai thác đầy đủ trong nghiên cứu thành phần P10, kiểm định chuyên sâu quan hệ I–P tại Nhật Bản: kết quả xác nhận quan hệ gần tuyến tính dương (hiệu ứng tuyến tính +0,671, p &lt; 0,001; số hạng bậc hai không ý nghĩa; điểm uốn đại số 90–108% nằm ngoài miền dữ liệu), TCI (+0,100, p &lt; 0,001) và DAI (+0,110, p = 0,028) nâng mặt bằng không uốn đường cong, cùng phần bù trường thọ doanh nghiệp (+0,073, p = 0,007), đúng như dự đoán biên trên của khung ICRV (xem thêm §4.6.2).</w:t>
      </w:r>
    </w:p>
    <w:p>
      <w:r>
        <w:pict>
          <v:rect style="width:0;height:1.5pt" o:hralign="center" o:hrstd="t" o:hr="t"/>
        </w:pict>
      </w:r>
    </w:p>
    <w:bookmarkEnd w:id="129"/>
    <w:bookmarkEnd w:id="130"/>
    <w:bookmarkStart w:id="135" w:name="Xe0084a7c2f7e752cafc4091ca0758f37f91bfa0"/>
    <w:p>
      <w:pPr>
        <w:pStyle w:val="Heading2"/>
      </w:pPr>
      <w:r>
        <w:t xml:space="preserve">4.2 Kết quả tổng hợp định lượng: Meta-analysis ba tầng (P6)</w:t>
      </w:r>
    </w:p>
    <w:bookmarkStart w:id="131" w:name="chỉ-số-hiệu-ứng-tổng-hợp"/>
    <w:p>
      <w:pPr>
        <w:pStyle w:val="Heading3"/>
      </w:pPr>
      <w:r>
        <w:t xml:space="preserve">4.2.1 Chỉ số hiệu ứng tổng hợp</w:t>
      </w:r>
    </w:p>
    <w:p>
      <w:pPr>
        <w:pStyle w:val="FirstParagraph"/>
      </w:pPr>
      <w:r>
        <w:t xml:space="preserve">Phân tích meta-analytic tổng hợp ba tầng (three-level multilevel meta-analysis, MARA) được tiến hành trên tập dữ liệu gồm</w:t>
      </w:r>
      <w:r>
        <w:t xml:space="preserve"> </w:t>
      </w:r>
      <m:oMath>
        <m:r>
          <m:t>k</m:t>
        </m:r>
        <m:r>
          <m:rPr>
            <m:sty m:val="p"/>
          </m:rPr>
          <m:t>=</m:t>
        </m:r>
        <m:r>
          <m:t>238</m:t>
        </m:r>
      </m:oMath>
      <w:r>
        <w:t xml:space="preserve"> </w:t>
      </w:r>
      <w:r>
        <w:t xml:space="preserve">nghiên cứu với tổng cộng K = 288 effect sizes đa dạng theo vùng địa lý, giai đoạn và phương pháp. Kết quả cho thấy hiệu ứng tổng hợp (pooled correlation) là</w:t>
      </w:r>
      <w:r>
        <w:t xml:space="preserve"> </w:t>
      </w:r>
      <m:oMath>
        <m:r>
          <m:t>r</m:t>
        </m:r>
        <m:r>
          <m:rPr>
            <m:sty m:val="p"/>
          </m:rPr>
          <m:t>=</m:t>
        </m:r>
        <m:r>
          <m:t>0</m:t>
        </m:r>
        <m:r>
          <m:rPr>
            <m:sty m:val="p"/>
          </m:rPr>
          <m:t>,</m:t>
        </m:r>
        <m:r>
          <m:t>074</m:t>
        </m:r>
      </m:oMath>
      <w:r>
        <w:t xml:space="preserve">, với khoảng tin cậy 95% dương và có ý nghĩa thống kê. Giá trị</w:t>
      </w:r>
      <w:r>
        <w:t xml:space="preserve"> </w:t>
      </w:r>
      <m:oMath>
        <m:r>
          <m:t>r</m:t>
        </m:r>
      </m:oMath>
      <w:r>
        <w:t xml:space="preserve"> </w:t>
      </w:r>
      <w:r>
        <w:t xml:space="preserve">này khẳng định bức tranh tổng quát từ các meta-analyses trước đây của Bausch và Krist (2007), Kirca et al. (2012), Marano et al. (2016) và Arte và Larimo (2022): mối quan hệ tổng hợp giữa quốc tế hóa và hiệu quả hoạt động là dương nhưng có biên độ khiêm tốn.</w:t>
      </w:r>
    </w:p>
    <w:p>
      <w:pPr>
        <w:pStyle w:val="BodyText"/>
      </w:pPr>
      <w:r>
        <w:t xml:space="preserve">Đặc biệt đáng lưu ý, kết quả P6 hoàn toàn nhất quán với baseline meta-analysis đã công bố tại hội nghị ICBEF 2024, với</w:t>
      </w:r>
      <w:r>
        <w:t xml:space="preserve"> </w:t>
      </w:r>
      <m:oMath>
        <m:r>
          <m:t>k</m:t>
        </m:r>
        <m:r>
          <m:rPr>
            <m:sty m:val="p"/>
          </m:rPr>
          <m:t>=</m:t>
        </m:r>
        <m:r>
          <m:t>113</m:t>
        </m:r>
      </m:oMath>
      <w:r>
        <w:t xml:space="preserve"> </w:t>
      </w:r>
      <w:r>
        <w:t xml:space="preserve">nghiên cứu và</w:t>
      </w:r>
      <w:r>
        <w:t xml:space="preserve"> </w:t>
      </w:r>
      <m:oMath>
        <m:r>
          <m:t>r</m:t>
        </m:r>
        <m:r>
          <m:rPr>
            <m:sty m:val="p"/>
          </m:rPr>
          <m:t>=</m:t>
        </m:r>
        <m:r>
          <m:t>0</m:t>
        </m:r>
        <m:r>
          <m:rPr>
            <m:sty m:val="p"/>
          </m:rPr>
          <m:t>,</m:t>
        </m:r>
        <m:r>
          <m:t>07</m:t>
        </m:r>
      </m:oMath>
      <w:r>
        <w:t xml:space="preserve">, sự hội tụ này tạo ra bằng chứng chéo vững chắc khi mở rộng pool lên gần gấp đôi số nghiên cứu.</w:t>
      </w:r>
    </w:p>
    <w:bookmarkEnd w:id="131"/>
    <w:bookmarkStart w:id="132" w:name="phân-tích-dị-biệt-ba-tầng"/>
    <w:p>
      <w:pPr>
        <w:pStyle w:val="Heading3"/>
      </w:pPr>
      <w:r>
        <w:t xml:space="preserve">4.2.2 Phân tích dị biệt ba tầng</w:t>
      </w:r>
    </w:p>
    <w:p>
      <w:pPr>
        <w:pStyle w:val="FirstParagraph"/>
      </w:pPr>
      <w:r>
        <w:t xml:space="preserve">Kết quả quan trọng nhất của phân tích MARA không phải là giá trị điểm của</w:t>
      </w:r>
      <w:r>
        <w:t xml:space="preserve"> </w:t>
      </w:r>
      <m:oMath>
        <m:r>
          <m:t>r</m:t>
        </m:r>
      </m:oMath>
      <w:r>
        <w:t xml:space="preserve"> </w:t>
      </w:r>
      <w:r>
        <w:t xml:space="preserve">mà là cấu trúc của dị biệt (</w:t>
      </w:r>
      <m:oMath>
        <m:sSup>
          <m:e>
            <m:r>
              <m:t>I</m:t>
            </m:r>
          </m:e>
          <m:sup>
            <m:r>
              <m:t>2</m:t>
            </m:r>
          </m:sup>
        </m:sSup>
      </m:oMath>
      <w:r>
        <w:t xml:space="preserve">). Tổng</w:t>
      </w:r>
      <w:r>
        <w:t xml:space="preserve"> </w:t>
      </w:r>
      <m:oMath>
        <m:sSup>
          <m:e>
            <m:r>
              <m:t>I</m:t>
            </m:r>
          </m:e>
          <m:sup>
            <m:r>
              <m:t>2</m:t>
            </m:r>
          </m:sup>
        </m:sSup>
        <m:r>
          <m:rPr>
            <m:sty m:val="p"/>
          </m:rPr>
          <m:t>=</m:t>
        </m:r>
        <m:r>
          <m:t>62</m:t>
        </m:r>
        <m:r>
          <m:rPr>
            <m:sty m:val="p"/>
          </m:rPr>
          <m:t>,</m:t>
        </m:r>
        <m:r>
          <m:t>4</m:t>
        </m:r>
        <m:r>
          <m:rPr>
            <m:sty m:val="p"/>
          </m:rPr>
          <m:t>%</m:t>
        </m:r>
      </m:oMath>
      <w:r>
        <w:t xml:space="preserve">, cho thấy mức dị biệt đáng kể trong tập hợp 238 nghiên cứu không phải do sai số lấy mẫu. Quan trọng hơn, khi phân tách theo cấu trúc ba tầng:</w:t>
      </w:r>
    </w:p>
    <w:p>
      <w:pPr>
        <w:numPr>
          <w:ilvl w:val="0"/>
          <w:numId w:val="1013"/>
        </w:numPr>
        <w:pStyle w:val="Compact"/>
      </w:pPr>
      <w:r>
        <w:rPr>
          <w:bCs/>
          <w:b/>
        </w:rPr>
        <w:t xml:space="preserve">Tầng 2</w:t>
      </w:r>
      <w:r>
        <w:t xml:space="preserve"> </w:t>
      </w:r>
      <w:r>
        <w:t xml:space="preserve">(between-effect within-study, tức dị biệt giữa các effect-size trong cùng một nghiên cứu): chiếm</w:t>
      </w:r>
      <w:r>
        <w:t xml:space="preserve"> </w:t>
      </w:r>
      <m:oMath>
        <m:r>
          <m:t>54</m:t>
        </m:r>
        <m:r>
          <m:rPr>
            <m:sty m:val="p"/>
          </m:rPr>
          <m:t>,</m:t>
        </m:r>
        <m:r>
          <m:t>1</m:t>
        </m:r>
        <m:r>
          <m:rPr>
            <m:sty m:val="p"/>
          </m:rPr>
          <m:t>%</m:t>
        </m:r>
      </m:oMath>
      <w:r>
        <w:t xml:space="preserve"> </w:t>
      </w:r>
      <w:r>
        <w:t xml:space="preserve">tổng phương sai, đây là nguồn dị biệt chủ đạo.</w:t>
      </w:r>
    </w:p>
    <w:p>
      <w:pPr>
        <w:numPr>
          <w:ilvl w:val="0"/>
          <w:numId w:val="1013"/>
        </w:numPr>
        <w:pStyle w:val="Compact"/>
      </w:pPr>
      <w:r>
        <w:rPr>
          <w:bCs/>
          <w:b/>
        </w:rPr>
        <w:t xml:space="preserve">Tầng 3</w:t>
      </w:r>
      <w:r>
        <w:t xml:space="preserve"> </w:t>
      </w:r>
      <w:r>
        <w:t xml:space="preserve">(between-study, tức dị biệt giữa các nghiên cứu): chỉ chiếm</w:t>
      </w:r>
      <w:r>
        <w:t xml:space="preserve"> </w:t>
      </w:r>
      <m:oMath>
        <m:r>
          <m:t>8</m:t>
        </m:r>
        <m:r>
          <m:rPr>
            <m:sty m:val="p"/>
          </m:rPr>
          <m:t>,</m:t>
        </m:r>
        <m:r>
          <m:t>4</m:t>
        </m:r>
        <m:r>
          <m:rPr>
            <m:sty m:val="p"/>
          </m:rPr>
          <m:t>%</m:t>
        </m:r>
      </m:oMath>
      <w:r>
        <w:t xml:space="preserve">.</w:t>
      </w:r>
    </w:p>
    <w:p>
      <w:pPr>
        <w:pStyle w:val="FirstParagraph"/>
      </w:pPr>
      <w:r>
        <w:t xml:space="preserve">Phát hiện này có hàm ý lý thuyết sâu sắc: heterogeneity trong I–P văn liệu xuất phát chủ yếu từ sự biến thiên</w:t>
      </w:r>
      <w:r>
        <w:t xml:space="preserve"> </w:t>
      </w:r>
      <w:r>
        <w:rPr>
          <w:bCs/>
          <w:b/>
        </w:rPr>
        <w:t xml:space="preserve">bên trong các nghiên cứu</w:t>
      </w:r>
      <w:r>
        <w:t xml:space="preserve"> </w:t>
      </w:r>
      <w:r>
        <w:t xml:space="preserve">(ví dụ: cùng một mẫu doanh nghiệp nhưng dùng các thước đo khác nhau cho cùng cấu trúc cho ra kết quả khác nhau), chứ không phải giữa các nghiên cứu với nhau. Điều này gợi ý rằng sự không nhất quán trong văn liệu I–P phần lớn là vấn đề</w:t>
      </w:r>
      <w:r>
        <w:t xml:space="preserve"> </w:t>
      </w:r>
      <w:r>
        <w:rPr>
          <w:bCs/>
          <w:b/>
        </w:rPr>
        <w:t xml:space="preserve">đo lường và bối cảnh</w:t>
      </w:r>
      <w:r>
        <w:t xml:space="preserve">, không phải là bằng chứng về sự thiếu nhất quán thực sự trong quan hệ nhân quả giữa quốc tế hóa và hiệu quả.</w:t>
      </w:r>
    </w:p>
    <w:bookmarkEnd w:id="132"/>
    <w:bookmarkStart w:id="133" w:name="X0fe7021f65141f72ccca43dd2595712a4bb11b5"/>
    <w:p>
      <w:pPr>
        <w:pStyle w:val="Heading3"/>
      </w:pPr>
      <w:r>
        <w:t xml:space="preserve">4.2.3 Điều tiết bởi chế độ thể chế: ICRV moderation</w:t>
      </w:r>
    </w:p>
    <w:p>
      <w:pPr>
        <w:pStyle w:val="FirstParagraph"/>
      </w:pPr>
      <w:r>
        <w:t xml:space="preserve">Kiểm định điều tiết bằng nhóm chế độ thể chế ICRV (Institutional Context Regime Variation) cho kết quả có ý nghĩa thống kê:</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Điều này xác nhận rằng chế độ thể chế, được phân loại thành sáu nhóm từ Advanced Innovation-Driven (Nhóm I: Singapore, Hong Kong, Đài Loan, Hàn Quốc) đến SIDS (Nhóm VI), là biến điều tiết có ý nghĩa thực sự cho mối quan hệ tổng hợp I–P trong văn liệu. Kiểm định</w:t>
      </w:r>
      <w:r>
        <w:t xml:space="preserve"> </w:t>
      </w:r>
      <m:oMath>
        <m:sSub>
          <m:e>
            <m:r>
              <m:t>Q</m:t>
            </m:r>
          </m:e>
          <m:sub>
            <m:r>
              <m:t>M</m:t>
            </m:r>
          </m:sub>
        </m:sSub>
      </m:oMath>
      <w:r>
        <w:t xml:space="preserve"> </w:t>
      </w:r>
      <w:r>
        <w:t xml:space="preserve">vượt ngưỡng tới hạn (</w:t>
      </w:r>
      <m:oMath>
        <m:r>
          <m:t>p</m:t>
        </m:r>
        <m:r>
          <m:rPr>
            <m:sty m:val="p"/>
          </m:rPr>
          <m:t>=</m:t>
        </m:r>
        <m:r>
          <m:rPr>
            <m:sty m:val="p"/>
          </m:rPr>
          <m:t>,</m:t>
        </m:r>
        <m:r>
          <m:t>002</m:t>
        </m:r>
      </m:oMath>
      <w:r>
        <w:t xml:space="preserve">), hàm ý rằng sự khác biệt giữa các nhóm ICRV không thể giải thích bằng sai số lấy mẫu.</w:t>
      </w:r>
    </w:p>
    <w:p>
      <w:pPr>
        <w:pStyle w:val="BodyText"/>
      </w:pPr>
      <w:r>
        <w:t xml:space="preserve">Gradient theo ICRV hiện diện rõ ràng trong kết quả: các nền kinh tế Advanced Innovation-Driven có hiệu ứng I–P lớn hơn so với các nền kinh tế Frontier hay SIDS (theo phân loại 5-regime của P6). Kết quả này nhất quán với cơ chế lý thuyết từ Institutional Theory, môi trường thể chế chất lượng cao tạo điều kiện để doanh nghiệp chuyển hóa quốc tế hóa thành hiệu quả dễ dàng hơn (North, 1990; Marano et al., 2016).</w:t>
      </w:r>
      <w:r>
        <w:t xml:space="preserve"> </w:t>
      </w:r>
      <w:r>
        <w:rPr>
          <w:iCs/>
          <w:i/>
        </w:rPr>
        <w:t xml:space="preserve">(Lưu ý phân loại: P6, meta-analysis cấp nghiên cứu, dùng hệ ICRV 5-regime rút gọn [I Advanced-Innovation, II Upper-Middle, III Emerging, FR Frontier/SIDS, MX Mixed], khác với hệ 6 nhóm cấp doanh nghiệp dùng ở §4.1 và §4.6; nhóm</w:t>
      </w:r>
      <w:r>
        <w:rPr>
          <w:iCs/>
          <w:i/>
        </w:rPr>
        <w:t xml:space="preserve"> </w:t>
      </w:r>
      <w:r>
        <w:rPr>
          <w:iCs/>
          <w:i/>
        </w:rPr>
        <w:t xml:space="preserve">‘</w:t>
      </w:r>
      <w:r>
        <w:rPr>
          <w:iCs/>
          <w:i/>
        </w:rPr>
        <w:t xml:space="preserve">Frontier/SIDS</w:t>
      </w:r>
      <w:r>
        <w:rPr>
          <w:iCs/>
          <w:i/>
        </w:rPr>
        <w:t xml:space="preserve">’</w:t>
      </w:r>
      <w:r>
        <w:rPr>
          <w:iCs/>
          <w:i/>
        </w:rPr>
        <w:t xml:space="preserve"> </w:t>
      </w:r>
      <w:r>
        <w:rPr>
          <w:iCs/>
          <w:i/>
        </w:rPr>
        <w:t xml:space="preserve">của P6 là bin thể chế yếu nhất, tương ứng Nhóm V–VI trong hệ 6 nhóm. Thuật ngữ</w:t>
      </w:r>
      <w:r>
        <w:rPr>
          <w:iCs/>
          <w:i/>
        </w:rPr>
        <w:t xml:space="preserve"> </w:t>
      </w:r>
      <w:r>
        <w:rPr>
          <w:iCs/>
          <w:i/>
        </w:rPr>
        <w:t xml:space="preserve">‘</w:t>
      </w:r>
      <w:r>
        <w:rPr>
          <w:iCs/>
          <w:i/>
        </w:rPr>
        <w:t xml:space="preserve">Frontier</w:t>
      </w:r>
      <w:r>
        <w:rPr>
          <w:iCs/>
          <w:i/>
        </w:rPr>
        <w:t xml:space="preserve">’</w:t>
      </w:r>
      <w:r>
        <w:rPr>
          <w:iCs/>
          <w:i/>
        </w:rPr>
        <w:t xml:space="preserve"> </w:t>
      </w:r>
      <w:r>
        <w:rPr>
          <w:iCs/>
          <w:i/>
        </w:rPr>
        <w:t xml:space="preserve">ở §4.2 giữ theo phân loại gốc của P6.)</w:t>
      </w:r>
    </w:p>
    <w:bookmarkEnd w:id="133"/>
    <w:bookmarkStart w:id="134" w:name="kiểm-định-publication-bias"/>
    <w:p>
      <w:pPr>
        <w:pStyle w:val="Heading3"/>
      </w:pPr>
      <w:r>
        <w:t xml:space="preserve">4.2.4 Kiểm định publication bias</w:t>
      </w:r>
    </w:p>
    <w:p>
      <w:pPr>
        <w:pStyle w:val="FirstParagraph"/>
      </w:pPr>
      <w:r>
        <w:t xml:space="preserve">Phân tích publication bias gồm ba kiểm định bổ sung nhau.</w:t>
      </w:r>
      <w:r>
        <w:t xml:space="preserve"> </w:t>
      </w:r>
      <w:r>
        <w:rPr>
          <w:bCs/>
          <w:b/>
        </w:rPr>
        <w:t xml:space="preserve">Kiểm định Egger</w:t>
      </w:r>
      <w:r>
        <w:t xml:space="preserve"> </w:t>
      </w:r>
      <w:r>
        <w:t xml:space="preserve">cho kết quả</w:t>
      </w:r>
      <w:r>
        <w:t xml:space="preserve"> </w:t>
      </w:r>
      <m:oMath>
        <m:r>
          <m:t>b</m:t>
        </m:r>
        <m:r>
          <m:rPr>
            <m:sty m:val="p"/>
          </m:rPr>
          <m:t>=</m:t>
        </m:r>
        <m:r>
          <m:t>0</m:t>
        </m:r>
        <m:r>
          <m:rPr>
            <m:sty m:val="p"/>
          </m:rPr>
          <m:t>,</m:t>
        </m:r>
        <m:r>
          <m:t>475</m:t>
        </m:r>
      </m:oMath>
      <w:r>
        <w:t xml:space="preserve"> </w:t>
      </w:r>
      <w:r>
        <w:t xml:space="preserve">(</w:t>
      </w:r>
      <m:oMath>
        <m:r>
          <m:t>p</m:t>
        </m:r>
        <m:r>
          <m:rPr>
            <m:sty m:val="p"/>
          </m:rPr>
          <m:t>=</m:t>
        </m:r>
        <m:r>
          <m:rPr>
            <m:sty m:val="p"/>
          </m:rPr>
          <m:t>,</m:t>
        </m:r>
        <m:r>
          <m:t>057</m:t>
        </m:r>
      </m:oMath>
      <w:r>
        <w:t xml:space="preserve">), sát ngưỡng</w:t>
      </w:r>
      <w:r>
        <w:t xml:space="preserve"> </w:t>
      </w:r>
      <m:oMath>
        <m:r>
          <m:t>α</m:t>
        </m:r>
        <m:r>
          <m:rPr>
            <m:sty m:val="p"/>
          </m:rPr>
          <m:t>=</m:t>
        </m:r>
        <m:r>
          <m:t>0</m:t>
        </m:r>
        <m:r>
          <m:rPr>
            <m:sty m:val="p"/>
          </m:rPr>
          <m:t>,</m:t>
        </m:r>
        <m:r>
          <m:t>05</m:t>
        </m:r>
      </m:oMath>
      <w:r>
        <w:t xml:space="preserve"> </w:t>
      </w:r>
      <w:r>
        <w:t xml:space="preserve">nhưng không đạt ý nghĩa thống kê theo tiêu chuẩn thông thường.</w:t>
      </w:r>
      <w:r>
        <w:t xml:space="preserve"> </w:t>
      </w:r>
      <w:r>
        <w:rPr>
          <w:bCs/>
          <w:b/>
        </w:rPr>
        <w:t xml:space="preserve">Kiểm định Begg–Mazumdar</w:t>
      </w:r>
      <w:r>
        <w:t xml:space="preserve"> </w:t>
      </w:r>
      <w:r>
        <w:t xml:space="preserve">(Begg &amp; Mazumdar, 1994) cho kết quả</w:t>
      </w:r>
      <w:r>
        <w:t xml:space="preserve"> </w:t>
      </w:r>
      <m:oMath>
        <m:r>
          <m:t>τ</m:t>
        </m:r>
        <m:r>
          <m:rPr>
            <m:sty m:val="p"/>
          </m:rPr>
          <m:t>=</m:t>
        </m:r>
        <m:r>
          <m:rPr>
            <m:sty m:val="p"/>
          </m:rPr>
          <m:t>−</m:t>
        </m:r>
        <m:r>
          <m:t>0</m:t>
        </m:r>
        <m:r>
          <m:rPr>
            <m:sty m:val="p"/>
          </m:rPr>
          <m:t>,</m:t>
        </m:r>
        <m:r>
          <m:t>134</m:t>
        </m:r>
      </m:oMath>
      <w:r>
        <w:t xml:space="preserve"> </w:t>
      </w:r>
      <w:r>
        <w:t xml:space="preserve">(</w:t>
      </w:r>
      <m:oMath>
        <m:r>
          <m:t>p</m:t>
        </m:r>
        <m:r>
          <m:rPr>
            <m:sty m:val="p"/>
          </m:rPr>
          <m:t>=</m:t>
        </m:r>
        <m:r>
          <m:rPr>
            <m:sty m:val="p"/>
          </m:rPr>
          <m:t>,</m:t>
        </m:r>
        <m:r>
          <m:t>0007</m:t>
        </m:r>
      </m:oMath>
      <w:r>
        <w:t xml:space="preserve">), có ý nghĩa thống kê rõ ràng, cho thấy các nghiên cứu với sai số chuẩn lớn hơn (mẫu nhỏ hơn) có xu hướng báo cáo effect size thấp hơn, phù hợp với lệch lạc công bố ưu tiên kết quả dương tính.</w:t>
      </w:r>
      <w:r>
        <w:t xml:space="preserve"> </w:t>
      </w:r>
      <w:r>
        <w:rPr>
          <w:bCs/>
          <w:b/>
        </w:rPr>
        <w:t xml:space="preserve">Phân tích trim-and-fill</w:t>
      </w:r>
      <w:r>
        <w:t xml:space="preserve"> </w:t>
      </w:r>
      <w:r>
        <w:t xml:space="preserve">điều chỉnh ước lượng từ</w:t>
      </w:r>
      <w:r>
        <w:t xml:space="preserve"> </w:t>
      </w:r>
      <m:oMath>
        <m:r>
          <m:t>r</m:t>
        </m:r>
        <m:r>
          <m:rPr>
            <m:sty m:val="p"/>
          </m:rPr>
          <m:t>=</m:t>
        </m:r>
        <m:r>
          <m:t>0</m:t>
        </m:r>
        <m:r>
          <m:rPr>
            <m:sty m:val="p"/>
          </m:rPr>
          <m:t>,</m:t>
        </m:r>
        <m:r>
          <m:t>074</m:t>
        </m:r>
      </m:oMath>
      <w:r>
        <w:t xml:space="preserve"> </w:t>
      </w:r>
      <w:r>
        <w:t xml:space="preserve">xuống</w:t>
      </w:r>
      <w:r>
        <w:t xml:space="preserve"> </w:t>
      </w:r>
      <m:oMath>
        <m:r>
          <m:t>r</m:t>
        </m:r>
        <m:r>
          <m:rPr>
            <m:sty m:val="p"/>
          </m:rPr>
          <m:t>=</m:t>
        </m:r>
        <m:r>
          <m:t>0</m:t>
        </m:r>
        <m:r>
          <m:rPr>
            <m:sty m:val="p"/>
          </m:rPr>
          <m:t>,</m:t>
        </m:r>
        <m:r>
          <m:t>035</m:t>
        </m:r>
      </m:oMath>
      <w:r>
        <w:t xml:space="preserve"> </w:t>
      </w:r>
      <w:r>
        <w:t xml:space="preserve">(với</w:t>
      </w:r>
      <w:r>
        <w:t xml:space="preserve"> </w:t>
      </w:r>
      <m:oMath>
        <m:r>
          <m:t>k</m:t>
        </m:r>
        <m:r>
          <m:rPr>
            <m:sty m:val="p"/>
          </m:rPr>
          <m:t>=</m:t>
        </m:r>
        <m:r>
          <m:t>58</m:t>
        </m:r>
      </m:oMath>
      <w:r>
        <w:t xml:space="preserve"> </w:t>
      </w:r>
      <w:r>
        <w:t xml:space="preserve">nghiên cứu được imputed), mức điều chỉnh đáng kể nhưng không đổi chiều hướng tích cực của quan hệ tổng hợp.</w:t>
      </w:r>
      <w:r>
        <w:t xml:space="preserve"> </w:t>
      </w:r>
      <w:r>
        <w:rPr>
          <w:bCs/>
          <w:b/>
        </w:rPr>
        <w:t xml:space="preserve">Fail-safe</w:t>
      </w:r>
      <w:r>
        <w:rPr>
          <w:bCs/>
          <w:b/>
        </w:rPr>
        <w:t xml:space="preserve"> </w:t>
      </w:r>
      <m:oMath>
        <m:r>
          <m:t>N</m:t>
        </m:r>
      </m:oMath>
      <w:r>
        <w:rPr>
          <w:bCs/>
          <w:b/>
        </w:rPr>
        <w:t xml:space="preserve"> </w:t>
      </w:r>
      <w:r>
        <w:rPr>
          <w:bCs/>
          <w:b/>
        </w:rPr>
        <w:t xml:space="preserve">= 45.848</w:t>
      </w:r>
      <w:r>
        <w:t xml:space="preserve"> </w:t>
      </w:r>
      <w:r>
        <w:t xml:space="preserve">vượt xa ngưỡng tới hạn</w:t>
      </w:r>
      <w:r>
        <w:t xml:space="preserve"> </w:t>
      </w:r>
      <m:oMath>
        <m:r>
          <m:t>5</m:t>
        </m:r>
        <m:r>
          <m:t>k</m:t>
        </m:r>
        <m:r>
          <m:rPr>
            <m:sty m:val="p"/>
          </m:rPr>
          <m:t>+</m:t>
        </m:r>
        <m:r>
          <m:t>10</m:t>
        </m:r>
        <m:r>
          <m:rPr>
            <m:sty m:val="p"/>
          </m:rPr>
          <m:t>=</m:t>
        </m:r>
        <m:r>
          <m:t>1</m:t>
        </m:r>
        <m:r>
          <m:rPr>
            <m:sty m:val="p"/>
          </m:rPr>
          <m:t>,</m:t>
        </m:r>
        <m:r>
          <m:t>200</m:t>
        </m:r>
      </m:oMath>
      <w:r>
        <w:t xml:space="preserve">, khẳng định publication bias không thể bác bỏ hoàn toàn kết quả tổng hợp. Tổng hợp lại, bằng chứng publication bias được xác nhận qua kiểm định Begg–Mazumdar có ý nghĩa (</w:t>
      </w:r>
      <m:oMath>
        <m:r>
          <m:t>p</m:t>
        </m:r>
        <m:r>
          <m:rPr>
            <m:sty m:val="p"/>
          </m:rPr>
          <m:t>=</m:t>
        </m:r>
        <m:r>
          <m:rPr>
            <m:sty m:val="p"/>
          </m:rPr>
          <m:t>,</m:t>
        </m:r>
        <m:r>
          <m:t>0007</m:t>
        </m:r>
      </m:oMath>
      <w:r>
        <w:t xml:space="preserve">): pooled effect thực</w:t>
      </w:r>
      <w:r>
        <w:t xml:space="preserve"> </w:t>
      </w:r>
      <m:oMath>
        <m:r>
          <m:t>r</m:t>
        </m:r>
        <m:r>
          <m:rPr>
            <m:sty m:val="p"/>
          </m:rPr>
          <m:t>=</m:t>
        </m:r>
        <m:r>
          <m:t>0</m:t>
        </m:r>
        <m:r>
          <m:rPr>
            <m:sty m:val="p"/>
          </m:rPr>
          <m:t>,</m:t>
        </m:r>
        <m:r>
          <m:t>074</m:t>
        </m:r>
      </m:oMath>
      <w:r>
        <w:t xml:space="preserve"> </w:t>
      </w:r>
      <w:r>
        <w:t xml:space="preserve">có thể bị thổi phồng so với hiệu ứng dân số thực, với ước lượng bảo thủ hơn là</w:t>
      </w:r>
      <w:r>
        <w:t xml:space="preserve"> </w:t>
      </w:r>
      <m:oMath>
        <m:r>
          <m:t>r</m:t>
        </m:r>
        <m:r>
          <m:rPr>
            <m:sty m:val="p"/>
          </m:rPr>
          <m:t>=</m:t>
        </m:r>
        <m:r>
          <m:t>0</m:t>
        </m:r>
        <m:r>
          <m:rPr>
            <m:sty m:val="p"/>
          </m:rPr>
          <m:t>,</m:t>
        </m:r>
        <m:r>
          <m:t>035</m:t>
        </m:r>
      </m:oMath>
      <w:r>
        <w:t xml:space="preserve">.</w:t>
      </w:r>
    </w:p>
    <w:p>
      <w:pPr>
        <w:pStyle w:val="BodyText"/>
      </w:pPr>
      <w:r>
        <w:t xml:space="preserve">Phát hiện publication bias này có một hàm ý lý thuyết quan trọng vượt ra ngoài một cảnh báo phương pháp đơn thuần. Trong phân tách dị biệt ba tầng, phần lớn dị biệt nằm ở</w:t>
      </w:r>
      <w:r>
        <w:t xml:space="preserve"> </w:t>
      </w:r>
      <w:r>
        <w:rPr>
          <w:bCs/>
          <w:b/>
        </w:rPr>
        <w:t xml:space="preserve">tầng nội bộ nghiên cứu</w:t>
      </w:r>
      <w:r>
        <w:t xml:space="preserve"> </w:t>
      </w:r>
      <w:r>
        <w:t xml:space="preserve">(</w:t>
      </w:r>
      <m:oMath>
        <m:sSubSup>
          <m:e>
            <m:r>
              <m:t>I</m:t>
            </m:r>
          </m:e>
          <m:sub>
            <m:r>
              <m:rPr>
                <m:nor/>
                <m:sty m:val="p"/>
              </m:rPr>
              <m:t>within</m:t>
            </m:r>
          </m:sub>
          <m:sup>
            <m:r>
              <m:t>2</m:t>
            </m:r>
          </m:sup>
        </m:sSubSup>
        <m:r>
          <m:rPr>
            <m:sty m:val="p"/>
          </m:rPr>
          <m:t>=</m:t>
        </m:r>
        <m:r>
          <m:t>54</m:t>
        </m:r>
        <m:r>
          <m:rPr>
            <m:sty m:val="p"/>
          </m:rPr>
          <m:t>,</m:t>
        </m:r>
        <m:r>
          <m:t>1</m:t>
        </m:r>
        <m:r>
          <m:rPr>
            <m:sty m:val="p"/>
          </m:rPr>
          <m:t>%</m:t>
        </m:r>
      </m:oMath>
      <w:r>
        <w:t xml:space="preserve">) hơn là tầng giữa các nghiên cứu (</w:t>
      </w:r>
      <m:oMath>
        <m:sSubSup>
          <m:e>
            <m:r>
              <m:t>I</m:t>
            </m:r>
          </m:e>
          <m:sub>
            <m:r>
              <m:rPr>
                <m:nor/>
                <m:sty m:val="p"/>
              </m:rPr>
              <m:t>between</m:t>
            </m:r>
          </m:sub>
          <m:sup>
            <m:r>
              <m:t>2</m:t>
            </m:r>
          </m:sup>
        </m:sSubSup>
        <m:r>
          <m:rPr>
            <m:sty m:val="p"/>
          </m:rPr>
          <m:t>=</m:t>
        </m:r>
        <m:r>
          <m:t>8</m:t>
        </m:r>
        <m:r>
          <m:rPr>
            <m:sty m:val="p"/>
          </m:rPr>
          <m:t>,</m:t>
        </m:r>
        <m:r>
          <m:t>4</m:t>
        </m:r>
        <m:r>
          <m:rPr>
            <m:sty m:val="p"/>
          </m:rPr>
          <m:t>%</m:t>
        </m:r>
      </m:oMath>
      <w:r>
        <w:t xml:space="preserve">), nghĩa là biến thiên hệ số chủ yếu đến từ cách mỗi nghiên cứu vận hành hóa quốc tế hóa, lựa chọn thước đo hiệu quả và đặc tả biến kiểm soát, chứ không phải từ khác biệt bối cảnh quốc gia. Kết hợp với bằng chứng publication bias, cấu trúc dị biệt này gợi ý một cách diễn giải lại</w:t>
      </w:r>
      <w:r>
        <w:t xml:space="preserve"> </w:t>
      </w:r>
      <w:r>
        <w:t xml:space="preserve">“</w:t>
      </w:r>
      <w:r>
        <w:t xml:space="preserve">câu đố heterogeneity</w:t>
      </w:r>
      <w:r>
        <w:t xml:space="preserve">”</w:t>
      </w:r>
      <w:r>
        <w:t xml:space="preserve"> </w:t>
      </w:r>
      <w:r>
        <w:t xml:space="preserve">trong văn liệu I–P: phần lớn phương sai chưa giải thích được có thể phản ánh lựa chọn ở phía công bố và đặc tả mô hình nhiều hơn là các điều kiện bối cảnh thể chế hay số hóa. Phát hiện này không phủ định vai trò điều tiết của thể chế, vốn được xác nhận độc lập qua kiểm định</w:t>
      </w:r>
      <w:r>
        <w:t xml:space="preserve"> </w:t>
      </w:r>
      <m:oMath>
        <m:sSub>
          <m:e>
            <m:r>
              <m:t>Q</m:t>
            </m:r>
          </m:e>
          <m:sub>
            <m:r>
              <m:t>M</m:t>
            </m:r>
          </m:sub>
        </m:sSub>
      </m:oMath>
      <w:r>
        <w:t xml:space="preserve"> </w:t>
      </w:r>
      <w:r>
        <w:t xml:space="preserve">giữa các nhóm ICRV, nhưng nó định vị lại kỳ vọng: meta-analysis cấp tổng hợp khó nắm bắt được điều tiết thể chế vì các nghiên cứu sơ cấp hiếm khi báo cáo đủ chi tiết theo chế độ thể chế, và vì vậy bằng chứng cấp doanh nghiệp trực tiếp trên một khung phân loại thể chế nhất quán, như luận án thực hiện, là con đường hữu hiệu hơn để bóc tách heterogeneity so với việc tích lũy thêm meta-analysis trên dữ liệu thứ cấp không đồng nhất.</w:t>
      </w:r>
    </w:p>
    <w:p>
      <w:r>
        <w:pict>
          <v:rect style="width:0;height:1.5pt" o:hralign="center" o:hrstd="t" o:hr="t"/>
        </w:pict>
      </w:r>
    </w:p>
    <w:bookmarkEnd w:id="134"/>
    <w:bookmarkEnd w:id="135"/>
    <w:bookmarkStart w:id="139" w:name="Xae571c1410747d630a72c4d12985bac375822ae"/>
    <w:p>
      <w:pPr>
        <w:pStyle w:val="Heading2"/>
      </w:pPr>
      <w:r>
        <w:t xml:space="preserve">4.3 Kết quả bối cảnh thể chế tiên tiến: Đổi mới: Singapore (P4)</w:t>
      </w:r>
    </w:p>
    <w:bookmarkStart w:id="136" w:name="xác-nhận-quan-hệ-phi-tuyến-chữ-u-ngược"/>
    <w:p>
      <w:pPr>
        <w:pStyle w:val="Heading3"/>
      </w:pPr>
      <w:r>
        <w:t xml:space="preserve">4.3.1 Xác nhận quan hệ phi tuyến chữ U ngược</w:t>
      </w:r>
    </w:p>
    <w:p>
      <w:pPr>
        <w:pStyle w:val="FirstParagraph"/>
      </w:pPr>
      <w:r>
        <w:t xml:space="preserve">Phân tích trên mẫu doanh nghiệp Singapore từ dữ liệu WBES với</w:t>
      </w:r>
      <w:r>
        <w:t xml:space="preserve"> </w:t>
      </w:r>
      <m:oMath>
        <m:r>
          <m:t>N</m:t>
        </m:r>
        <m:r>
          <m:rPr>
            <m:sty m:val="p"/>
          </m:rPr>
          <m:t>=</m:t>
        </m:r>
        <m:r>
          <m:t>623</m:t>
        </m:r>
      </m:oMath>
      <w:r>
        <w:t xml:space="preserve"> </w:t>
      </w:r>
      <w:r>
        <w:t xml:space="preserve">cơ sở (trong đó 84 cơ sở xuất khẩu dùng cho kiểm định mẫu phụ) cho thấy quan hệ giữa FSTS và hiệu quả gần tuyến tính dương; thành phần bậc hai chỉ gợi ý đường cong rất thoải với điểm uốn ngoài miền dữ liệu. Mô hình bậc hai với biến FSTS và FSTS</w:t>
      </w:r>
      <m:oMath>
        <m:sSup>
          <m:e>
            <m:r>
              <m:t>​</m:t>
            </m:r>
          </m:e>
          <m:sup>
            <m:r>
              <m:t>2</m:t>
            </m:r>
          </m:sup>
        </m:sSup>
      </m:oMath>
      <w:r>
        <w:t xml:space="preserve"> </w:t>
      </w:r>
      <w:r>
        <w:t xml:space="preserve">cho hệ số bậc hai âm, phù hợp với dạng chữ U ngược như kỳ vọng từ H1 trong khung lý thuyết CDCM.</w:t>
      </w:r>
    </w:p>
    <w:p>
      <w:pPr>
        <w:pStyle w:val="BodyText"/>
      </w:pPr>
      <w:r>
        <w:t xml:space="preserve">Điểm điểm uốn ước lượng có giá trị trung tâm</w:t>
      </w:r>
      <w:r>
        <w:t xml:space="preserve"> </w:t>
      </w:r>
      <w:r>
        <w:rPr>
          <w:bCs/>
          <w:b/>
        </w:rPr>
        <w:t xml:space="preserve">TP ≈ 88,6% FSTS</w:t>
      </w:r>
      <w:r>
        <w:t xml:space="preserve">, nhưng khoảng tin cậy bootstrap rất rộng và</w:t>
      </w:r>
      <w:r>
        <w:t xml:space="preserve"> </w:t>
      </w:r>
      <w:r>
        <w:rPr>
          <w:bCs/>
          <w:b/>
        </w:rPr>
        <w:t xml:space="preserve">vượt ngưỡng khả thi của FSTS</w:t>
      </w:r>
      <w:r>
        <w:t xml:space="preserve"> </w:t>
      </w:r>
      <w:r>
        <w:t xml:space="preserve">(CI: [53%, 253%]; trong khi FSTS theo định nghĩa không thể vượt 100%). Vì cận trên của khoảng tin cậy nằm ngoài miền giá trị khả thi, điểm uốn</w:t>
      </w:r>
      <w:r>
        <w:t xml:space="preserve"> </w:t>
      </w:r>
      <w:r>
        <w:rPr>
          <w:bCs/>
          <w:b/>
        </w:rPr>
        <w:t xml:space="preserve">không được định vị một cách tin cậy trong miền dữ liệu quan sát</w:t>
      </w:r>
      <w:r>
        <w:t xml:space="preserve">: trên thực tế, trong khoảng FSTS quan sát được (0–100%), quan hệ FSTS–hiệu quả của doanh nghiệp Singapore là</w:t>
      </w:r>
      <w:r>
        <w:t xml:space="preserve"> </w:t>
      </w:r>
      <w:r>
        <w:rPr>
          <w:bCs/>
          <w:b/>
        </w:rPr>
        <w:t xml:space="preserve">tăng gần như đơn điệu</w:t>
      </w:r>
      <w:r>
        <w:t xml:space="preserve">, và phần suy giảm bên phải của đường chữ U ngược nằm ngoài (hoặc ở rìa) miền dữ liệu nên không được kiểm chứng thực nghiệm. Do đó, kết quả Singapore nên được diễn giải thận trọng là</w:t>
      </w:r>
      <w:r>
        <w:t xml:space="preserve"> </w:t>
      </w:r>
      <w:r>
        <w:rPr>
          <w:iCs/>
          <w:i/>
        </w:rPr>
        <w:t xml:space="preserve">“</w:t>
      </w:r>
      <w:r>
        <w:rPr>
          <w:iCs/>
          <w:i/>
        </w:rPr>
        <w:t xml:space="preserve">chưa quan sát thấy ngưỡng bất lợi của quốc tế hóa trong miền dữ liệu</w:t>
      </w:r>
      <w:r>
        <w:rPr>
          <w:iCs/>
          <w:i/>
        </w:rPr>
        <w:t xml:space="preserve">”</w:t>
      </w:r>
      <w:r>
        <w:t xml:space="preserve"> </w:t>
      </w:r>
      <w:r>
        <w:t xml:space="preserve">thay vì khẳng định một điểm uốn cụ thể ở 88,6%; điều này nhất quán với kỳ vọng lý thuyết rằng ở bối cảnh thể chế mạnh (Nhóm I), dư địa quốc tế hóa có lợi là rất rộng (xem Hình 4.1).</w:t>
      </w:r>
    </w:p>
    <w:bookmarkEnd w:id="136"/>
    <w:bookmarkStart w:id="137" w:name="điều-tiết-bởi-digital-adoption-index-dai"/>
    <w:p>
      <w:pPr>
        <w:pStyle w:val="Heading3"/>
      </w:pPr>
      <w:r>
        <w:t xml:space="preserve">4.3.2 Điều tiết bởi Digital Adoption Index (DAI)</w:t>
      </w:r>
    </w:p>
    <w:p>
      <w:pPr>
        <w:pStyle w:val="FirstParagraph"/>
      </w:pPr>
      <w:r>
        <w:t xml:space="preserve">Mô hình M5 bổ sung tương tác</w:t>
      </w:r>
      <w:r>
        <w:t xml:space="preserve"> </w:t>
      </w:r>
      <m:oMath>
        <m:r>
          <m:t>F</m:t>
        </m:r>
        <m:r>
          <m:t>S</m:t>
        </m:r>
        <m:r>
          <m:t>T</m:t>
        </m:r>
        <m:r>
          <m:t>S</m:t>
        </m:r>
        <m:r>
          <m:rPr>
            <m:sty m:val="p"/>
          </m:rPr>
          <m:t>×</m:t>
        </m:r>
        <m:r>
          <m:t>D</m:t>
        </m:r>
        <m:r>
          <m:t>A</m:t>
        </m:r>
        <m:r>
          <m:t>I</m:t>
        </m:r>
      </m:oMath>
      <w:r>
        <w:t xml:space="preserve"> </w:t>
      </w:r>
      <w:r>
        <w:t xml:space="preserve">(bao gồm cả Tier-1 và Tier-2 của chỉ số DAI) cho thấy hiệu ứng khuếch đại (amplification) tại mức FSTS cao: hệ số tương tác</w:t>
      </w:r>
      <w:r>
        <w:t xml:space="preserve"> </w:t>
      </w:r>
      <m:oMath>
        <m:r>
          <m:t>F</m:t>
        </m:r>
        <m:r>
          <m:t>S</m:t>
        </m:r>
        <m:r>
          <m:t>T</m:t>
        </m:r>
        <m:sSup>
          <m:e>
            <m:r>
              <m:t>S</m:t>
            </m:r>
          </m:e>
          <m:sup>
            <m:r>
              <m:t>2</m:t>
            </m:r>
          </m:sup>
        </m:sSup>
        <m:r>
          <m:rPr>
            <m:sty m:val="p"/>
          </m:rPr>
          <m:t>×</m:t>
        </m:r>
        <m:r>
          <m:t>D</m:t>
        </m:r>
        <m:r>
          <m:t>A</m:t>
        </m:r>
        <m:r>
          <m:t>I</m:t>
        </m:r>
        <m:r>
          <m:rPr>
            <m:sty m:val="p"/>
          </m:rPr>
          <m:t>=</m:t>
        </m:r>
        <m:r>
          <m:rPr>
            <m:sty m:val="p"/>
          </m:rPr>
          <m:t>+</m:t>
        </m:r>
        <m:r>
          <m:t>3</m:t>
        </m:r>
        <m:r>
          <m:rPr>
            <m:sty m:val="p"/>
          </m:rPr>
          <m:t>,</m:t>
        </m:r>
        <m:r>
          <m:t>119</m:t>
        </m:r>
      </m:oMath>
      <w:r>
        <w:t xml:space="preserve"> </w:t>
      </w:r>
      <w:r>
        <w:t xml:space="preserve">và có ý nghĩa thống kê (</w:t>
      </w:r>
      <m:oMath>
        <m:r>
          <m:t>p</m:t>
        </m:r>
        <m:r>
          <m:rPr>
            <m:sty m:val="p"/>
          </m:rPr>
          <m:t>=</m:t>
        </m:r>
        <m:r>
          <m:rPr>
            <m:sty m:val="p"/>
          </m:rPr>
          <m:t>,</m:t>
        </m:r>
        <m:r>
          <m:t>005</m:t>
        </m:r>
      </m:oMath>
      <w:r>
        <w:t xml:space="preserve">). Cụ thể, ở mức độ quốc tế hóa cao, doanh nghiệp Singapore có năng lực chấp nhận số (digital adoption) cao hơn duy trì hiệu quả tốt hơn so với doanh nghiệp có mức DAI thấp hơn, cho thấy DAI đóng vai trò nguồn lực bổ trợ (situational resource) làm chậm đà suy giảm phía bên phải của đường phi tuyến.</w:t>
      </w:r>
    </w:p>
    <w:bookmarkEnd w:id="137"/>
    <w:bookmarkStart w:id="138" w:name="giới-hạn-suy-luận-và-cảnh-báo-thống-kê"/>
    <w:p>
      <w:pPr>
        <w:pStyle w:val="Heading3"/>
      </w:pPr>
      <w:r>
        <w:t xml:space="preserve">4.3.3 Giới hạn suy luận và cảnh báo thống kê</w:t>
      </w:r>
    </w:p>
    <w:p>
      <w:pPr>
        <w:pStyle w:val="FirstParagraph"/>
      </w:pPr>
      <w:r>
        <w:t xml:space="preserve">Cần nhấn mạnh rằng kết quả Singapore là</w:t>
      </w:r>
      <w:r>
        <w:t xml:space="preserve"> </w:t>
      </w:r>
      <w:r>
        <w:rPr>
          <w:bCs/>
          <w:b/>
        </w:rPr>
        <w:t xml:space="preserve">ranh giới suy luận</w:t>
      </w:r>
      <w:r>
        <w:t xml:space="preserve"> </w:t>
      </w:r>
      <w:r>
        <w:t xml:space="preserve">(inferential bounds) do hạn chế về quy mô mẫu:</w:t>
      </w:r>
      <w:r>
        <w:t xml:space="preserve"> </w:t>
      </w:r>
      <m:oMath>
        <m:r>
          <m:t>N</m:t>
        </m:r>
        <m:r>
          <m:rPr>
            <m:sty m:val="p"/>
          </m:rPr>
          <m:t>=</m:t>
        </m:r>
        <m:r>
          <m:t>623</m:t>
        </m:r>
      </m:oMath>
      <w:r>
        <w:t xml:space="preserve"> </w:t>
      </w:r>
      <w:r>
        <w:t xml:space="preserve">quan sát toàn mẫu và chỉ 84 cơ sở xuất khẩu cho các kiểm định mẫu phụ, dẫn đến power thống kê ước tính chỉ đạt khoảng 16%. Luận án diễn giải kết quả Singapore như</w:t>
      </w:r>
      <w:r>
        <w:t xml:space="preserve"> </w:t>
      </w:r>
      <w:r>
        <w:rPr>
          <w:iCs/>
          <w:i/>
        </w:rPr>
        <w:t xml:space="preserve">bằng chứng phù hợp nhưng chưa kết luận</w:t>
      </w:r>
      <w:r>
        <w:t xml:space="preserve"> </w:t>
      </w:r>
      <w:r>
        <w:t xml:space="preserve">(consistent but underpowered evidence), không bác bỏ giả thuyết nhưng cũng không tuyên bố xác nhận dứt khoát.</w:t>
      </w:r>
    </w:p>
    <w:p>
      <w:r>
        <w:pict>
          <v:rect style="width:0;height:1.5pt" o:hralign="center" o:hrstd="t" o:hr="t"/>
        </w:pict>
      </w:r>
    </w:p>
    <w:bookmarkEnd w:id="138"/>
    <w:bookmarkEnd w:id="139"/>
    <w:bookmarkStart w:id="143" w:name="Xabe361c2d5961cf19ce7ab2bd5d9bc6d758140a"/>
    <w:p>
      <w:pPr>
        <w:pStyle w:val="Heading2"/>
      </w:pPr>
      <w:r>
        <w:t xml:space="preserve">4.4 Kết quả bối cảnh thể chế trung bình cao: Trung Quốc, 2012–2024 (P5)</w:t>
      </w:r>
    </w:p>
    <w:bookmarkStart w:id="140" w:name="xác-nhận-quan-hệ-phi-tuyến-và-điểm-uốn"/>
    <w:p>
      <w:pPr>
        <w:pStyle w:val="Heading3"/>
      </w:pPr>
      <w:r>
        <w:t xml:space="preserve">4.4.1 Xác nhận quan hệ phi tuyến và điểm uốn</w:t>
      </w:r>
    </w:p>
    <w:p>
      <w:pPr>
        <w:pStyle w:val="FirstParagraph"/>
      </w:pPr>
      <w:r>
        <w:t xml:space="preserve">Phân tích hai giai đoạn trên dữ liệu WBES Trung Quốc (Nhóm III, Upper-middle) giai đoạn 2012–2024 xác nhận dạng quan hệ phi tuyến chữ U ngược giữa FSTS và hiệu quả hoạt động doanh nghiệp. Điểm điểm uốn được ước lượng tại:</w:t>
      </w:r>
    </w:p>
    <w:p>
      <w:pPr>
        <w:numPr>
          <w:ilvl w:val="0"/>
          <w:numId w:val="1014"/>
        </w:numPr>
        <w:pStyle w:val="Compact"/>
      </w:pPr>
      <w:r>
        <w:rPr>
          <w:bCs/>
          <w:b/>
        </w:rPr>
        <w:t xml:space="preserve">Năm 2012</w:t>
      </w:r>
      <w:r>
        <w:t xml:space="preserve">: TP = 49,37% FSTS</w:t>
      </w:r>
    </w:p>
    <w:p>
      <w:pPr>
        <w:numPr>
          <w:ilvl w:val="0"/>
          <w:numId w:val="1014"/>
        </w:numPr>
        <w:pStyle w:val="Compact"/>
      </w:pPr>
      <w:r>
        <w:rPr>
          <w:bCs/>
          <w:b/>
        </w:rPr>
        <w:t xml:space="preserve">Năm 2024</w:t>
      </w:r>
      <w:r>
        <w:t xml:space="preserve">: TP = 47,19% FSTS</w:t>
      </w:r>
    </w:p>
    <w:p>
      <w:pPr>
        <w:numPr>
          <w:ilvl w:val="0"/>
          <w:numId w:val="1014"/>
        </w:numPr>
        <w:pStyle w:val="Compact"/>
      </w:pPr>
      <w:r>
        <w:rPr>
          <w:bCs/>
          <w:b/>
        </w:rPr>
        <w:t xml:space="preserve">Pooled (toàn mẫu)</w:t>
      </w:r>
      <w:r>
        <w:t xml:space="preserve">: TP = 48,78% FSTS</w:t>
      </w:r>
    </w:p>
    <w:p>
      <w:pPr>
        <w:pStyle w:val="FirstParagraph"/>
      </w:pPr>
      <w:r>
        <w:t xml:space="preserve">Các con số này cho thấy doanh nghiệp Trung Quốc đạt hiệu quả tối ưu khi cường độ quốc tế hóa (FSTS) ở mức gần 49%, một mức độ tập trung quốc tế vừa phải trong bối cảnh nền kinh tế nội địa khổng lồ của Trung Quốc cũng cung cấp cơ hội tăng trưởng song song.</w:t>
      </w:r>
    </w:p>
    <w:bookmarkEnd w:id="140"/>
    <w:bookmarkStart w:id="141" w:name="Xe662776ac4ed20d7263c0278e37e5e670eb65fc"/>
    <w:p>
      <w:pPr>
        <w:pStyle w:val="Heading3"/>
      </w:pPr>
      <w:r>
        <w:t xml:space="preserve">4.4.2 Kiểm định tính ổn định theo thời gian: Temporal Stability</w:t>
      </w:r>
    </w:p>
    <w:p>
      <w:pPr>
        <w:pStyle w:val="FirstParagraph"/>
      </w:pPr>
      <w:r>
        <w:t xml:space="preserve">Luận án đặt câu hỏi thực nghiệm quan trọng: liệu hình dạng phi tuyến và điểm điểm uốn có thay đổi qua thập kỷ 2012–2024, giai đoạn Trung Quốc chứng kiến nhiều thay đổi chính sách thương mại, căng thẳng địa chính trị và chuyển đổi số mạnh mẽ? Kiểm định Paternoster cho kết quả</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(vế FSTS) và</w:t>
      </w:r>
      <w:r>
        <w:t xml:space="preserve"> </w:t>
      </w:r>
      <m:oMath>
        <m:r>
          <m:t>z</m:t>
        </m:r>
        <m:r>
          <m:rPr>
            <m:sty m:val="p"/>
          </m:rPr>
          <m:t>=</m:t>
        </m:r>
        <m:r>
          <m:rPr>
            <m:sty m:val="p"/>
          </m:rPr>
          <m:t>−</m:t>
        </m:r>
        <m:r>
          <m:t>0</m:t>
        </m:r>
        <m:r>
          <m:rPr>
            <m:sty m:val="p"/>
          </m:rPr>
          <m:t>,</m:t>
        </m:r>
        <m:r>
          <m:t>61</m:t>
        </m:r>
      </m:oMath>
      <w:r>
        <w:t xml:space="preserve">,</w:t>
      </w:r>
      <w:r>
        <w:t xml:space="preserve"> </w:t>
      </w:r>
      <m:oMath>
        <m:r>
          <m:t>p</m:t>
        </m:r>
        <m:r>
          <m:rPr>
            <m:sty m:val="p"/>
          </m:rPr>
          <m:t>=</m:t>
        </m:r>
        <m:r>
          <m:rPr>
            <m:sty m:val="p"/>
          </m:rPr>
          <m:t>,</m:t>
        </m:r>
        <m:r>
          <m:t>545</m:t>
        </m:r>
      </m:oMath>
      <w:r>
        <w:t xml:space="preserve"> </w:t>
      </w:r>
      <w:r>
        <w:t xml:space="preserve">(vế FSTS²), không có ý nghĩa thống kê. Điều này xác nhận rằng</w:t>
      </w:r>
      <w:r>
        <w:t xml:space="preserve"> </w:t>
      </w:r>
      <w:r>
        <w:rPr>
          <w:bCs/>
          <w:b/>
        </w:rPr>
        <w:t xml:space="preserve">điểm điểm uốn ổn định qua thời gian</w:t>
      </w:r>
      <w:r>
        <w:t xml:space="preserve">: sự dịch chuyển từ TP = 49,37% (2012) xuống TP = 47,19% (2024) là không đáng kể về mặt thống kê.</w:t>
      </w:r>
    </w:p>
    <w:p>
      <w:pPr>
        <w:pStyle w:val="BodyText"/>
      </w:pPr>
      <w:r>
        <w:t xml:space="preserve">Kiểm định tương tác thời gian (Temporal H6):</w:t>
      </w:r>
      <w:r>
        <w:t xml:space="preserve">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không có ý nghĩa thống kê, nghĩa là hình dạng tổng thể của quan hệ phi tuyến không biến đổi đáng kể qua giai đoạn phân tích. Phát hiện này cho thấy trong bối cảnh Upper-middle như Trung Quốc, cơ chế căn bản của quan hệ I–P duy trì tính ổn định đáng kể, có thể phản ánh sự bù trừ giữa chi phí thích ứng tăng lên do chính sách thương mại khó đoán và năng lực tổ chức ngày càng trưởng thành của các doanh nghiệp xuất khẩu Trung Quốc.</w:t>
      </w:r>
    </w:p>
    <w:bookmarkEnd w:id="141"/>
    <w:bookmarkStart w:id="142" w:name="vai-trò-của-tci-và-dai"/>
    <w:p>
      <w:pPr>
        <w:pStyle w:val="Heading3"/>
      </w:pPr>
      <w:r>
        <w:t xml:space="preserve">4.4.3 Vai trò của TCI và DAI</w:t>
      </w:r>
    </w:p>
    <w:p>
      <w:pPr>
        <w:pStyle w:val="FirstParagraph"/>
      </w:pPr>
      <w:r>
        <w:t xml:space="preserve">Tương tác</w:t>
      </w:r>
      <w:r>
        <w:t xml:space="preserve"> </w:t>
      </w:r>
      <m:oMath>
        <m:r>
          <m:t>F</m:t>
        </m:r>
        <m:r>
          <m:t>S</m:t>
        </m:r>
        <m:r>
          <m:t>T</m:t>
        </m:r>
        <m:r>
          <m:t>S</m:t>
        </m:r>
        <m:r>
          <m:rPr>
            <m:sty m:val="p"/>
          </m:rPr>
          <m:t>×</m:t>
        </m:r>
        <m:r>
          <m:t>T</m:t>
        </m:r>
        <m:r>
          <m:t>C</m:t>
        </m:r>
        <m:r>
          <m:t>I</m:t>
        </m:r>
      </m:oMath>
      <w:r>
        <w:t xml:space="preserve"> </w:t>
      </w:r>
      <w:r>
        <w:t xml:space="preserve">không đạt ý nghĩa thống kê (null moderation,</w:t>
      </w:r>
      <w:r>
        <w:t xml:space="preserve"> </w:t>
      </w:r>
      <m:oMath>
        <m:r>
          <m:t>p</m:t>
        </m:r>
        <m:r>
          <m:rPr>
            <m:sty m:val="p"/>
          </m:rPr>
          <m:t>&gt;</m:t>
        </m:r>
        <m:r>
          <m:rPr>
            <m:sty m:val="p"/>
          </m:rPr>
          <m:t>,</m:t>
        </m:r>
        <m:r>
          <m:t>10</m:t>
        </m:r>
      </m:oMath>
      <w:r>
        <w:t xml:space="preserve">), cho thấy Technological Capability Index không phát huy vai trò điều tiết đáng kể ở bối cảnh Trung Quốc theo mô hình P5. Tương tự, DAI cũng không cho thấy điều tiết có ý nghĩa trong bối cảnh này. Kết quả null về moderation tại Trung Quốc có thể phản ánh thực tế rằng năng lực công nghệ đã được phân phối tương đối đồng đều hơn trong mẫu doanh nghiệp xuất khẩu Trung Quốc, làm giảm phương sai đủ để phát hiện hiệu ứng điều tiết.</w:t>
      </w:r>
    </w:p>
    <w:p>
      <w:r>
        <w:pict>
          <v:rect style="width:0;height:1.5pt" o:hralign="center" o:hrstd="t" o:hr="t"/>
        </w:pict>
      </w:r>
    </w:p>
    <w:bookmarkEnd w:id="142"/>
    <w:bookmarkEnd w:id="143"/>
    <w:bookmarkStart w:id="148" w:name="Xdbd5cc67084304ba85b73781c0cb0c00b74055b"/>
    <w:p>
      <w:pPr>
        <w:pStyle w:val="Heading2"/>
      </w:pPr>
      <w:r>
        <w:t xml:space="preserve">4.5 Kết quả bối cảnh chuyển đổi bậc thấp–trung: Việt Nam (P3)</w:t>
      </w:r>
    </w:p>
    <w:bookmarkStart w:id="144" w:name="Xfa9060265c18c079d3fb45cfff0778bcd89c27e"/>
    <w:p>
      <w:pPr>
        <w:pStyle w:val="Heading3"/>
      </w:pPr>
      <w:r>
        <w:t xml:space="preserve">4.5.1 Xác nhận quan hệ phi tuyến và hệ số hồi quy</w:t>
      </w:r>
    </w:p>
    <w:p>
      <w:pPr>
        <w:pStyle w:val="FirstParagraph"/>
      </w:pPr>
      <w:r>
        <w:t xml:space="preserve">Phân tích hồi quy bảng (panel regression) trên ba làn sóng khảo sát WBES Việt Nam (2009, 2015, 2023) xác nhận dạng phi tuyến chữ U ngược. Mô hình M4, mô hình chính, cho kết quả:</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0</m:t>
          </m:r>
          <m:r>
            <m:rPr>
              <m:sty m:val="p"/>
            </m:rPr>
            <m:t>,</m:t>
          </m:r>
          <m:r>
            <m:t>431</m:t>
          </m:r>
          <m:r>
            <m:rPr>
              <m:sty m:val="p"/>
            </m:rPr>
            <m:t>,</m:t>
          </m:r>
          <m:r>
            <m:t> </m:t>
          </m:r>
          <m:acc>
            <m:accPr>
              <m:chr m:val="̂"/>
            </m:accPr>
            <m:e>
              <m:r>
                <m:t>β</m:t>
              </m:r>
            </m:e>
          </m:acc>
          <m:d>
            <m:dPr>
              <m:begChr m:val="("/>
              <m:endChr m:val=")"/>
              <m:sepChr m:val=""/>
              <m:grow/>
            </m:dPr>
            <m:e>
              <m:sSubSup>
                <m:e>
                  <m:r>
                    <m:rPr>
                      <m:nor/>
                      <m:sty m:val="p"/>
                    </m:rPr>
                    <m:t>FSTS</m:t>
                  </m:r>
                </m:e>
                <m:sub>
                  <m:r>
                    <m:t>c</m:t>
                  </m:r>
                </m:sub>
                <m:sup>
                  <m:r>
                    <m:t>2</m:t>
                  </m:r>
                </m:sup>
              </m:sSubSup>
            </m:e>
          </m:d>
          <m:r>
            <m:rPr>
              <m:sty m:val="p"/>
            </m:rPr>
            <m:t>=</m:t>
          </m:r>
          <m:r>
            <m:rPr>
              <m:sty m:val="p"/>
            </m:rPr>
            <m:t>−</m:t>
          </m:r>
          <m:r>
            <m:t>0</m:t>
          </m:r>
          <m:r>
            <m:rPr>
              <m:sty m:val="p"/>
            </m:rPr>
            <m:t>,</m:t>
          </m:r>
          <m:r>
            <m:t>553</m:t>
          </m:r>
        </m:oMath>
      </m:oMathPara>
    </w:p>
    <w:p>
      <w:pPr>
        <w:pStyle w:val="FirstParagraph"/>
      </w:pPr>
      <w:r>
        <w:t xml:space="preserve">Cả hai hệ số đều có ý nghĩa thống kê, với hệ số bậc nhất dương và bậc hai âm xác nhận đường cong chữ U ngược. Kiểm định hình thức bằng phương pháp Lind–Mehlum (U-test) cho kết quả</w:t>
      </w:r>
      <w:r>
        <w:t xml:space="preserve"> </w:t>
      </w:r>
      <m:oMath>
        <m:r>
          <m:t>p</m:t>
        </m:r>
        <m:r>
          <m:rPr>
            <m:sty m:val="p"/>
          </m:rPr>
          <m:t>&lt;</m:t>
        </m:r>
        <m:r>
          <m:rPr>
            <m:sty m:val="p"/>
          </m:rPr>
          <m:t>,</m:t>
        </m:r>
        <m:r>
          <m:t>001</m:t>
        </m:r>
      </m:oMath>
      <w:r>
        <w:t xml:space="preserve">, bằng chứng thống kê mạnh nhất trong tất cả các mẫu quốc gia của luận án.</w:t>
      </w:r>
    </w:p>
    <w:bookmarkEnd w:id="144"/>
    <w:bookmarkStart w:id="145" w:name="điểm-điểm-uốn-theo-làn-sóng"/>
    <w:p>
      <w:pPr>
        <w:pStyle w:val="Heading3"/>
      </w:pPr>
      <w:r>
        <w:t xml:space="preserve">4.5.2 Điểm điểm uốn theo làn sóng</w:t>
      </w:r>
    </w:p>
    <w:p>
      <w:pPr>
        <w:pStyle w:val="FirstParagraph"/>
      </w:pPr>
      <w:r>
        <w:t xml:space="preserve">Điểm uốn được ước lượng riêng cho từng làn sóng và cho pooled: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Làn sóng</w:t>
            </w:r>
          </w:p>
        </w:tc>
        <w:tc>
          <w:tcPr/>
          <w:p>
            <w:pPr>
              <w:pStyle w:val="Compact"/>
              <w:jc w:val="left"/>
            </w:pPr>
            <w:r>
              <w:t xml:space="preserve">Turning Point</w:t>
            </w:r>
          </w:p>
        </w:tc>
      </w:tr>
      <w:tr>
        <w:tc>
          <w:tcPr/>
          <w:p>
            <w:pPr>
              <w:pStyle w:val="Compact"/>
              <w:jc w:val="left"/>
            </w:pPr>
            <w:r>
              <w:t xml:space="preserve">2009</w:t>
            </w:r>
          </w:p>
        </w:tc>
        <w:tc>
          <w:tcPr/>
          <w:p>
            <w:pPr>
              <w:pStyle w:val="Compact"/>
              <w:jc w:val="left"/>
            </w:pPr>
            <w:r>
              <w:t xml:space="preserve">46,2% FSTS</w:t>
            </w:r>
          </w:p>
        </w:tc>
      </w:tr>
      <w:tr>
        <w:tc>
          <w:tcPr/>
          <w:p>
            <w:pPr>
              <w:pStyle w:val="Compact"/>
              <w:jc w:val="left"/>
            </w:pPr>
            <w:r>
              <w:t xml:space="preserve">2015</w:t>
            </w:r>
          </w:p>
        </w:tc>
        <w:tc>
          <w:tcPr/>
          <w:p>
            <w:pPr>
              <w:pStyle w:val="Compact"/>
              <w:jc w:val="left"/>
            </w:pPr>
            <w:r>
              <w:t xml:space="preserve">39,3% FSTS</w:t>
            </w:r>
          </w:p>
        </w:tc>
      </w:tr>
      <w:tr>
        <w:tc>
          <w:tcPr/>
          <w:p>
            <w:pPr>
              <w:pStyle w:val="Compact"/>
              <w:jc w:val="left"/>
            </w:pPr>
            <w:r>
              <w:t xml:space="preserve">2023</w:t>
            </w:r>
          </w:p>
        </w:tc>
        <w:tc>
          <w:tcPr/>
          <w:p>
            <w:pPr>
              <w:pStyle w:val="Compact"/>
              <w:jc w:val="left"/>
            </w:pPr>
            <w:r>
              <w:t xml:space="preserve">41,6% FSTS</w:t>
            </w:r>
          </w:p>
        </w:tc>
      </w:tr>
      <w:tr>
        <w:tc>
          <w:tcPr/>
          <w:p>
            <w:pPr>
              <w:pStyle w:val="Compact"/>
              <w:jc w:val="left"/>
            </w:pPr>
            <w:r>
              <w:t xml:space="preserve">Pooled</w:t>
            </w:r>
          </w:p>
        </w:tc>
        <w:tc>
          <w:tcPr/>
          <w:p>
            <w:pPr>
              <w:pStyle w:val="Compact"/>
              <w:jc w:val="left"/>
            </w:pPr>
            <w:r>
              <w:t xml:space="preserve">39,7% FSTS</w:t>
            </w:r>
          </w:p>
        </w:tc>
      </w:tr>
    </w:tbl>
    <w:p>
      <w:pPr>
        <w:pStyle w:val="BodyText"/>
      </w:pPr>
      <w:r>
        <w:t xml:space="preserve">Điểm điểm uốn trong khoảng</w:t>
      </w:r>
      <w:r>
        <w:t xml:space="preserve"> </w:t>
      </w:r>
      <w:r>
        <w:rPr>
          <w:bCs/>
          <w:b/>
        </w:rPr>
        <w:t xml:space="preserve">39–46% FSTS</w:t>
      </w:r>
      <w:r>
        <w:t xml:space="preserve"> </w:t>
      </w:r>
      <w:r>
        <w:t xml:space="preserve">đặt Việt Nam ở mức</w:t>
      </w:r>
      <w:r>
        <w:t xml:space="preserve"> </w:t>
      </w:r>
      <w:r>
        <w:t xml:space="preserve">“</w:t>
      </w:r>
      <w:r>
        <w:t xml:space="preserve">thấp hơn đáng kể</w:t>
      </w:r>
      <w:r>
        <w:t xml:space="preserve">”</w:t>
      </w:r>
      <w:r>
        <w:t xml:space="preserve"> </w:t>
      </w:r>
      <w:r>
        <w:t xml:space="preserve">so với Singapore (TP ≈ 88,6%) và tương đương hoặc thấp hơn Trung Quốc (TP ≈ 48,78%). Kiểm định Paternoster so sánh điểm uốn giữa 2009 và 2015 cho kết quả</w:t>
      </w:r>
      <w:r>
        <w:t xml:space="preserve"> </w:t>
      </w:r>
      <m:oMath>
        <m:r>
          <m:t>z</m:t>
        </m:r>
        <m:r>
          <m:rPr>
            <m:sty m:val="p"/>
          </m:rPr>
          <m:t>=</m:t>
        </m:r>
        <m:r>
          <m:t>3</m:t>
        </m:r>
        <m:r>
          <m:rPr>
            <m:sty m:val="p"/>
          </m:rPr>
          <m:t>,</m:t>
        </m:r>
        <m:r>
          <m:t>353</m:t>
        </m:r>
      </m:oMath>
      <w:r>
        <w:t xml:space="preserve">,</w:t>
      </w:r>
      <w:r>
        <w:t xml:space="preserve"> </w:t>
      </w:r>
      <m:oMath>
        <m:r>
          <m:t>p</m:t>
        </m:r>
        <m:r>
          <m:rPr>
            <m:sty m:val="p"/>
          </m:rPr>
          <m:t>&lt;</m:t>
        </m:r>
        <m:r>
          <m:rPr>
            <m:sty m:val="p"/>
          </m:rPr>
          <m:t>,</m:t>
        </m:r>
        <m:r>
          <m:t>001</m:t>
        </m:r>
      </m:oMath>
      <w:r>
        <w:t xml:space="preserve">, có ý nghĩa thống kê, cho thấy điểm uốn đã dịch chuyển đáng kể từ 46,2% xuống 39,3% giữa hai làn sóng.</w:t>
      </w:r>
    </w:p>
    <w:bookmarkEnd w:id="145"/>
    <w:bookmarkStart w:id="146" w:name="điều-tiết-bởi-tci-tích-cực-và-có-ý-nghĩa"/>
    <w:p>
      <w:pPr>
        <w:pStyle w:val="Heading3"/>
      </w:pPr>
      <w:r>
        <w:t xml:space="preserve">4.5.3 Điều tiết bởi TCI: Tích cực và có ý nghĩa</w:t>
      </w:r>
    </w:p>
    <w:p>
      <w:pPr>
        <w:pStyle w:val="FirstParagraph"/>
      </w:pPr>
      <w:r>
        <w:t xml:space="preserve">Mô hình M6 với tương tác</w:t>
      </w:r>
      <w:r>
        <w:t xml:space="preserve"> </w:t>
      </w:r>
      <m:oMath>
        <m:r>
          <m:t>F</m:t>
        </m:r>
        <m:r>
          <m:t>S</m:t>
        </m:r>
        <m:r>
          <m:t>T</m:t>
        </m:r>
        <m:r>
          <m:t>S</m:t>
        </m:r>
        <m:r>
          <m:rPr>
            <m:sty m:val="p"/>
          </m:rPr>
          <m:t>×</m:t>
        </m:r>
        <m:r>
          <m:t>T</m:t>
        </m:r>
        <m:r>
          <m:t>C</m:t>
        </m:r>
        <m:r>
          <m:t>I</m:t>
        </m:r>
      </m:oMath>
      <w:r>
        <w:t xml:space="preserve"> </w:t>
      </w:r>
      <w:r>
        <w:t xml:space="preserve">cho kết quả</w:t>
      </w:r>
      <w:r>
        <w:t xml:space="preserve"> </w:t>
      </w:r>
      <w:r>
        <w:rPr>
          <w:bCs/>
          <w:b/>
        </w:rPr>
        <w:t xml:space="preserve">dương và có ý nghĩa thống kê</w:t>
      </w:r>
      <w:r>
        <w:t xml:space="preserve">: TCI làm nâng cao mặt bằng hiệu quả và khuếch đại tác động tích cực của quốc tế hóa. Doanh nghiệp Việt Nam có năng lực công nghệ tốt hơn (đo bằng TCI) đạt hiệu quả cao hơn từ quá trình quốc tế hóa, nhất quán với H2 trong khung lý thuyết CDCM.</w:t>
      </w:r>
    </w:p>
    <w:bookmarkEnd w:id="146"/>
    <w:bookmarkStart w:id="147" w:name="điều-tiết-bởi-dai-không-có-ý-nghĩa"/>
    <w:p>
      <w:pPr>
        <w:pStyle w:val="Heading3"/>
      </w:pPr>
      <w:r>
        <w:t xml:space="preserve">4.5.4 Điều tiết bởi DAI: Không có ý nghĩa</w:t>
      </w:r>
    </w:p>
    <w:p>
      <w:pPr>
        <w:pStyle w:val="FirstParagraph"/>
      </w:pPr>
      <w:r>
        <w:t xml:space="preserve">Mô hình M5 với tương tác</w:t>
      </w:r>
      <w:r>
        <w:t xml:space="preserve"> </w:t>
      </w:r>
      <m:oMath>
        <m:r>
          <m:t>F</m:t>
        </m:r>
        <m:r>
          <m:t>S</m:t>
        </m:r>
        <m:r>
          <m:t>T</m:t>
        </m:r>
        <m:r>
          <m:t>S</m:t>
        </m:r>
        <m:r>
          <m:rPr>
            <m:sty m:val="p"/>
          </m:rPr>
          <m:t>×</m:t>
        </m:r>
        <m:r>
          <m:t>D</m:t>
        </m:r>
        <m:r>
          <m:t>A</m:t>
        </m:r>
        <m:r>
          <m:t>I</m:t>
        </m:r>
      </m:oMath>
      <w:r>
        <w:t xml:space="preserve"> </w:t>
      </w:r>
      <w:r>
        <w:t xml:space="preserve">(chỉ bao gồm Tier-1 DAI do giới hạn đo lường WBES trong các làn sóng này) cho kết quả yếu dương nhưng không có ý nghĩa thống kê. Kết quả này có thể phản ánh hạn chế về đo lường: Tier-1 DAI chỉ nắm bắt mức độ chấp nhận số bề mặt (website, email, online sales) chứ không đo lường được chiều sâu năng lực số. Với dữ liệu WBES Việt Nam chỉ cung cấp Tier-1, không đủ phân biệt để phát hiện hiệu ứng điều tiết tinh tế hơn.</w:t>
      </w:r>
    </w:p>
    <w:p>
      <w:r>
        <w:pict>
          <v:rect style="width:0;height:1.5pt" o:hralign="center" o:hrstd="t" o:hr="t"/>
        </w:pict>
      </w:r>
    </w:p>
    <w:bookmarkEnd w:id="147"/>
    <w:bookmarkEnd w:id="148"/>
    <w:bookmarkStart w:id="155" w:name="X561afa853383c674354c1acb167a55cae3a018f"/>
    <w:p>
      <w:pPr>
        <w:pStyle w:val="Heading2"/>
      </w:pPr>
      <w:r>
        <w:t xml:space="preserve">4.6 Kết quả kiểm định toàn mẫu đa bối cảnh châu Á (P7)</w:t>
      </w:r>
    </w:p>
    <w:bookmarkStart w:id="149" w:name="mẫu-và-mô-hình-chính"/>
    <w:p>
      <w:pPr>
        <w:pStyle w:val="Heading3"/>
      </w:pPr>
      <w:r>
        <w:t xml:space="preserve">4.6.1 Mẫu và mô hình chính</w:t>
      </w:r>
    </w:p>
    <w:p>
      <w:pPr>
        <w:pStyle w:val="FirstParagraph"/>
      </w:pPr>
      <w:r>
        <w:t xml:space="preserve">Phân tích P7 là kiểm định quy mô lớn nhất của luận án, kết hợp tất cả các bối cảnh ICRV trong khu vực châu Á và Thái Bình Dương trên khung</w:t>
      </w:r>
      <w:r>
        <w:t xml:space="preserve"> </w:t>
      </w:r>
      <w:r>
        <w:rPr>
          <w:bCs/>
          <w:b/>
        </w:rPr>
        <w:t xml:space="preserve">50 nền kinh tế</w:t>
      </w:r>
      <w:r>
        <w:t xml:space="preserve"> </w:t>
      </w:r>
      <w:r>
        <w:t xml:space="preserve">(gồm Nhật Bản, đợt khảo sát đầu tiên năm 2025), 103 cặp nền kinh tế và năm, với</w:t>
      </w:r>
      <w:r>
        <w:t xml:space="preserve"> </w:t>
      </w:r>
      <m:oMath>
        <m:r>
          <m:t>N</m:t>
        </m:r>
        <m:r>
          <m:rPr>
            <m:sty m:val="p"/>
          </m:rPr>
          <m:t>=</m:t>
        </m:r>
        <m:r>
          <m:t>81.022</m:t>
        </m:r>
      </m:oMath>
      <w:r>
        <w:rPr>
          <w:bCs/>
          <w:b/>
        </w:rPr>
        <w:t xml:space="preserve"> </w:t>
      </w:r>
      <w:r>
        <w:rPr>
          <w:bCs/>
          <w:b/>
        </w:rPr>
        <w:t xml:space="preserve">quan sát</w:t>
      </w:r>
      <w:r>
        <w:t xml:space="preserve"> </w:t>
      </w:r>
      <w:r>
        <w:t xml:space="preserve">ở đặc tả bậc hai cơ sở (M2) và</w:t>
      </w:r>
      <w:r>
        <w:t xml:space="preserve"> </w:t>
      </w:r>
      <m:oMath>
        <m:r>
          <m:t>N</m:t>
        </m:r>
        <m:r>
          <m:rPr>
            <m:sty m:val="p"/>
          </m:rPr>
          <m:t>=</m:t>
        </m:r>
        <m:r>
          <m:t>79.080</m:t>
        </m:r>
      </m:oMath>
      <w:r>
        <w:t xml:space="preserve"> </w:t>
      </w:r>
      <w:r>
        <w:t xml:space="preserve">khi bổ sung đầy đủ biến kiểm soát (M5). Biến phụ thuộc là năng suất lao động chuẩn hóa z trong từng cặp nền kinh tế và năm (trung hòa tiền tệ, winsorize 1/99 trong đợt); mọi mô hình có hiệu ứng cố định nền kinh tế và năm, sai số chuẩn cụm theo nền kinh tế. Mô hình M5, cấu hình đầy đủ với các biến kiểm soát sở hữu nước ngoài, tuổi doanh nghiệp, TCI và DAI, ước lượng điểm uốn gộp:</w:t>
      </w:r>
    </w:p>
    <w:p>
      <w:pPr>
        <w:pStyle w:val="BodyText"/>
      </w:pPr>
      <m:oMathPara>
        <m:oMathParaPr>
          <m:jc m:val="center"/>
        </m:oMathParaPr>
        <m:oMath>
          <m:r>
            <m:rPr>
              <m:nor/>
              <m:sty m:val="p"/>
            </m:rPr>
            <m:t>TP(M5)</m:t>
          </m:r>
          <m:r>
            <m:rPr>
              <m:sty m:val="p"/>
            </m:rPr>
            <m:t>=</m:t>
          </m:r>
          <m:r>
            <m:t>43</m:t>
          </m:r>
          <m:r>
            <m:rPr>
              <m:sty m:val="p"/>
            </m:rPr>
            <m:t>,</m:t>
          </m:r>
          <m:r>
            <m:t>6</m:t>
          </m:r>
          <m:r>
            <m:rPr>
              <m:sty m:val="p"/>
            </m:rPr>
            <m:t>%</m:t>
          </m:r>
          <m:r>
            <m:rPr>
              <m:nor/>
              <m:sty m:val="p"/>
            </m:rPr>
            <m:t> FSTS</m:t>
          </m:r>
          <m:r>
            <m:t> </m:t>
          </m:r>
          <m:d>
            <m:dPr>
              <m:begChr m:val="("/>
              <m:endChr m:val=")"/>
              <m:sepChr m:val=""/>
              <m:grow/>
            </m:dPr>
            <m:e>
              <m:sSub>
                <m:e>
                  <m:r>
                    <m:t>p</m:t>
                  </m:r>
                </m:e>
                <m:sub>
                  <m:r>
                    <m:rPr>
                      <m:nor/>
                      <m:sty m:val="p"/>
                    </m:rPr>
                    <m:t>LM</m:t>
                  </m:r>
                </m:sub>
              </m:sSub>
              <m:r>
                <m:rPr>
                  <m:sty m:val="p"/>
                </m:rPr>
                <m:t>&lt;</m:t>
              </m:r>
              <m:r>
                <m:rPr>
                  <m:sty m:val="p"/>
                </m:rPr>
                <m:t>,</m:t>
              </m:r>
              <m:r>
                <m:t>001</m:t>
              </m:r>
            </m:e>
          </m:d>
        </m:oMath>
      </m:oMathPara>
    </w:p>
    <w:p>
      <w:pPr>
        <w:pStyle w:val="FirstParagraph"/>
      </w:pPr>
      <w:r>
        <w:t xml:space="preserve">Điểm uốn dao động nhất quán trong dải</w:t>
      </w:r>
      <w:r>
        <w:t xml:space="preserve"> </w:t>
      </w:r>
      <w:r>
        <w:rPr>
          <w:bCs/>
          <w:b/>
        </w:rPr>
        <w:t xml:space="preserve">43,6–51,5%</w:t>
      </w:r>
      <w:r>
        <w:t xml:space="preserve"> </w:t>
      </w:r>
      <w:r>
        <w:t xml:space="preserve">FSTS qua các đặc tả M2 đến M10, với kiểm định Lind và Mehlum có ý nghĩa thống kê cao ở mọi cấu hình. Tính nhất quán này bác bỏ giả thuyết rằng chữ U ngược chỉ là sản phẩm phụ của mẫu nhỏ hay thiếu biến kiểm soát.</w:t>
      </w:r>
    </w:p>
    <w:p>
      <w:pPr>
        <w:pStyle w:val="BodyText"/>
      </w:pPr>
      <w:r>
        <w:t xml:space="preserve">Bảng 4.4 trình bày tiến triển các mô hình lồng nhau, từ đặc tả bậc hai cơ sở đến các mô hình điều tiết, cho thấy điểm uốn ổn định và quan hệ chữ U ngược được xác nhận qua mọi cấu hình.</w:t>
      </w:r>
    </w:p>
    <w:p>
      <w:pPr>
        <w:pStyle w:val="BodyText"/>
      </w:pPr>
      <w:r>
        <w:rPr>
          <w:bCs/>
          <w:b/>
        </w:rPr>
        <w:t xml:space="preserve">Bảng 4.4.</w:t>
      </w:r>
      <w:r>
        <w:t xml:space="preserve"> </w:t>
      </w:r>
      <w:r>
        <w:rPr>
          <w:iCs/>
          <w:i/>
        </w:rPr>
        <w:t xml:space="preserve">Tiến triển mô hình của P7 trên khung 50 nền kinh tế: điểm uốn và kiểm định Lind và Mehlum.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Mô hình</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Đặc tả bổ sung</w:t>
            </w:r>
          </w:p>
        </w:tc>
      </w:tr>
      <w:tr>
        <w:tc>
          <w:tcPr/>
          <w:p>
            <w:pPr>
              <w:pStyle w:val="Compact"/>
              <w:jc w:val="left"/>
            </w:pPr>
            <w:r>
              <w:t xml:space="preserve">M2</w:t>
            </w:r>
          </w:p>
        </w:tc>
        <w:tc>
          <w:tcPr/>
          <w:p>
            <w:pPr>
              <w:pStyle w:val="Compact"/>
              <w:jc w:val="right"/>
            </w:pPr>
            <w:r>
              <w:t xml:space="preserve">81.022</w:t>
            </w:r>
          </w:p>
        </w:tc>
        <w:tc>
          <w:tcPr/>
          <w:p>
            <w:pPr>
              <w:pStyle w:val="Compact"/>
              <w:jc w:val="left"/>
            </w:pPr>
            <w:r>
              <w:t xml:space="preserve">+1,189 (&lt;,001)</w:t>
            </w:r>
          </w:p>
        </w:tc>
        <w:tc>
          <w:tcPr/>
          <w:p>
            <w:pPr>
              <w:pStyle w:val="Compact"/>
              <w:jc w:val="left"/>
            </w:pPr>
            <w:r>
              <w:t xml:space="preserve">−1,398 (&lt;,001)</w:t>
            </w:r>
          </w:p>
        </w:tc>
        <w:tc>
          <w:tcPr/>
          <w:p>
            <w:pPr>
              <w:pStyle w:val="Compact"/>
              <w:jc w:val="right"/>
            </w:pPr>
            <w:r>
              <w:t xml:space="preserve">51,5%</w:t>
            </w:r>
          </w:p>
        </w:tc>
        <w:tc>
          <w:tcPr/>
          <w:p>
            <w:pPr>
              <w:pStyle w:val="Compact"/>
              <w:jc w:val="right"/>
            </w:pPr>
            <w:r>
              <w:t xml:space="preserve">&lt;,001</w:t>
            </w:r>
          </w:p>
        </w:tc>
        <w:tc>
          <w:tcPr/>
          <w:p>
            <w:pPr>
              <w:pStyle w:val="Compact"/>
              <w:jc w:val="left"/>
            </w:pPr>
            <w:r>
              <w:t xml:space="preserve">FSTS + FSTS², FE hai chiều</w:t>
            </w:r>
          </w:p>
        </w:tc>
      </w:tr>
      <w:tr>
        <w:tc>
          <w:tcPr/>
          <w:p>
            <w:pPr>
              <w:pStyle w:val="Compact"/>
              <w:jc w:val="left"/>
            </w:pPr>
            <w:r>
              <w:rPr>
                <w:bCs/>
                <w:b/>
              </w:rPr>
              <w:t xml:space="preserve">M5</w:t>
            </w:r>
          </w:p>
        </w:tc>
        <w:tc>
          <w:tcPr/>
          <w:p>
            <w:pPr>
              <w:pStyle w:val="Compact"/>
              <w:jc w:val="right"/>
            </w:pPr>
            <w:r>
              <w:rPr>
                <w:bCs/>
                <w:b/>
              </w:rPr>
              <w:t xml:space="preserve">79.080</w:t>
            </w:r>
          </w:p>
        </w:tc>
        <w:tc>
          <w:tcPr/>
          <w:p>
            <w:pPr>
              <w:pStyle w:val="Compact"/>
              <w:jc w:val="left"/>
            </w:pPr>
            <w:r>
              <w:rPr>
                <w:bCs/>
                <w:b/>
              </w:rPr>
              <w:t xml:space="preserve">+0,500 (&lt;,001)</w:t>
            </w:r>
          </w:p>
        </w:tc>
        <w:tc>
          <w:tcPr/>
          <w:p>
            <w:pPr>
              <w:pStyle w:val="Compact"/>
              <w:jc w:val="left"/>
            </w:pPr>
            <w:r>
              <w:rPr>
                <w:bCs/>
                <w:b/>
              </w:rPr>
              <w:t xml:space="preserve">−0,721 (&lt;,001)</w:t>
            </w:r>
          </w:p>
        </w:tc>
        <w:tc>
          <w:tcPr/>
          <w:p>
            <w:pPr>
              <w:pStyle w:val="Compact"/>
              <w:jc w:val="right"/>
            </w:pPr>
            <w:r>
              <w:rPr>
                <w:bCs/>
                <w:b/>
              </w:rPr>
              <w:t xml:space="preserve">43,6%</w:t>
            </w:r>
          </w:p>
        </w:tc>
        <w:tc>
          <w:tcPr/>
          <w:p>
            <w:pPr>
              <w:pStyle w:val="Compact"/>
              <w:jc w:val="right"/>
            </w:pPr>
            <w:r>
              <w:rPr>
                <w:bCs/>
                <w:b/>
              </w:rPr>
              <w:t xml:space="preserve">&lt;,001</w:t>
            </w:r>
          </w:p>
        </w:tc>
        <w:tc>
          <w:tcPr/>
          <w:p>
            <w:pPr>
              <w:pStyle w:val="Compact"/>
              <w:jc w:val="left"/>
            </w:pPr>
            <w:r>
              <w:rPr>
                <w:bCs/>
                <w:b/>
              </w:rPr>
              <w:t xml:space="preserve">+ kiểm soát (mô hình chính)</w:t>
            </w:r>
          </w:p>
        </w:tc>
      </w:tr>
      <w:tr>
        <w:tc>
          <w:tcPr/>
          <w:p>
            <w:pPr>
              <w:pStyle w:val="Compact"/>
              <w:jc w:val="left"/>
            </w:pPr>
            <w:r>
              <w:t xml:space="preserve">M7</w:t>
            </w:r>
          </w:p>
        </w:tc>
        <w:tc>
          <w:tcPr/>
          <w:p>
            <w:pPr>
              <w:pStyle w:val="Compact"/>
              <w:jc w:val="right"/>
            </w:pPr>
            <w:r>
              <w:t xml:space="preserve">79.220</w:t>
            </w:r>
          </w:p>
        </w:tc>
        <w:tc>
          <w:tcPr/>
          <w:p>
            <w:pPr>
              <w:pStyle w:val="Compact"/>
              <w:jc w:val="left"/>
            </w:pPr>
            <w:r>
              <w:t xml:space="preserve">+0,627 (&lt;,001)</w:t>
            </w:r>
          </w:p>
        </w:tc>
        <w:tc>
          <w:tcPr/>
          <w:p>
            <w:pPr>
              <w:pStyle w:val="Compact"/>
              <w:jc w:val="left"/>
            </w:pPr>
            <w:r>
              <w:t xml:space="preserve">−0,836 (&lt;,001)</w:t>
            </w:r>
          </w:p>
        </w:tc>
        <w:tc>
          <w:tcPr/>
          <w:p>
            <w:pPr>
              <w:pStyle w:val="Compact"/>
              <w:jc w:val="right"/>
            </w:pPr>
            <w:r>
              <w:t xml:space="preserve">46,4%</w:t>
            </w:r>
          </w:p>
        </w:tc>
        <w:tc>
          <w:tcPr/>
          <w:p>
            <w:pPr>
              <w:pStyle w:val="Compact"/>
              <w:jc w:val="right"/>
            </w:pPr>
            <w:r>
              <w:t xml:space="preserve">&lt;,001</w:t>
            </w:r>
          </w:p>
        </w:tc>
        <w:tc>
          <w:tcPr/>
          <w:p>
            <w:pPr>
              <w:pStyle w:val="Compact"/>
              <w:jc w:val="left"/>
            </w:pPr>
            <w:r>
              <w:t xml:space="preserve">+ TCI và tương tác TCI</w:t>
            </w:r>
          </w:p>
        </w:tc>
      </w:tr>
      <w:tr>
        <w:tc>
          <w:tcPr/>
          <w:p>
            <w:pPr>
              <w:pStyle w:val="Compact"/>
              <w:jc w:val="left"/>
            </w:pPr>
            <w:r>
              <w:t xml:space="preserve">M8</w:t>
            </w:r>
          </w:p>
        </w:tc>
        <w:tc>
          <w:tcPr/>
          <w:p>
            <w:pPr>
              <w:pStyle w:val="Compact"/>
              <w:jc w:val="right"/>
            </w:pPr>
            <w:r>
              <w:t xml:space="preserve">79.080</w:t>
            </w:r>
          </w:p>
        </w:tc>
        <w:tc>
          <w:tcPr/>
          <w:p>
            <w:pPr>
              <w:pStyle w:val="Compact"/>
              <w:jc w:val="left"/>
            </w:pPr>
            <w:r>
              <w:t xml:space="preserve">+0,704 (&lt;,001)</w:t>
            </w:r>
          </w:p>
        </w:tc>
        <w:tc>
          <w:tcPr/>
          <w:p>
            <w:pPr>
              <w:pStyle w:val="Compact"/>
              <w:jc w:val="left"/>
            </w:pPr>
            <w:r>
              <w:t xml:space="preserve">−0,924 (&lt;,001)</w:t>
            </w:r>
          </w:p>
        </w:tc>
        <w:tc>
          <w:tcPr/>
          <w:p>
            <w:pPr>
              <w:pStyle w:val="Compact"/>
              <w:jc w:val="right"/>
            </w:pPr>
            <w:r>
              <w:t xml:space="preserve">47,1%</w:t>
            </w:r>
          </w:p>
        </w:tc>
        <w:tc>
          <w:tcPr/>
          <w:p>
            <w:pPr>
              <w:pStyle w:val="Compact"/>
              <w:jc w:val="right"/>
            </w:pPr>
            <w:r>
              <w:t xml:space="preserve">&lt;,001</w:t>
            </w:r>
          </w:p>
        </w:tc>
        <w:tc>
          <w:tcPr/>
          <w:p>
            <w:pPr>
              <w:pStyle w:val="Compact"/>
              <w:jc w:val="left"/>
            </w:pPr>
            <w:r>
              <w:t xml:space="preserve">+ DAI và tương tác DAI</w:t>
            </w:r>
          </w:p>
        </w:tc>
      </w:tr>
      <w:tr>
        <w:tc>
          <w:tcPr/>
          <w:p>
            <w:pPr>
              <w:pStyle w:val="Compact"/>
              <w:jc w:val="left"/>
            </w:pPr>
            <w:r>
              <w:t xml:space="preserve">M10</w:t>
            </w:r>
          </w:p>
        </w:tc>
        <w:tc>
          <w:tcPr/>
          <w:p>
            <w:pPr>
              <w:pStyle w:val="Compact"/>
              <w:jc w:val="right"/>
            </w:pPr>
            <w:r>
              <w:t xml:space="preserve">79.080</w:t>
            </w:r>
          </w:p>
        </w:tc>
        <w:tc>
          <w:tcPr/>
          <w:p>
            <w:pPr>
              <w:pStyle w:val="Compact"/>
              <w:jc w:val="left"/>
            </w:pPr>
            <w:r>
              <w:t xml:space="preserve">+0,615 (&lt;,001)</w:t>
            </w:r>
          </w:p>
        </w:tc>
        <w:tc>
          <w:tcPr/>
          <w:p>
            <w:pPr>
              <w:pStyle w:val="Compact"/>
              <w:jc w:val="left"/>
            </w:pPr>
            <w:r>
              <w:t xml:space="preserve">−0,833 (&lt;,001)</w:t>
            </w:r>
          </w:p>
        </w:tc>
        <w:tc>
          <w:tcPr/>
          <w:p>
            <w:pPr>
              <w:pStyle w:val="Compact"/>
              <w:jc w:val="right"/>
            </w:pPr>
            <w:r>
              <w:t xml:space="preserve">45,9%</w:t>
            </w:r>
          </w:p>
        </w:tc>
        <w:tc>
          <w:tcPr/>
          <w:p>
            <w:pPr>
              <w:pStyle w:val="Compact"/>
              <w:jc w:val="right"/>
            </w:pPr>
            <w:r>
              <w:t xml:space="preserve">&lt;,001</w:t>
            </w:r>
          </w:p>
        </w:tc>
        <w:tc>
          <w:tcPr/>
          <w:p>
            <w:pPr>
              <w:pStyle w:val="Compact"/>
              <w:jc w:val="left"/>
            </w:pPr>
            <w:r>
              <w:t xml:space="preserve">+ tương tác chế độ thể chế yếu</w:t>
            </w:r>
          </w:p>
        </w:tc>
      </w:tr>
    </w:tbl>
    <w:p>
      <w:pPr>
        <w:pStyle w:val="BodyText"/>
      </w:pPr>
      <w:r>
        <w:rPr>
          <w:iCs/>
          <w:i/>
        </w:rPr>
        <w:t xml:space="preserve">Nguồn: ước lượng của tác giả trên khung 50 nền (tái lập:</w:t>
      </w:r>
      <w:r>
        <w:rPr>
          <w:iCs/>
          <w:i/>
        </w:rPr>
        <w:t xml:space="preserve"> </w:t>
      </w:r>
      <w:r>
        <w:rPr>
          <w:rStyle w:val="VerbatimChar"/>
          <w:iCs/>
          <w:i/>
        </w:rPr>
        <w:t xml:space="preserve">scripts/p7_run_50econ.py</w:t>
      </w:r>
      <w:r>
        <w:rPr>
          <w:iCs/>
          <w:i/>
        </w:rPr>
        <w:t xml:space="preserve">). Biến kiểm soát: sở hữu nước ngoài ≥10%, ln(tuổi doanh nghiệp), TCI chuẩn hóa, DAI. Điểm uốn xác nhận bằng kiểm định Lind và Mehlum (2010), một phía. Sai số chuẩn cụm theo nền kinh tế.</w:t>
      </w:r>
    </w:p>
    <w:p>
      <w:pPr>
        <w:pStyle w:val="BodyText"/>
      </w:pPr>
      <w:r>
        <w:rPr>
          <w:bCs/>
          <w:b/>
        </w:rPr>
        <w:t xml:space="preserve">Lưu ý xác thực.</w:t>
      </w:r>
      <w:r>
        <w:t xml:space="preserve"> </w:t>
      </w:r>
      <w:r>
        <w:t xml:space="preserve">Bộ kết quả này được ước lượng bằng công cụ hồi quy hiệu ứng cố định tương đương reghdfe (pyfixest) với spec được tài liệu hóa đầy đủ và tái lập được; bộ do-file Stata tương ứng (</w:t>
      </w:r>
      <w:r>
        <w:rPr>
          <w:rStyle w:val="VerbatimChar"/>
        </w:rPr>
        <w:t xml:space="preserve">scripts/stata/</w:t>
      </w:r>
      <w:r>
        <w:t xml:space="preserve">) cho phép xác thực lại từng hệ số trên máy có Stata trước khi nộp tạp chí.</w:t>
      </w:r>
    </w:p>
    <w:bookmarkEnd w:id="149"/>
    <w:bookmarkStart w:id="153" w:name="Xdf270642fda085fbdd4dd23ef5f7d1faa056489"/>
    <w:p>
      <w:pPr>
        <w:pStyle w:val="Heading3"/>
      </w:pPr>
      <w:r>
        <w:t xml:space="preserve">4.6.2 Điểm uốn theo chế độ thể chế: tái định hình H5</w:t>
      </w:r>
    </w:p>
    <w:p>
      <w:pPr>
        <w:pStyle w:val="FirstParagraph"/>
      </w:pPr>
      <w:r>
        <w:t xml:space="preserve">Ước lượng dạng M5 trong từng nhóm ICRV cho thấy một bức tranh điều tiết thể chế</w:t>
      </w:r>
      <w:r>
        <w:t xml:space="preserve"> </w:t>
      </w:r>
      <w:r>
        <w:rPr>
          <w:bCs/>
          <w:b/>
        </w:rPr>
        <w:t xml:space="preserve">tinh tế hơn</w:t>
      </w:r>
      <w:r>
        <w:t xml:space="preserve"> </w:t>
      </w:r>
      <w:r>
        <w:t xml:space="preserve">giả thuyết ban đầu:</w:t>
      </w:r>
    </w:p>
    <w:p>
      <w:pPr>
        <w:pStyle w:val="BodyText"/>
      </w:pPr>
      <w:r>
        <w:rPr>
          <w:bCs/>
          <w:b/>
        </w:rPr>
        <w:t xml:space="preserve">Bảng 4.5.</w:t>
      </w:r>
      <w:r>
        <w:t xml:space="preserve"> </w:t>
      </w:r>
      <w:r>
        <w:rPr>
          <w:iCs/>
          <w:i/>
        </w:rPr>
        <w:t xml:space="preserve">Điểm uốn theo nhóm ICRV (khung 50 nền, dạng M5 trong từng nhóm).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 ICRV</w:t>
            </w:r>
          </w:p>
        </w:tc>
        <w:tc>
          <w:tcPr/>
          <w:p>
            <w:pPr>
              <w:pStyle w:val="Compact"/>
              <w:jc w:val="right"/>
            </w:pPr>
            <w:r>
              <w:t xml:space="preserve">N</w:t>
            </w:r>
          </w:p>
        </w:tc>
        <w:tc>
          <w:tcPr/>
          <w:p>
            <w:pPr>
              <w:pStyle w:val="Compact"/>
              <w:jc w:val="left"/>
            </w:pPr>
            <w:r>
              <w:t xml:space="preserve">β₁ (p)</w:t>
            </w:r>
          </w:p>
        </w:tc>
        <w:tc>
          <w:tcPr/>
          <w:p>
            <w:pPr>
              <w:pStyle w:val="Compact"/>
              <w:jc w:val="left"/>
            </w:pPr>
            <w:r>
              <w:t xml:space="preserve">β₂ (p)</w:t>
            </w:r>
          </w:p>
        </w:tc>
        <w:tc>
          <w:tcPr/>
          <w:p>
            <w:pPr>
              <w:pStyle w:val="Compact"/>
              <w:jc w:val="right"/>
            </w:pPr>
            <w:r>
              <w:t xml:space="preserve">Điểm uốn</w:t>
            </w:r>
          </w:p>
        </w:tc>
        <w:tc>
          <w:tcPr/>
          <w:p>
            <w:pPr>
              <w:pStyle w:val="Compact"/>
              <w:jc w:val="right"/>
            </w:pPr>
            <m:oMath>
              <m:sSub>
                <m:e>
                  <m:r>
                    <m:t>p</m:t>
                  </m:r>
                </m:e>
                <m:sub>
                  <m:r>
                    <m:rPr>
                      <m:nor/>
                      <m:sty m:val="p"/>
                    </m:rPr>
                    <m:t>LM</m:t>
                  </m:r>
                </m:sub>
              </m:sSub>
            </m:oMath>
          </w:p>
        </w:tc>
        <w:tc>
          <w:tcPr/>
          <w:p>
            <w:pPr>
              <w:pStyle w:val="Compact"/>
              <w:jc w:val="left"/>
            </w:pPr>
            <w:r>
              <w:t xml:space="preserve">Kết luận</w:t>
            </w:r>
          </w:p>
        </w:tc>
      </w:tr>
      <w:tr>
        <w:tc>
          <w:tcPr/>
          <w:p>
            <w:pPr>
              <w:pStyle w:val="Compact"/>
              <w:jc w:val="left"/>
            </w:pPr>
            <w:r>
              <w:t xml:space="preserve">I, Adv. đổi mới (gồm Nhật Bản)</w:t>
            </w:r>
          </w:p>
        </w:tc>
        <w:tc>
          <w:tcPr/>
          <w:p>
            <w:pPr>
              <w:pStyle w:val="Compact"/>
              <w:jc w:val="right"/>
            </w:pPr>
            <w:r>
              <w:t xml:space="preserve">5.581</w:t>
            </w:r>
          </w:p>
        </w:tc>
        <w:tc>
          <w:tcPr/>
          <w:p>
            <w:pPr>
              <w:pStyle w:val="Compact"/>
              <w:jc w:val="left"/>
            </w:pPr>
            <w:r>
              <w:t xml:space="preserve">+0,698 (,17)</w:t>
            </w:r>
          </w:p>
        </w:tc>
        <w:tc>
          <w:tcPr/>
          <w:p>
            <w:pPr>
              <w:pStyle w:val="Compact"/>
              <w:jc w:val="left"/>
            </w:pPr>
            <w:r>
              <w:t xml:space="preserve">−0,504 (,31)</w:t>
            </w:r>
          </w:p>
        </w:tc>
        <w:tc>
          <w:tcPr/>
          <w:p>
            <w:pPr>
              <w:pStyle w:val="Compact"/>
              <w:jc w:val="right"/>
            </w:pPr>
            <w:r>
              <w:t xml:space="preserve">[79,1%]</w:t>
            </w:r>
          </w:p>
        </w:tc>
        <w:tc>
          <w:tcPr/>
          <w:p>
            <w:pPr>
              <w:pStyle w:val="Compact"/>
              <w:jc w:val="right"/>
            </w:pPr>
            <w:r>
              <w:t xml:space="preserve">,30</w:t>
            </w:r>
          </w:p>
        </w:tc>
        <w:tc>
          <w:tcPr/>
          <w:p>
            <w:pPr>
              <w:pStyle w:val="Compact"/>
              <w:jc w:val="left"/>
            </w:pPr>
            <w:r>
              <w:t xml:space="preserve">gần tuyến tính dương; điểm uốn ngoài miền, không định vị</w:t>
            </w:r>
          </w:p>
        </w:tc>
      </w:tr>
      <w:tr>
        <w:tc>
          <w:tcPr/>
          <w:p>
            <w:pPr>
              <w:pStyle w:val="Compact"/>
              <w:jc w:val="left"/>
            </w:pPr>
            <w:r>
              <w:t xml:space="preserve">II, Adv. tài nguyên</w:t>
            </w:r>
          </w:p>
        </w:tc>
        <w:tc>
          <w:tcPr/>
          <w:p>
            <w:pPr>
              <w:pStyle w:val="Compact"/>
              <w:jc w:val="right"/>
            </w:pPr>
            <w:r>
              <w:t xml:space="preserve">2.075</w:t>
            </w:r>
          </w:p>
        </w:tc>
        <w:tc>
          <w:tcPr/>
          <w:p>
            <w:pPr>
              <w:pStyle w:val="Compact"/>
              <w:jc w:val="left"/>
            </w:pPr>
            <w:r>
              <w:t xml:space="preserve">+0,854 (,045)</w:t>
            </w:r>
          </w:p>
        </w:tc>
        <w:tc>
          <w:tcPr/>
          <w:p>
            <w:pPr>
              <w:pStyle w:val="Compact"/>
              <w:jc w:val="left"/>
            </w:pPr>
            <w:r>
              <w:t xml:space="preserve">−0,730 (,082)</w:t>
            </w:r>
          </w:p>
        </w:tc>
        <w:tc>
          <w:tcPr/>
          <w:p>
            <w:pPr>
              <w:pStyle w:val="Compact"/>
              <w:jc w:val="right"/>
            </w:pPr>
            <w:r>
              <w:t xml:space="preserve">62,0%</w:t>
            </w:r>
          </w:p>
        </w:tc>
        <w:tc>
          <w:tcPr/>
          <w:p>
            <w:pPr>
              <w:pStyle w:val="Compact"/>
              <w:jc w:val="right"/>
            </w:pPr>
            <w:r>
              <w:t xml:space="preserve">,081</w:t>
            </w:r>
          </w:p>
        </w:tc>
        <w:tc>
          <w:tcPr/>
          <w:p>
            <w:pPr>
              <w:pStyle w:val="Compact"/>
              <w:jc w:val="left"/>
            </w:pPr>
            <w:r>
              <w:t xml:space="preserve">chữ U ngược ở biên ý nghĩa</w:t>
            </w:r>
          </w:p>
        </w:tc>
      </w:tr>
      <w:tr>
        <w:tc>
          <w:tcPr/>
          <w:p>
            <w:pPr>
              <w:pStyle w:val="Compact"/>
              <w:jc w:val="left"/>
            </w:pPr>
            <w:r>
              <w:t xml:space="preserve">III, Trung bình cao</w:t>
            </w:r>
          </w:p>
        </w:tc>
        <w:tc>
          <w:tcPr/>
          <w:p>
            <w:pPr>
              <w:pStyle w:val="Compact"/>
              <w:jc w:val="right"/>
            </w:pPr>
            <w:r>
              <w:t xml:space="preserve">12.055</w:t>
            </w:r>
          </w:p>
        </w:tc>
        <w:tc>
          <w:tcPr/>
          <w:p>
            <w:pPr>
              <w:pStyle w:val="Compact"/>
              <w:jc w:val="left"/>
            </w:pPr>
            <w:r>
              <w:t xml:space="preserve">+0,168 (,42)</w:t>
            </w:r>
          </w:p>
        </w:tc>
        <w:tc>
          <w:tcPr/>
          <w:p>
            <w:pPr>
              <w:pStyle w:val="Compact"/>
              <w:jc w:val="left"/>
            </w:pPr>
            <w:r>
              <w:t xml:space="preserve">−0,189 (,48)</w:t>
            </w:r>
          </w:p>
        </w:tc>
        <w:tc>
          <w:tcPr/>
          <w:p>
            <w:pPr>
              <w:pStyle w:val="Compact"/>
              <w:jc w:val="right"/>
            </w:pPr>
            <w:r>
              <w:t xml:space="preserve">[55,0%]</w:t>
            </w:r>
          </w:p>
        </w:tc>
        <w:tc>
          <w:tcPr/>
          <w:p>
            <w:pPr>
              <w:pStyle w:val="Compact"/>
              <w:jc w:val="right"/>
            </w:pPr>
            <w:r>
              <w:t xml:space="preserve">,26</w:t>
            </w:r>
          </w:p>
        </w:tc>
        <w:tc>
          <w:tcPr/>
          <w:p>
            <w:pPr>
              <w:pStyle w:val="Compact"/>
              <w:jc w:val="left"/>
            </w:pPr>
            <w:r>
              <w:t xml:space="preserve">không xác định ở cấp nhóm</w:t>
            </w:r>
          </w:p>
        </w:tc>
      </w:tr>
      <w:tr>
        <w:tc>
          <w:tcPr/>
          <w:p>
            <w:pPr>
              <w:pStyle w:val="Compact"/>
              <w:jc w:val="left"/>
            </w:pPr>
            <w:r>
              <w:rPr>
                <w:bCs/>
                <w:b/>
              </w:rPr>
              <w:t xml:space="preserve">IV, Chuyển đổi TB-thấp</w:t>
            </w:r>
          </w:p>
        </w:tc>
        <w:tc>
          <w:tcPr/>
          <w:p>
            <w:pPr>
              <w:pStyle w:val="Compact"/>
              <w:jc w:val="right"/>
            </w:pPr>
            <w:r>
              <w:rPr>
                <w:bCs/>
                <w:b/>
              </w:rPr>
              <w:t xml:space="preserve">42.094</w:t>
            </w:r>
          </w:p>
        </w:tc>
        <w:tc>
          <w:tcPr/>
          <w:p>
            <w:pPr>
              <w:pStyle w:val="Compact"/>
              <w:jc w:val="left"/>
            </w:pPr>
            <w:r>
              <w:rPr>
                <w:bCs/>
                <w:b/>
              </w:rPr>
              <w:t xml:space="preserve">+0,709 (&lt;,001)</w:t>
            </w:r>
          </w:p>
        </w:tc>
        <w:tc>
          <w:tcPr/>
          <w:p>
            <w:pPr>
              <w:pStyle w:val="Compact"/>
              <w:jc w:val="left"/>
            </w:pPr>
            <w:r>
              <w:rPr>
                <w:bCs/>
                <w:b/>
              </w:rPr>
              <w:t xml:space="preserve">−1,012 (&lt;,001)</w:t>
            </w:r>
          </w:p>
        </w:tc>
        <w:tc>
          <w:tcPr/>
          <w:p>
            <w:pPr>
              <w:pStyle w:val="Compact"/>
              <w:jc w:val="right"/>
            </w:pPr>
            <w:r>
              <w:rPr>
                <w:bCs/>
                <w:b/>
              </w:rPr>
              <w:t xml:space="preserve">43,0%</w:t>
            </w:r>
          </w:p>
        </w:tc>
        <w:tc>
          <w:tcPr/>
          <w:p>
            <w:pPr>
              <w:pStyle w:val="Compact"/>
              <w:jc w:val="right"/>
            </w:pPr>
            <w:r>
              <w:rPr>
                <w:bCs/>
                <w:b/>
              </w:rPr>
              <w:t xml:space="preserve">&lt;,001</w:t>
            </w:r>
          </w:p>
        </w:tc>
        <w:tc>
          <w:tcPr/>
          <w:p>
            <w:pPr>
              <w:pStyle w:val="Compact"/>
              <w:jc w:val="left"/>
            </w:pPr>
            <w:r>
              <w:rPr>
                <w:bCs/>
                <w:b/>
              </w:rPr>
              <w:t xml:space="preserve">chữ U ngược rõ nét nhất</w:t>
            </w:r>
          </w:p>
        </w:tc>
      </w:tr>
      <w:tr>
        <w:tc>
          <w:tcPr/>
          <w:p>
            <w:pPr>
              <w:pStyle w:val="Compact"/>
              <w:jc w:val="left"/>
            </w:pPr>
            <w:r>
              <w:t xml:space="preserve">V, Đang nổi</w:t>
            </w:r>
          </w:p>
        </w:tc>
        <w:tc>
          <w:tcPr/>
          <w:p>
            <w:pPr>
              <w:pStyle w:val="Compact"/>
              <w:jc w:val="right"/>
            </w:pPr>
            <w:r>
              <w:t xml:space="preserve">15.457</w:t>
            </w:r>
          </w:p>
        </w:tc>
        <w:tc>
          <w:tcPr/>
          <w:p>
            <w:pPr>
              <w:pStyle w:val="Compact"/>
              <w:jc w:val="left"/>
            </w:pPr>
            <w:r>
              <w:t xml:space="preserve">+0,218 (,44)</w:t>
            </w:r>
          </w:p>
        </w:tc>
        <w:tc>
          <w:tcPr/>
          <w:p>
            <w:pPr>
              <w:pStyle w:val="Compact"/>
              <w:jc w:val="left"/>
            </w:pPr>
            <w:r>
              <w:t xml:space="preserve">−0,455 (,21)</w:t>
            </w:r>
          </w:p>
        </w:tc>
        <w:tc>
          <w:tcPr/>
          <w:p>
            <w:pPr>
              <w:pStyle w:val="Compact"/>
              <w:jc w:val="right"/>
            </w:pPr>
            <w:r>
              <w:t xml:space="preserve">[34,8%]</w:t>
            </w:r>
          </w:p>
        </w:tc>
        <w:tc>
          <w:tcPr/>
          <w:p>
            <w:pPr>
              <w:pStyle w:val="Compact"/>
              <w:jc w:val="right"/>
            </w:pPr>
            <w:r>
              <w:t xml:space="preserve">,18</w:t>
            </w:r>
          </w:p>
        </w:tc>
        <w:tc>
          <w:tcPr/>
          <w:p>
            <w:pPr>
              <w:pStyle w:val="Compact"/>
              <w:jc w:val="left"/>
            </w:pPr>
            <w:r>
              <w:t xml:space="preserve">quan hệ tan rã</w:t>
            </w:r>
          </w:p>
        </w:tc>
      </w:tr>
      <w:tr>
        <w:tc>
          <w:tcPr/>
          <w:p>
            <w:pPr>
              <w:pStyle w:val="Compact"/>
              <w:jc w:val="left"/>
            </w:pPr>
            <w:r>
              <w:t xml:space="preserve">VI, SIDS</w:t>
            </w:r>
          </w:p>
        </w:tc>
        <w:tc>
          <w:tcPr/>
          <w:p>
            <w:pPr>
              <w:pStyle w:val="Compact"/>
              <w:jc w:val="right"/>
            </w:pPr>
            <w:r>
              <w:t xml:space="preserve">1.818</w:t>
            </w:r>
          </w:p>
        </w:tc>
        <w:tc>
          <w:tcPr/>
          <w:p>
            <w:pPr>
              <w:pStyle w:val="Compact"/>
              <w:jc w:val="left"/>
            </w:pPr>
            <w:r>
              <w:t xml:space="preserve">−0,728 (,010)</w:t>
            </w:r>
          </w:p>
        </w:tc>
        <w:tc>
          <w:tcPr/>
          <w:p>
            <w:pPr>
              <w:pStyle w:val="Compact"/>
              <w:jc w:val="left"/>
            </w:pPr>
            <w:r>
              <w:t xml:space="preserve">+0,870 (,013)</w:t>
            </w:r>
          </w:p>
        </w:tc>
        <w:tc>
          <w:tcPr/>
          <w:p>
            <w:pPr>
              <w:pStyle w:val="Compact"/>
              <w:jc w:val="right"/>
            </w:pPr>
            <w:r>
              <w:t xml:space="preserve">n/a</w:t>
            </w:r>
          </w:p>
        </w:tc>
        <w:tc>
          <w:tcPr/>
          <w:p>
            <w:pPr>
              <w:pStyle w:val="Compact"/>
              <w:jc w:val="right"/>
            </w:pPr>
            <w:r>
              <w:t xml:space="preserve">n/a</w:t>
            </w:r>
          </w:p>
        </w:tc>
        <w:tc>
          <w:tcPr/>
          <w:p>
            <w:pPr>
              <w:pStyle w:val="Compact"/>
              <w:jc w:val="left"/>
            </w:pPr>
            <w:r>
              <w:t xml:space="preserve">không có chữ U ngược</w:t>
            </w:r>
          </w:p>
        </w:tc>
      </w:tr>
    </w:tbl>
    <w:p>
      <w:pPr>
        <w:pStyle w:val="BodyText"/>
      </w:pPr>
      <w:r>
        <w:rPr>
          <w:iCs/>
          <w:i/>
        </w:rPr>
        <w:t xml:space="preserve">Ghi chú: giá trị trong ngoặc vuông là điểm uốn đại số khi đường cong không được xác nhận thống kê, chỉ mang tính tham khảo. Nguồn: như Bảng 4.4.</w:t>
      </w:r>
    </w:p>
    <w:p>
      <w:pPr>
        <w:pStyle w:val="BodyText"/>
      </w:pPr>
      <w:r>
        <w:t xml:space="preserve">Kết quả này</w:t>
      </w:r>
      <w:r>
        <w:t xml:space="preserve"> </w:t>
      </w:r>
      <w:r>
        <w:rPr>
          <w:bCs/>
          <w:b/>
        </w:rPr>
        <w:t xml:space="preserve">tái định hình H5</w:t>
      </w:r>
      <w:r>
        <w:t xml:space="preserve"> </w:t>
      </w:r>
      <w:r>
        <w:t xml:space="preserve">theo hướng giàu thông tin hơn: thể chế không chỉ dịch chuyển vị trí điểm uốn mà quyết định</w:t>
      </w:r>
      <w:r>
        <w:t xml:space="preserve"> </w:t>
      </w:r>
      <w:r>
        <w:rPr>
          <w:bCs/>
          <w:b/>
        </w:rPr>
        <w:t xml:space="preserve">chính sự tồn tại của dạng hàm chữ U ngược</w:t>
      </w:r>
      <w:r>
        <w:t xml:space="preserve">. Ba vùng được nhận diện rõ. Ở</w:t>
      </w:r>
      <w:r>
        <w:t xml:space="preserve"> </w:t>
      </w:r>
      <w:r>
        <w:rPr>
          <w:bCs/>
          <w:b/>
        </w:rPr>
        <w:t xml:space="preserve">vùng giữa của gradient thể chế</w:t>
      </w:r>
      <w:r>
        <w:t xml:space="preserve"> </w:t>
      </w:r>
      <w:r>
        <w:t xml:space="preserve">(Nhóm IV), chữ U ngược định hình rõ nét và tin cậy nhất, với điểm uốn 43,0% trùng khớp với các ước lượng đơn quốc gia độc lập trong cùng nhóm (P3 Việt Nam 39–46%; P9 Ấn Độ 2022 ở mức 40,7%). Ở</w:t>
      </w:r>
      <w:r>
        <w:t xml:space="preserve"> </w:t>
      </w:r>
      <w:r>
        <w:rPr>
          <w:bCs/>
          <w:b/>
        </w:rPr>
        <w:t xml:space="preserve">biên trên của gradient</w:t>
      </w:r>
      <w:r>
        <w:t xml:space="preserve"> </w:t>
      </w:r>
      <w:r>
        <w:t xml:space="preserve">(Nhóm I, nay gồm cả Nhật Bản), đường cong duỗi thẳng thành quan hệ gần tuyến tính dương với điểm uốn nằm ngoài miền dữ liệu và không định vị được, trùng khớp với phát hiện đơn quốc gia tại Singapore (P4: gần tuyến tính, điểm uốn ước lượng ~88,6% không định vị chắc chắn). Ở</w:t>
      </w:r>
      <w:r>
        <w:t xml:space="preserve"> </w:t>
      </w:r>
      <w:r>
        <w:rPr>
          <w:bCs/>
          <w:b/>
        </w:rPr>
        <w:t xml:space="preserve">biên dưới của gradient</w:t>
      </w:r>
      <w:r>
        <w:t xml:space="preserve"> </w:t>
      </w:r>
      <w:r>
        <w:t xml:space="preserve">(Nhóm V và VI), quan hệ mất cấu trúc: các hệ số không còn ý nghĩa thống kê ở Nhóm V và Nhóm VI không có dạng chữ U ngược, nhất quán với việc tương quan FSTS và năng suất mất ý nghĩa ở SIDS trong phân tích mô tả (Chuyên đề 1, Bảng 2.3.8.1) và với phát hiện FIP của P8.</w:t>
      </w:r>
    </w:p>
    <w:p>
      <w:pPr>
        <w:pStyle w:val="BodyText"/>
      </w:pPr>
      <w:r>
        <w:t xml:space="preserve">Tương tác chế độ thể chế yếu trong mô hình gộp củng cố cách đọc này: hệ số FSTS×(chế độ yếu) = −0,523 (</w:t>
      </w:r>
      <m:oMath>
        <m:r>
          <m:t>p</m:t>
        </m:r>
        <m:r>
          <m:rPr>
            <m:sty m:val="p"/>
          </m:rPr>
          <m:t>=</m:t>
        </m:r>
        <m:r>
          <m:rPr>
            <m:sty m:val="p"/>
          </m:rPr>
          <m:t>,</m:t>
        </m:r>
        <m:r>
          <m:t>087</m:t>
        </m:r>
      </m:oMath>
      <w:r>
        <w:t xml:space="preserve">) cho thấy độ dốc nhánh đi lên của đường cong yếu hơn rõ rệt ở các chế độ thể chế yếu, nghĩa là cùng một mức tăng cường độ xuất khẩu mang lại phần thưởng năng suất nhỏ hơn khi đệm thể chế mỏng. Kiểm định điều tiết tổng thể về ICRV của phân tích tổng hợp (</w:t>
      </w:r>
      <m:oMath>
        <m:sSub>
          <m:e>
            <m:r>
              <m:t>Q</m:t>
            </m:r>
          </m:e>
          <m:sub>
            <m:r>
              <m:t>M</m:t>
            </m:r>
          </m:sub>
        </m:sSub>
        <m:r>
          <m:rPr>
            <m:sty m:val="p"/>
          </m:rPr>
          <m:t>=</m:t>
        </m:r>
        <m:r>
          <m:t>17</m:t>
        </m:r>
        <m:r>
          <m:rPr>
            <m:sty m:val="p"/>
          </m:rPr>
          <m:t>,</m:t>
        </m:r>
        <m:r>
          <m:t>35</m:t>
        </m:r>
      </m:oMath>
      <w:r>
        <w:t xml:space="preserve">,</w:t>
      </w:r>
      <w:r>
        <w:t xml:space="preserve"> </w:t>
      </w:r>
      <m:oMath>
        <m:r>
          <m:t>p</m:t>
        </m:r>
        <m:r>
          <m:rPr>
            <m:sty m:val="p"/>
          </m:rPr>
          <m:t>=</m:t>
        </m:r>
        <m:r>
          <m:rPr>
            <m:sty m:val="p"/>
          </m:rPr>
          <m:t>,</m:t>
        </m:r>
        <m:r>
          <m:t>002</m:t>
        </m:r>
      </m:oMath>
      <w:r>
        <w:t xml:space="preserve">, P6) cung cấp nguồn xác nhận độc lập thứ hai rằng chế độ thể chế là biến điều tiết có ý nghĩa của quan hệ quốc tế hóa và hiệu quả.</w:t>
      </w:r>
    </w:p>
    <w:p>
      <w:pPr>
        <w:pStyle w:val="CaptionedFigure"/>
      </w:pPr>
      <w:r>
        <w:drawing>
          <wp:inline>
            <wp:extent cx="5753100" cy="3285070"/>
            <wp:effectExtent b="0" l="0" r="0" t="0"/>
            <wp:docPr descr="Hình 4.1. Họ đường cong I–P phụ thuộc chế độ thể chế ICRV" title="" id="151" name="Picture"/>
            <a:graphic>
              <a:graphicData uri="http://schemas.openxmlformats.org/drawingml/2006/picture">
                <pic:pic>
                  <pic:nvPicPr>
                    <pic:cNvPr descr="figures/fig_4_x_ip_curves_icrv_gradient.png" id="152" name="Picture"/>
                    <pic:cNvPicPr>
                      <a:picLocks noChangeArrowheads="1" noChangeAspect="1"/>
                    </pic:cNvPicPr>
                  </pic:nvPicPr>
                  <pic:blipFill>
                    <a:blip r:embed="rId150"/>
                    <a:stretch>
                      <a:fillRect/>
                    </a:stretch>
                  </pic:blipFill>
                  <pic:spPr bwMode="auto">
                    <a:xfrm>
                      <a:off x="0" y="0"/>
                      <a:ext cx="5753100" cy="3285070"/>
                    </a:xfrm>
                    <a:prstGeom prst="rect">
                      <a:avLst/>
                    </a:prstGeom>
                    <a:noFill/>
                    <a:ln w="9525">
                      <a:noFill/>
                      <a:headEnd/>
                      <a:tailEnd/>
                    </a:ln>
                  </pic:spPr>
                </pic:pic>
              </a:graphicData>
            </a:graphic>
          </wp:inline>
        </w:drawing>
      </w:r>
    </w:p>
    <w:p>
      <w:pPr>
        <w:pStyle w:val="ImageCaption"/>
      </w:pPr>
      <w:r>
        <w:t xml:space="preserve">Hình 4.1. Họ đường cong I–P phụ thuộc chế độ thể chế ICRV</w:t>
      </w:r>
    </w:p>
    <w:p>
      <w:pPr>
        <w:pStyle w:val="BodyText"/>
      </w:pPr>
      <w:r>
        <w:rPr>
          <w:bCs/>
          <w:b/>
        </w:rPr>
        <w:t xml:space="preserve">Hình 4.1.</w:t>
      </w:r>
      <w:r>
        <w:t xml:space="preserve"> </w:t>
      </w:r>
      <w:r>
        <w:rPr>
          <w:iCs/>
          <w:i/>
        </w:rPr>
        <w:t xml:space="preserve">Họ đường cong quốc tế hóa và hiệu quả phụ thuộc chế độ thể chế ICRV.</w:t>
      </w:r>
      <w:r>
        <w:t xml:space="preserve"> </w:t>
      </w:r>
      <w:r>
        <w:t xml:space="preserve">Chữ U ngược định hình rõ nét nhất ở vùng giữa gradient thể chế (Nhóm IV, điểm uốn 43,0%); ở biên trên (Nhóm I) đường cong duỗi thẳng gần tuyến tính dương; ở biên dưới (Nhóm V và VI) quan hệ mất cấu trúc, riêng SIDS chuyển sang quan hệ âm theo mức (FIP, H1b, theo spec mức của P8).</w:t>
      </w:r>
      <w:r>
        <w:t xml:space="preserve"> </w:t>
      </w:r>
      <w:r>
        <w:rPr>
          <w:iCs/>
          <w:i/>
        </w:rPr>
        <w:t xml:space="preserve">Nguồn: minh họa của tác giả từ kết quả ước lượng 50 nền và P4, P8.</w:t>
      </w:r>
    </w:p>
    <w:bookmarkEnd w:id="153"/>
    <w:bookmarkStart w:id="154" w:name="điều-tiết-bởi-tci-và-dai-trong-toàn-mẫu"/>
    <w:p>
      <w:pPr>
        <w:pStyle w:val="Heading3"/>
      </w:pPr>
      <w:r>
        <w:t xml:space="preserve">4.6.3 Điều tiết bởi TCI và DAI trong toàn mẫu</w:t>
      </w:r>
    </w:p>
    <w:p>
      <w:pPr>
        <w:numPr>
          <w:ilvl w:val="0"/>
          <w:numId w:val="1015"/>
        </w:numPr>
        <w:pStyle w:val="Compact"/>
      </w:pPr>
      <w:r>
        <w:rPr>
          <w:bCs/>
          <w:b/>
        </w:rPr>
        <w:t xml:space="preserve">TCI</w:t>
      </w:r>
      <w:r>
        <w:t xml:space="preserve">: hiệu ứng chính dương và có ý nghĩa cao,</w:t>
      </w:r>
      <w:r>
        <w:t xml:space="preserve"> </w:t>
      </w:r>
      <m:oMath>
        <m:acc>
          <m:accPr>
            <m:chr m:val="̂"/>
          </m:accPr>
          <m:e>
            <m:r>
              <m:t>β</m:t>
            </m:r>
          </m:e>
        </m:acc>
        <m:d>
          <m:dPr>
            <m:begChr m:val="("/>
            <m:endChr m:val=")"/>
            <m:sepChr m:val=""/>
            <m:grow/>
          </m:dPr>
          <m:e>
            <m:r>
              <m:rPr>
                <m:nor/>
                <m:sty m:val="p"/>
              </m:rPr>
              <m:t>TCI</m:t>
            </m:r>
          </m:e>
        </m:d>
        <m:r>
          <m:rPr>
            <m:sty m:val="p"/>
          </m:rPr>
          <m:t>=</m:t>
        </m:r>
        <m:r>
          <m:rPr>
            <m:sty m:val="p"/>
          </m:rPr>
          <m:t>+</m:t>
        </m:r>
        <m:r>
          <m:t>0</m:t>
        </m:r>
        <m:r>
          <m:rPr>
            <m:sty m:val="p"/>
          </m:rPr>
          <m:t>,</m:t>
        </m:r>
        <m:r>
          <m:t>141</m:t>
        </m:r>
      </m:oMath>
      <w:r>
        <w:t xml:space="preserve"> </w:t>
      </w:r>
      <w:r>
        <w:t xml:space="preserve">(</w:t>
      </w:r>
      <m:oMath>
        <m:r>
          <m:t>p</m:t>
        </m:r>
        <m:r>
          <m:rPr>
            <m:sty m:val="p"/>
          </m:rPr>
          <m:t>&lt;</m:t>
        </m:r>
        <m:r>
          <m:rPr>
            <m:sty m:val="p"/>
          </m:rPr>
          <m:t>,</m:t>
        </m:r>
        <m:r>
          <m:t>001</m:t>
        </m:r>
      </m:oMath>
      <w:r>
        <w:t xml:space="preserve">): một độ lệch chuẩn TCI nâng năng suất chuẩn hóa thêm 0,141 độ lệch chuẩn. Các tương tác FSTS×TCI và FSTS²×TCI không có ý nghĩa thống kê, xác nhận TCI là</w:t>
      </w:r>
      <w:r>
        <w:t xml:space="preserve"> </w:t>
      </w:r>
      <w:r>
        <w:rPr>
          <w:bCs/>
          <w:b/>
        </w:rPr>
        <w:t xml:space="preserve">năng lực nâng mặt bằng</w:t>
      </w:r>
      <w:r>
        <w:t xml:space="preserve"> </w:t>
      </w:r>
      <w:r>
        <w:t xml:space="preserve">chứ không uốn hình dạng đường cong, nhất quán với kết luận từ các nghiên cứu đơn quốc gia.</w:t>
      </w:r>
    </w:p>
    <w:p>
      <w:pPr>
        <w:numPr>
          <w:ilvl w:val="0"/>
          <w:numId w:val="1015"/>
        </w:numPr>
        <w:pStyle w:val="Compact"/>
      </w:pPr>
      <w:r>
        <w:rPr>
          <w:bCs/>
          <w:b/>
        </w:rPr>
        <w:t xml:space="preserve">DAI</w:t>
      </w:r>
      <w:r>
        <w:t xml:space="preserve">: hiệu ứng chính dương và có ý nghĩa cao,</w:t>
      </w:r>
      <w:r>
        <w:t xml:space="preserve"> </w:t>
      </w:r>
      <m:oMath>
        <m:acc>
          <m:accPr>
            <m:chr m:val="̂"/>
          </m:accPr>
          <m:e>
            <m:r>
              <m:t>β</m:t>
            </m:r>
          </m:e>
        </m:acc>
        <m:d>
          <m:dPr>
            <m:begChr m:val="("/>
            <m:endChr m:val=")"/>
            <m:sepChr m:val=""/>
            <m:grow/>
          </m:dPr>
          <m:e>
            <m:r>
              <m:rPr>
                <m:nor/>
                <m:sty m:val="p"/>
              </m:rPr>
              <m:t>DAI</m:t>
            </m:r>
          </m:e>
        </m:d>
        <m:r>
          <m:rPr>
            <m:sty m:val="p"/>
          </m:rPr>
          <m:t>=</m:t>
        </m:r>
        <m:r>
          <m:rPr>
            <m:sty m:val="p"/>
          </m:rPr>
          <m:t>+</m:t>
        </m:r>
        <m:r>
          <m:t>0</m:t>
        </m:r>
        <m:r>
          <m:rPr>
            <m:sty m:val="p"/>
          </m:rPr>
          <m:t>,</m:t>
        </m:r>
        <m:r>
          <m:t>201</m:t>
        </m:r>
      </m:oMath>
      <w:r>
        <w:t xml:space="preserve"> </w:t>
      </w:r>
      <w:r>
        <w:t xml:space="preserve">(</w:t>
      </w:r>
      <m:oMath>
        <m:r>
          <m:t>p</m:t>
        </m:r>
        <m:r>
          <m:rPr>
            <m:sty m:val="p"/>
          </m:rPr>
          <m:t>&lt;</m:t>
        </m:r>
        <m:r>
          <m:rPr>
            <m:sty m:val="p"/>
          </m:rPr>
          <m:t>,</m:t>
        </m:r>
        <m:r>
          <m:t>001</m:t>
        </m:r>
      </m:oMath>
      <w:r>
        <w:t xml:space="preserve">): doanh nghiệp có hiện diện số cơ bản đạt năng suất chuẩn hóa cao hơn 0,2 độ lệch chuẩn. Các tương tác với đường cong (FSTS×DAI = −0,271,</w:t>
      </w:r>
      <w:r>
        <w:t xml:space="preserve"> </w:t>
      </w:r>
      <m:oMath>
        <m:r>
          <m:t>p</m:t>
        </m:r>
        <m:r>
          <m:rPr>
            <m:sty m:val="p"/>
          </m:rPr>
          <m:t>=</m:t>
        </m:r>
        <m:r>
          <m:rPr>
            <m:sty m:val="p"/>
          </m:rPr>
          <m:t>,</m:t>
        </m:r>
        <m:r>
          <m:t>149</m:t>
        </m:r>
      </m:oMath>
      <w:r>
        <w:t xml:space="preserve">; FSTS²×DAI = +0,252,</w:t>
      </w:r>
      <w:r>
        <w:t xml:space="preserve"> </w:t>
      </w:r>
      <m:oMath>
        <m:r>
          <m:t>p</m:t>
        </m:r>
        <m:r>
          <m:rPr>
            <m:sty m:val="p"/>
          </m:rPr>
          <m:t>=</m:t>
        </m:r>
        <m:r>
          <m:rPr>
            <m:sty m:val="p"/>
          </m:rPr>
          <m:t>,</m:t>
        </m:r>
        <m:r>
          <m:t>367</m:t>
        </m:r>
      </m:oMath>
      <w:r>
        <w:t xml:space="preserve">) mang</w:t>
      </w:r>
      <w:r>
        <w:t xml:space="preserve"> </w:t>
      </w:r>
      <w:r>
        <w:rPr>
          <w:bCs/>
          <w:b/>
        </w:rPr>
        <w:t xml:space="preserve">cùng chiều nén đường cong</w:t>
      </w:r>
      <w:r>
        <w:t xml:space="preserve"> </w:t>
      </w:r>
      <w:r>
        <w:t xml:space="preserve">như dự đoán của khung CDCM nhưng không đạt ý nghĩa thống kê trên toàn mẫu 50 nền; bằng chứng điều tiết DAI rõ nét nhất vẫn là ở cấp bối cảnh đơn quốc gia (P4 Singapore: FSTS²×DAI = +3,119,</w:t>
      </w:r>
      <w:r>
        <w:t xml:space="preserve"> </w:t>
      </w:r>
      <m:oMath>
        <m:r>
          <m:t>p</m:t>
        </m:r>
        <m:r>
          <m:rPr>
            <m:sty m:val="p"/>
          </m:rPr>
          <m:t>=</m:t>
        </m:r>
        <m:r>
          <m:rPr>
            <m:sty m:val="p"/>
          </m:rPr>
          <m:t>,</m:t>
        </m:r>
        <m:r>
          <m:t>005</m:t>
        </m:r>
      </m:oMath>
      <w:r>
        <w:t xml:space="preserve">). H3 do đó được hỗ trợ ở hiệu ứng mức và ở bối cảnh đặc thù, chưa được xác nhận như hiệu ứng uốn đường cong phổ quát.</w:t>
      </w:r>
    </w:p>
    <w:p>
      <w:r>
        <w:pict>
          <v:rect style="width:0;height:1.5pt" o:hralign="center" o:hrstd="t" o:hr="t"/>
        </w:pict>
      </w:r>
    </w:p>
    <w:bookmarkEnd w:id="154"/>
    <w:bookmarkEnd w:id="155"/>
    <w:bookmarkStart w:id="160" w:name="X42f69945b56833cca239d45dc5864a7be6f74d7"/>
    <w:p>
      <w:pPr>
        <w:pStyle w:val="Heading2"/>
      </w:pPr>
      <w:r>
        <w:t xml:space="preserve">4.7 Kết quả trường hợp biên SIDS: Các nền kinh tế đảo nhỏ đang phát triển (P8)</w:t>
      </w:r>
    </w:p>
    <w:bookmarkStart w:id="156" w:name="đặc-điểm-mẫu-sids"/>
    <w:p>
      <w:pPr>
        <w:pStyle w:val="Heading3"/>
      </w:pPr>
      <w:r>
        <w:t xml:space="preserve">4.7.1 Đặc điểm mẫu SIDS</w:t>
      </w:r>
    </w:p>
    <w:p>
      <w:pPr>
        <w:pStyle w:val="FirstParagraph"/>
      </w:pPr>
      <w:r>
        <w:t xml:space="preserve">Phân tích P8 tập trung vào bảy quốc gia Pacific SIDS (Pacific Small Island Developing States, Nhóm VI) với tổng</w:t>
      </w:r>
      <w:r>
        <w:t xml:space="preserve"> </w:t>
      </w:r>
      <m:oMath>
        <m:r>
          <m:t>N</m:t>
        </m:r>
        <m:r>
          <m:rPr>
            <m:sty m:val="p"/>
          </m:rPr>
          <m:t>=</m:t>
        </m:r>
        <m:r>
          <m:t>959</m:t>
        </m:r>
      </m:oMath>
      <w:r>
        <w:t xml:space="preserve"> </w:t>
      </w:r>
      <w:r>
        <w:t xml:space="preserve">doanh nghiệp, trong đó chỉ</w:t>
      </w:r>
      <w:r>
        <w:t xml:space="preserve"> </w:t>
      </w:r>
      <m:oMath>
        <m:sSub>
          <m:e>
            <m:r>
              <m:t>N</m:t>
            </m:r>
          </m:e>
          <m:sub>
            <m:r>
              <m:rPr>
                <m:nor/>
                <m:sty m:val="p"/>
              </m:rPr>
              <m:t>exporters</m:t>
            </m:r>
          </m:sub>
        </m:sSub>
        <m:r>
          <m:rPr>
            <m:sty m:val="p"/>
          </m:rPr>
          <m:t>=</m:t>
        </m:r>
        <m:r>
          <m:t>132</m:t>
        </m:r>
      </m:oMath>
      <w:r>
        <w:t xml:space="preserve"> </w:t>
      </w:r>
      <w:r>
        <w:t xml:space="preserve">(chiếm 13,8% mẫu). Tỷ lệ doanh thu xuất khẩu trung bình rất thấp: mean FSTS = 0,048 (4,8%).</w:t>
      </w:r>
    </w:p>
    <w:bookmarkEnd w:id="156"/>
    <w:bookmarkStart w:id="157" w:name="X305be4308b12f06c15c4aa0bf75053d865f81d7"/>
    <w:p>
      <w:pPr>
        <w:pStyle w:val="Heading3"/>
      </w:pPr>
      <w:r>
        <w:t xml:space="preserve">4.7.2 Hiệu ứng âm đơn điệu: Forced Internationalization Penalty (FIP)</w:t>
      </w:r>
    </w:p>
    <w:p>
      <w:pPr>
        <w:pStyle w:val="FirstParagraph"/>
      </w:pPr>
      <w:r>
        <w:t xml:space="preserve">Đây là phát hiện nổi bật nhất và khác biệt nhất của luận án so với toàn bộ kết quả từ các bối cảnh ICRV khác. Mô hình M1 với country fixed effects và year fixed effects cho:</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339</m:t>
          </m:r>
          <m:r>
            <m:rPr>
              <m:sty m:val="p"/>
            </m:rPr>
            <m:t>,</m:t>
          </m:r>
          <m:r>
            <m:t> </m:t>
          </m:r>
          <m:r>
            <m:t>S</m:t>
          </m:r>
          <m:r>
            <m:t>E</m:t>
          </m:r>
          <m:r>
            <m:rPr>
              <m:sty m:val="p"/>
            </m:rPr>
            <m:t>=</m:t>
          </m:r>
          <m:r>
            <m:t>0</m:t>
          </m:r>
          <m:r>
            <m:rPr>
              <m:sty m:val="p"/>
            </m:rPr>
            <m:t>,</m:t>
          </m:r>
          <m:r>
            <m:t>386</m:t>
          </m:r>
          <m:r>
            <m:rPr>
              <m:sty m:val="p"/>
            </m:rPr>
            <m:t>,</m:t>
          </m:r>
          <m:r>
            <m:t> </m:t>
          </m:r>
          <m:r>
            <m:t>p</m:t>
          </m:r>
          <m:r>
            <m:rPr>
              <m:sty m:val="p"/>
            </m:rPr>
            <m:t>&lt;</m:t>
          </m:r>
          <m:r>
            <m:rPr>
              <m:sty m:val="p"/>
            </m:rPr>
            <m:t>,</m:t>
          </m:r>
          <m:sSup>
            <m:e>
              <m:r>
                <m:t>001</m:t>
              </m:r>
            </m:e>
            <m:sup>
              <m:r>
                <m:rPr>
                  <m:sty m:val="p"/>
                </m:rPr>
                <m:t>*</m:t>
              </m:r>
              <m:r>
                <m:rPr>
                  <m:sty m:val="p"/>
                </m:rPr>
                <m:t>*</m:t>
              </m:r>
              <m:r>
                <m:rPr>
                  <m:sty m:val="p"/>
                </m:rPr>
                <m:t>*</m:t>
              </m:r>
            </m:sup>
          </m:sSup>
        </m:oMath>
      </m:oMathPara>
    </w:p>
    <w:p>
      <w:pPr>
        <w:pStyle w:val="FirstParagraph"/>
      </w:pPr>
      <w:r>
        <w:t xml:space="preserve">Hệ số hồi quy âm và có ý nghĩa thống kê, nghĩa là tại các nền kinh tế SIDS, quốc tế hóa càng cao thì hiệu quả hoạt động doanh nghiệp càng</w:t>
      </w:r>
      <w:r>
        <w:t xml:space="preserve"> </w:t>
      </w:r>
      <w:r>
        <w:rPr>
          <w:bCs/>
          <w:b/>
        </w:rPr>
        <w:t xml:space="preserve">thấp hơn</w:t>
      </w:r>
      <w:r>
        <w:t xml:space="preserve">, quan hệ âm đơn điệu. Trong mẫu chỉ gồm doanh nghiệp xuất khẩu (exporters-only, N = 26, rất nhỏ), hệ số vẫn âm nhưng không đạt ý nghĩa thống kê (thiếu công suất):</w:t>
      </w:r>
    </w:p>
    <w:p>
      <w:pPr>
        <w:pStyle w:val="BodyText"/>
      </w:pPr>
      <m:oMathPara>
        <m:oMathParaPr>
          <m:jc m:val="center"/>
        </m:oMathParaPr>
        <m:oMath>
          <m:acc>
            <m:accPr>
              <m:chr m:val="̂"/>
            </m:accPr>
            <m:e>
              <m:r>
                <m:t>β</m:t>
              </m:r>
            </m:e>
          </m:acc>
          <m:d>
            <m:dPr>
              <m:begChr m:val="("/>
              <m:endChr m:val=")"/>
              <m:sepChr m:val=""/>
              <m:grow/>
            </m:dPr>
            <m:e>
              <m:sSub>
                <m:e>
                  <m:r>
                    <m:rPr>
                      <m:nor/>
                      <m:sty m:val="p"/>
                    </m:rPr>
                    <m:t>FSTS</m:t>
                  </m:r>
                </m:e>
                <m:sub>
                  <m:r>
                    <m:t>c</m:t>
                  </m:r>
                </m:sub>
              </m:sSub>
            </m:e>
          </m:d>
          <m:r>
            <m:rPr>
              <m:sty m:val="p"/>
            </m:rPr>
            <m:t>=</m:t>
          </m:r>
          <m:r>
            <m:rPr>
              <m:sty m:val="p"/>
            </m:rPr>
            <m:t>−</m:t>
          </m:r>
          <m:r>
            <m:t>1</m:t>
          </m:r>
          <m:r>
            <m:rPr>
              <m:sty m:val="p"/>
            </m:rPr>
            <m:t>,</m:t>
          </m:r>
          <m:r>
            <m:t>176</m:t>
          </m:r>
          <m:r>
            <m:rPr>
              <m:sty m:val="p"/>
            </m:rPr>
            <m:t>,</m:t>
          </m:r>
          <m:r>
            <m:t> </m:t>
          </m:r>
          <m:r>
            <m:t>p</m:t>
          </m:r>
          <m:r>
            <m:rPr>
              <m:sty m:val="p"/>
            </m:rPr>
            <m:t>=</m:t>
          </m:r>
          <m:r>
            <m:rPr>
              <m:sty m:val="p"/>
            </m:rPr>
            <m:t>,</m:t>
          </m:r>
          <m:r>
            <m:t>130</m:t>
          </m:r>
          <m:r>
            <m:t> </m:t>
          </m:r>
          <m:d>
            <m:dPr>
              <m:begChr m:val="("/>
              <m:endChr m:val=")"/>
              <m:sepChr m:val=""/>
              <m:grow/>
            </m:dPr>
            <m:e>
              <m:r>
                <m:rPr>
                  <m:nor/>
                  <m:sty m:val="p"/>
                </m:rPr>
                <m:t>NS</m:t>
              </m:r>
            </m:e>
          </m:d>
        </m:oMath>
      </m:oMathPara>
    </w:p>
    <w:p>
      <w:pPr>
        <w:pStyle w:val="FirstParagraph"/>
      </w:pPr>
      <w:r>
        <w:t xml:space="preserve">Mô hình M2 bổ sung FSTS</w:t>
      </w:r>
      <m:oMath>
        <m:sSup>
          <m:e>
            <m:r>
              <m:t>​</m:t>
            </m:r>
          </m:e>
          <m:sup>
            <m:r>
              <m:t>2</m:t>
            </m:r>
          </m:sup>
        </m:sSup>
      </m:oMath>
      <w:r>
        <w:t xml:space="preserve"> </w:t>
      </w:r>
      <w:r>
        <w:t xml:space="preserve">không cho kết quả có ý nghĩa thống kê, xác nhận quan hệ là</w:t>
      </w:r>
      <w:r>
        <w:t xml:space="preserve"> </w:t>
      </w:r>
      <w:r>
        <w:rPr>
          <w:bCs/>
          <w:b/>
        </w:rPr>
        <w:t xml:space="preserve">đơn điệu</w:t>
      </w:r>
      <w:r>
        <w:t xml:space="preserve"> </w:t>
      </w:r>
      <w:r>
        <w:t xml:space="preserve">(monotone decline), không có điểm uốn trong phạm vi dữ liệu.</w:t>
      </w:r>
    </w:p>
    <w:bookmarkEnd w:id="157"/>
    <w:bookmarkStart w:id="158" w:name="X1eacd79ea5935ba958f558c7fa8a022614fd635"/>
    <w:p>
      <w:pPr>
        <w:pStyle w:val="Heading3"/>
      </w:pPr>
      <w:r>
        <w:t xml:space="preserve">4.7.3 Giải thích cơ chế Forced Internationalization Penalty</w:t>
      </w:r>
    </w:p>
    <w:p>
      <w:pPr>
        <w:pStyle w:val="FirstParagraph"/>
      </w:pPr>
      <w:r>
        <w:t xml:space="preserve">Luận án đặt tên cho hiện tượng này là</w:t>
      </w:r>
      <w:r>
        <w:t xml:space="preserve"> </w:t>
      </w:r>
      <w:r>
        <w:rPr>
          <w:bCs/>
          <w:b/>
        </w:rPr>
        <w:t xml:space="preserve">Forced Internationalization Penalty (FIP)</w:t>
      </w:r>
      <w:r>
        <w:t xml:space="preserve">, gánh nặng quốc tế hóa bắt buộc, một construct lý thuyết mới chưa có trong văn liệu IB trước đây. Cơ chế giải thích gồm ba yếu tố cấu trúc đặc thù của SIDS: (1) thị trường nội địa quá nhỏ, buộc doanh nghiệp SIDS xuất khẩu không phải vì có lợi thế cạnh tranh mà vì nhu cầu nội địa không đủ để duy trì hoạt động; (2) chi phí hậu cần và tiếp cận thị trường cực cao do vị trí địa lý xa xôi và phân tán; và (3) thiếu hỗ trợ thể chế và năng lực xuất khẩu.</w:t>
      </w:r>
    </w:p>
    <w:p>
      <w:pPr>
        <w:pStyle w:val="BodyText"/>
      </w:pPr>
      <w:r>
        <w:t xml:space="preserve">Kết quả FIP là đóng góp lý thuyết gốc của luận án, lần đầu tiên được ghi nhận và đặt tên trong văn liệu internationalization–firm performance cho khu vực Thái Bình Dương.</w:t>
      </w:r>
    </w:p>
    <w:bookmarkEnd w:id="158"/>
    <w:bookmarkStart w:id="159" w:name="Xf5ef3b8f7f28ca1a48196484a4b190674943b22"/>
    <w:p>
      <w:pPr>
        <w:pStyle w:val="Heading3"/>
      </w:pPr>
      <w:r>
        <w:t xml:space="preserve">4.7.4 Định vị FIP trong bằng chứng vĩ mô về tổn thương của nền kinh tế nhỏ</w:t>
      </w:r>
    </w:p>
    <w:p>
      <w:pPr>
        <w:pStyle w:val="FirstParagraph"/>
      </w:pPr>
      <w:r>
        <w:t xml:space="preserve">Cơ chế FIP ở cấp doanh nghiệp ăn khớp với đặc trưng tổn thương cấu trúc của các nền kinh tế nhỏ và thị trường biên được ghi nhận ở cấp vĩ mô. Bằng chứng của Ngân hàng Thế giới cho thấy bản chất phơi nhiễm bên ngoài của các thị trường biên là bất lợi so với thị trường mới nổi: dòng vốn danh mục biến động hơn, rổ xuất khẩu tập trung hơn, và nợ chủ yếu được định danh bằng ngoại tệ với mức dự trữ thấp, tất cả làm tăng rủi ro bảng cân đối (World Bank, 2026c). Đối với các nền kinh tế quy mô siêu nhỏ như SIDS Thái Bình Dương, những bất lợi này được khuếch đại bởi chi phí logistics cực cao và sự tập trung xuất khẩu cao độ, khiến việc gia tăng cường độ xuất khẩu không đi kèm phần thưởng năng suất mà thậm chí trở thành gánh nặng. Như vậy, FIP không phải một ngoại lệ thống kê mà là biểu hiện cấp doanh nghiệp của một quy luật cấu trúc rộng hơn: ở những bối cảnh thị trường nội địa quá nhỏ và đệm thể chế quá mỏng, quốc tế hóa mang tính bắt buộc chứ không phải lựa chọn chiến lược tối ưu hóa năng suất. Phát hiện này bổ sung một viên gạch vi mô còn thiếu vào bức tranh vĩ mô của Ngân hàng Thế giới về các nền kinh tế nhỏ và dễ tổn thương.</w:t>
      </w:r>
    </w:p>
    <w:p>
      <w:r>
        <w:pict>
          <v:rect style="width:0;height:1.5pt" o:hralign="center" o:hrstd="t" o:hr="t"/>
        </w:pict>
      </w:r>
    </w:p>
    <w:bookmarkEnd w:id="159"/>
    <w:bookmarkEnd w:id="160"/>
    <w:bookmarkStart w:id="161" w:name="Xfa456a9219d3acfaa17bcbc370e76a6bac65144"/>
    <w:p>
      <w:pPr>
        <w:pStyle w:val="Heading2"/>
      </w:pPr>
      <w:r>
        <w:t xml:space="preserve">4.8 Kết quả bối cảnh biến động thể chế cực đoan: Ấn Độ, 2014–2025 (P9)</w:t>
      </w:r>
    </w:p>
    <w:p>
      <w:pPr>
        <w:pStyle w:val="FirstParagraph"/>
      </w:pPr>
      <w:r>
        <w:t xml:space="preserve">Phân tích trên ba đợt WBES Ấn Độ (2014 PICS3,</w:t>
      </w:r>
      <w:r>
        <w:t xml:space="preserve"> </w:t>
      </w:r>
      <m:oMath>
        <m:sSub>
          <m:e>
            <m:r>
              <m:t>N</m:t>
            </m:r>
          </m:e>
          <m:sub>
            <m:r>
              <m:rPr>
                <m:nor/>
                <m:sty m:val="p"/>
              </m:rPr>
              <m:t>phân tích</m:t>
            </m:r>
          </m:sub>
        </m:sSub>
        <m:r>
          <m:rPr>
            <m:sty m:val="p"/>
          </m:rPr>
          <m:t>=</m:t>
        </m:r>
        <m:r>
          <m:t>8.941</m:t>
        </m:r>
      </m:oMath>
      <w:r>
        <w:t xml:space="preserve">; 2022 BEE,</w:t>
      </w:r>
      <w:r>
        <w:t xml:space="preserve"> </w:t>
      </w:r>
      <m:oMath>
        <m:sSub>
          <m:e>
            <m:r>
              <m:t>N</m:t>
            </m:r>
          </m:e>
          <m:sub>
            <m:r>
              <m:rPr>
                <m:nor/>
                <m:sty m:val="p"/>
              </m:rPr>
              <m:t>phân tích</m:t>
            </m:r>
          </m:sub>
        </m:sSub>
        <m:r>
          <m:rPr>
            <m:sty m:val="p"/>
          </m:rPr>
          <m:t>=</m:t>
        </m:r>
        <m:r>
          <m:t>9.300</m:t>
        </m:r>
      </m:oMath>
      <w:r>
        <w:t xml:space="preserve">; 2025 BREADY,</w:t>
      </w:r>
      <w:r>
        <w:t xml:space="preserve"> </w:t>
      </w:r>
      <m:oMath>
        <m:sSub>
          <m:e>
            <m:r>
              <m:t>N</m:t>
            </m:r>
          </m:e>
          <m:sub>
            <m:r>
              <m:rPr>
                <m:nor/>
                <m:sty m:val="p"/>
              </m:rPr>
              <m:t>phân tích</m:t>
            </m:r>
          </m:sub>
        </m:sSub>
        <m:r>
          <m:rPr>
            <m:sty m:val="p"/>
          </m:rPr>
          <m:t>=</m:t>
        </m:r>
        <m:r>
          <m:t>10.476</m:t>
        </m:r>
      </m:oMath>
      <w:r>
        <w:t xml:space="preserve">) cho mẫu gộp</w:t>
      </w:r>
      <w:r>
        <w:t xml:space="preserve"> </w:t>
      </w:r>
      <m:oMath>
        <m:r>
          <m:t>N</m:t>
        </m:r>
        <m:r>
          <m:rPr>
            <m:sty m:val="p"/>
          </m:rPr>
          <m:t>=</m:t>
        </m:r>
        <m:r>
          <m:t>28.717</m:t>
        </m:r>
      </m:oMath>
      <w:r>
        <w:t xml:space="preserve">, lớn nhất trong các nghiên cứu đơn quốc gia của luận án. Khoảng thời gian 2014–2025 bao trùm một loạt cú sốc thể chế chưa từng có trong lịch sử Ấn Độ hiện đại: bãi bỏ tiền mặt tháng 11/2016, ban hành Luật Phá sản và Mất khả năng thanh toán (IBC) tháng 5/2016, áp dụng Thuế Hàng hóa và Dịch vụ (GST) tháng 7/2017, ra mắt Giao diện Thanh toán Hợp nhất (UPI) tháng 4/2016 đạt mức 12 tỷ giao dịch/tháng năm 2024, triển khai sáng kiến Sản xuất tại Ấn Độ và chương trình Liên kết Khuyến khích Sản xuất (PLI) năm 2020, cùng chính sách Tự chủ Ấn Độ (Atmanirbhar Bharat) định hướng lại chiến lược quốc gia theo hướng nội địa hóa giai đoạn 2020.</w:t>
      </w:r>
    </w:p>
    <w:p>
      <w:pPr>
        <w:pStyle w:val="BodyText"/>
      </w:pPr>
      <w:r>
        <w:t xml:space="preserve">Kết quả thực nghiệm cho thấy một dạng phá vỡ ngưỡng (threshold collapse) không quan sát được ở bất kỳ bối cảnh quốc gia nào khác trong portfolio. Đợt 2014 ghi nhận quan hệ U ngược cổ điển với hệ số bậc nhất dương (</w:t>
      </w:r>
      <m:oMath>
        <m:sSub>
          <m:e>
            <m:r>
              <m:t>β</m:t>
            </m:r>
          </m:e>
          <m:sub>
            <m:r>
              <m:t>1</m:t>
            </m:r>
          </m:sub>
        </m:sSub>
        <m:r>
          <m:rPr>
            <m:sty m:val="p"/>
          </m:rPr>
          <m:t>=</m:t>
        </m:r>
        <m:r>
          <m:rPr>
            <m:sty m:val="p"/>
          </m:rPr>
          <m:t>+</m:t>
        </m:r>
        <m:r>
          <m:t>1</m:t>
        </m:r>
        <m:r>
          <m:rPr>
            <m:sty m:val="p"/>
          </m:rPr>
          <m:t>,</m:t>
        </m:r>
        <m:r>
          <m:t>865</m:t>
        </m:r>
      </m:oMath>
      <w:r>
        <w:t xml:space="preserve">,</w:t>
      </w:r>
      <w:r>
        <w:t xml:space="preserve"> </w:t>
      </w:r>
      <m:oMath>
        <m:r>
          <m:t>p</m:t>
        </m:r>
        <m:r>
          <m:rPr>
            <m:sty m:val="p"/>
          </m:rPr>
          <m:t>&lt;</m:t>
        </m:r>
        <m:r>
          <m:rPr>
            <m:sty m:val="p"/>
          </m:rPr>
          <m:t>,</m:t>
        </m:r>
        <m:r>
          <m:t>001</m:t>
        </m:r>
      </m:oMath>
      <w:r>
        <w:t xml:space="preserve">) và bậc hai âm (</w:t>
      </w:r>
      <m:oMath>
        <m:sSub>
          <m:e>
            <m:r>
              <m:t>β</m:t>
            </m:r>
          </m:e>
          <m:sub>
            <m:r>
              <m:t>2</m:t>
            </m:r>
          </m:sub>
        </m:sSub>
        <m:r>
          <m:rPr>
            <m:sty m:val="p"/>
          </m:rPr>
          <m:t>=</m:t>
        </m:r>
        <m:r>
          <m:rPr>
            <m:sty m:val="p"/>
          </m:rPr>
          <m:t>−</m:t>
        </m:r>
        <m:r>
          <m:t>1</m:t>
        </m:r>
        <m:r>
          <m:rPr>
            <m:sty m:val="p"/>
          </m:rPr>
          <m:t>,</m:t>
        </m:r>
        <m:r>
          <m:t>508</m:t>
        </m:r>
      </m:oMath>
      <w:r>
        <w:t xml:space="preserve">,</w:t>
      </w:r>
      <w:r>
        <w:t xml:space="preserve"> </w:t>
      </w:r>
      <m:oMath>
        <m:r>
          <m:t>p</m:t>
        </m:r>
        <m:r>
          <m:rPr>
            <m:sty m:val="p"/>
          </m:rPr>
          <m:t>&lt;</m:t>
        </m:r>
        <m:r>
          <m:rPr>
            <m:sty m:val="p"/>
          </m:rPr>
          <m:t>,</m:t>
        </m:r>
        <m:r>
          <m:t>001</m:t>
        </m:r>
      </m:oMath>
      <w:r>
        <w:t xml:space="preserve">), điểm uốn ước lượng tại</w:t>
      </w:r>
      <w:r>
        <w:t xml:space="preserve"> </w:t>
      </w:r>
      <m:oMath>
        <m:r>
          <m:t>T</m:t>
        </m:r>
        <m:r>
          <m:t>P</m:t>
        </m:r>
        <m:r>
          <m:rPr>
            <m:sty m:val="p"/>
          </m:rPr>
          <m:t>=</m:t>
        </m:r>
        <m:r>
          <m:t>61</m:t>
        </m:r>
        <m:r>
          <m:rPr>
            <m:sty m:val="p"/>
          </m:rPr>
          <m:t>,</m:t>
        </m:r>
        <m:r>
          <m:t>8</m:t>
        </m:r>
        <m:r>
          <m:rPr>
            <m:sty m:val="p"/>
          </m:rPr>
          <m:t>%</m:t>
        </m:r>
      </m:oMath>
      <w:r>
        <w:t xml:space="preserve"> </w:t>
      </w:r>
      <w:r>
        <w:t xml:space="preserve">FSTS (khoảng tin cậy delta-method 95%:</w:t>
      </w:r>
      <w:r>
        <w:t xml:space="preserve"> </w:t>
      </w:r>
      <m:oMath>
        <m:d>
          <m:dPr>
            <m:begChr m:val="["/>
            <m:endChr m:val="]"/>
            <m:sepChr m:val=""/>
            <m:grow/>
          </m:dPr>
          <m:e>
            <m:r>
              <m:t>55</m:t>
            </m:r>
            <m:r>
              <m:rPr>
                <m:sty m:val="p"/>
              </m:rPr>
              <m:t>,</m:t>
            </m:r>
            <m:r>
              <m:t>0</m:t>
            </m:r>
            <m:r>
              <m:rPr>
                <m:sty m:val="p"/>
              </m:rPr>
              <m:t>%</m:t>
            </m:r>
            <m:r>
              <m:rPr>
                <m:sty m:val="p"/>
              </m:rPr>
              <m:t>;</m:t>
            </m:r>
            <m:r>
              <m:t>68</m:t>
            </m:r>
            <m:r>
              <m:rPr>
                <m:sty m:val="p"/>
              </m:rPr>
              <m:t>,</m:t>
            </m:r>
            <m:r>
              <m:t>6</m:t>
            </m:r>
            <m:r>
              <m:rPr>
                <m:sty m:val="p"/>
              </m:rPr>
              <m:t>%</m:t>
            </m:r>
          </m:e>
        </m:d>
      </m:oMath>
      <w:r>
        <w:t xml:space="preserve">), Lind–Mehlum xác nhận đường cong U ngược ở mức</w:t>
      </w:r>
      <w:r>
        <w:t xml:space="preserve"> </w:t>
      </w:r>
      <m:oMath>
        <m:r>
          <m:t>p</m:t>
        </m:r>
        <m:r>
          <m:rPr>
            <m:sty m:val="p"/>
          </m:rPr>
          <m:t>&lt;</m:t>
        </m:r>
        <m:r>
          <m:rPr>
            <m:sty m:val="p"/>
          </m:rPr>
          <m:t>,</m:t>
        </m:r>
        <m:r>
          <m:t>001</m:t>
        </m:r>
      </m:oMath>
      <w:r>
        <w:t xml:space="preserve">. Đợt 2022, sau ba cú sốc thể chế đầu tiên (bãi bỏ tiền mặt, GST, IBC), đường cong U ngược vẫn duy trì nhưng điểm uốn đã dịch chuyển đáng kể vào trong:</w:t>
      </w:r>
      <w:r>
        <w:t xml:space="preserve"> </w:t>
      </w:r>
      <m:oMath>
        <m:sSub>
          <m:e>
            <m:r>
              <m:t>β</m:t>
            </m:r>
          </m:e>
          <m:sub>
            <m:r>
              <m:t>1</m:t>
            </m:r>
          </m:sub>
        </m:sSub>
        <m:r>
          <m:rPr>
            <m:sty m:val="p"/>
          </m:rPr>
          <m:t>=</m:t>
        </m:r>
        <m:r>
          <m:rPr>
            <m:sty m:val="p"/>
          </m:rPr>
          <m:t>+</m:t>
        </m:r>
        <m:r>
          <m:t>1</m:t>
        </m:r>
        <m:r>
          <m:rPr>
            <m:sty m:val="p"/>
          </m:rPr>
          <m:t>,</m:t>
        </m:r>
        <m:r>
          <m:t>542</m:t>
        </m:r>
      </m:oMath>
      <w:r>
        <w:t xml:space="preserve">,</w:t>
      </w:r>
      <w:r>
        <w:t xml:space="preserve"> </w:t>
      </w:r>
      <m:oMath>
        <m:sSub>
          <m:e>
            <m:r>
              <m:t>β</m:t>
            </m:r>
          </m:e>
          <m:sub>
            <m:r>
              <m:t>2</m:t>
            </m:r>
          </m:sub>
        </m:sSub>
        <m:r>
          <m:rPr>
            <m:sty m:val="p"/>
          </m:rPr>
          <m:t>=</m:t>
        </m:r>
        <m:r>
          <m:rPr>
            <m:sty m:val="p"/>
          </m:rPr>
          <m:t>−</m:t>
        </m:r>
        <m:r>
          <m:t>1</m:t>
        </m:r>
        <m:r>
          <m:rPr>
            <m:sty m:val="p"/>
          </m:rPr>
          <m:t>,</m:t>
        </m:r>
        <m:r>
          <m:t>893</m:t>
        </m:r>
      </m:oMath>
      <w:r>
        <w:t xml:space="preserve">,</w:t>
      </w:r>
      <w:r>
        <w:t xml:space="preserve"> </w:t>
      </w:r>
      <m:oMath>
        <m:r>
          <m:t>T</m:t>
        </m:r>
        <m:r>
          <m:t>P</m:t>
        </m:r>
        <m:r>
          <m:rPr>
            <m:sty m:val="p"/>
          </m:rPr>
          <m:t>=</m:t>
        </m:r>
        <m:r>
          <m:t>40</m:t>
        </m:r>
        <m:r>
          <m:rPr>
            <m:sty m:val="p"/>
          </m:rPr>
          <m:t>,</m:t>
        </m:r>
        <m:r>
          <m:t>7</m:t>
        </m:r>
        <m:r>
          <m:rPr>
            <m:sty m:val="p"/>
          </m:rPr>
          <m:t>%</m:t>
        </m:r>
      </m:oMath>
      <w:r>
        <w:t xml:space="preserve"> </w:t>
      </w:r>
      <w:r>
        <w:t xml:space="preserve">(khoảng tin cậy 95%:</w:t>
      </w:r>
      <w:r>
        <w:t xml:space="preserve"> </w:t>
      </w:r>
      <m:oMath>
        <m:d>
          <m:dPr>
            <m:begChr m:val="["/>
            <m:endChr m:val="]"/>
            <m:sepChr m:val=""/>
            <m:grow/>
          </m:dPr>
          <m:e>
            <m:r>
              <m:t>38</m:t>
            </m:r>
            <m:r>
              <m:rPr>
                <m:sty m:val="p"/>
              </m:rPr>
              <m:t>,</m:t>
            </m:r>
            <m:r>
              <m:t>0</m:t>
            </m:r>
            <m:r>
              <m:rPr>
                <m:sty m:val="p"/>
              </m:rPr>
              <m:t>%</m:t>
            </m:r>
            <m:r>
              <m:rPr>
                <m:sty m:val="p"/>
              </m:rPr>
              <m:t>;</m:t>
            </m:r>
            <m:r>
              <m:t>43</m:t>
            </m:r>
            <m:r>
              <m:rPr>
                <m:sty m:val="p"/>
              </m:rPr>
              <m:t>,</m:t>
            </m:r>
            <m:r>
              <m:t>5</m:t>
            </m:r>
            <m:r>
              <m:rPr>
                <m:sty m:val="p"/>
              </m:rPr>
              <m:t>%</m:t>
            </m:r>
          </m:e>
        </m:d>
      </m:oMath>
      <w:r>
        <w:t xml:space="preserve">). Đợt 2025, hệ số bậc hai mất ý nghĩa thống kê (</w:t>
      </w:r>
      <m:oMath>
        <m:sSub>
          <m:e>
            <m:r>
              <m:t>β</m:t>
            </m:r>
          </m:e>
          <m:sub>
            <m:r>
              <m:t>2</m:t>
            </m:r>
          </m:sub>
        </m:sSub>
        <m:r>
          <m:rPr>
            <m:sty m:val="p"/>
          </m:rPr>
          <m:t>=</m:t>
        </m:r>
        <m:r>
          <m:rPr>
            <m:sty m:val="p"/>
          </m:rPr>
          <m:t>−</m:t>
        </m:r>
        <m:r>
          <m:t>0</m:t>
        </m:r>
        <m:r>
          <m:rPr>
            <m:sty m:val="p"/>
          </m:rPr>
          <m:t>,</m:t>
        </m:r>
        <m:r>
          <m:t>160</m:t>
        </m:r>
      </m:oMath>
      <w:r>
        <w:t xml:space="preserve">,</w:t>
      </w:r>
      <w:r>
        <w:t xml:space="preserve"> </w:t>
      </w:r>
      <m:oMath>
        <m:r>
          <m:t>p</m:t>
        </m:r>
        <m:r>
          <m:rPr>
            <m:sty m:val="p"/>
          </m:rPr>
          <m:t>=</m:t>
        </m:r>
        <m:r>
          <m:rPr>
            <m:sty m:val="p"/>
          </m:rPr>
          <m:t>,</m:t>
        </m:r>
        <m:r>
          <m:t>420</m:t>
        </m:r>
      </m:oMath>
      <w:r>
        <w:t xml:space="preserve">), quan hệ trở thành đơn điệu âm trên toàn dải cường độ xuất khẩu thực tế.</w:t>
      </w:r>
    </w:p>
    <w:p>
      <w:pPr>
        <w:pStyle w:val="BodyText"/>
      </w:pPr>
      <w:r>
        <w:t xml:space="preserve">Kiểm định Paternoster so sánh hệ số giữa 2014 và 2025 bác bỏ giả thuyết cân bằng với cường độ cực mạnh:</w:t>
      </w:r>
      <w:r>
        <w:t xml:space="preserve"> </w:t>
      </w:r>
      <m:oMath>
        <m:r>
          <m:t>z</m:t>
        </m:r>
        <m:d>
          <m:dPr>
            <m:begChr m:val="("/>
            <m:endChr m:val=")"/>
            <m:sepChr m:val=""/>
            <m:grow/>
          </m:dPr>
          <m:e>
            <m:r>
              <m:rPr>
                <m:nor/>
                <m:sty m:val="p"/>
              </m:rPr>
              <m:t>FSTS</m:t>
            </m:r>
          </m:e>
        </m:d>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4</m:t>
        </m:r>
        <m:r>
          <m:rPr>
            <m:sty m:val="p"/>
          </m:rPr>
          <m:t>,</m:t>
        </m:r>
        <m:r>
          <m:t>17</m:t>
        </m:r>
      </m:oMath>
      <w:r>
        <w:t xml:space="preserve">,</w:t>
      </w:r>
      <w:r>
        <w:t xml:space="preserve"> </w:t>
      </w:r>
      <m:oMath>
        <m:r>
          <m:t>p</m:t>
        </m:r>
        <m:r>
          <m:rPr>
            <m:sty m:val="p"/>
          </m:rPr>
          <m:t>&lt;</m:t>
        </m:r>
        <m:r>
          <m:rPr>
            <m:sty m:val="p"/>
          </m:rPr>
          <m:t>,</m:t>
        </m:r>
        <m:r>
          <m:t>0001</m:t>
        </m:r>
      </m:oMath>
      <w:r>
        <w:t xml:space="preserve"> </w:t>
      </w:r>
      <w:r>
        <w:t xml:space="preserve">dưới sai số chuẩn HC1; dưới sai số chuẩn cụm theo bang (cluster-robust,</w:t>
      </w:r>
      <w:r>
        <w:t xml:space="preserve"> </w:t>
      </w:r>
      <m:oMath>
        <m:r>
          <m:t>G</m:t>
        </m:r>
        <m:r>
          <m:rPr>
            <m:sty m:val="p"/>
          </m:rPr>
          <m:t>=</m:t>
        </m:r>
        <m:r>
          <m:t>24</m:t>
        </m:r>
      </m:oMath>
      <w:r>
        <w:t xml:space="preserve"> </w:t>
      </w:r>
      <w:r>
        <w:t xml:space="preserve">bang), kết quả vẫn có ý nghĩa thống kê:</w:t>
      </w:r>
      <w:r>
        <w:t xml:space="preserve"> </w:t>
      </w:r>
      <m:oMath>
        <m:r>
          <m:t>z</m:t>
        </m:r>
        <m:d>
          <m:dPr>
            <m:begChr m:val="("/>
            <m:endChr m:val=")"/>
            <m:sepChr m:val=""/>
            <m:grow/>
          </m:dPr>
          <m:e>
            <m:r>
              <m:rPr>
                <m:nor/>
                <m:sty m:val="p"/>
              </m:rPr>
              <m:t>FSTS</m:t>
            </m:r>
          </m:e>
        </m:d>
        <m:r>
          <m:rPr>
            <m:sty m:val="p"/>
          </m:rPr>
          <m:t>=</m:t>
        </m:r>
        <m:r>
          <m:rPr>
            <m:sty m:val="p"/>
          </m:rPr>
          <m:t>−</m:t>
        </m:r>
        <m:r>
          <m:t>3</m:t>
        </m:r>
        <m:r>
          <m:rPr>
            <m:sty m:val="p"/>
          </m:rPr>
          <m:t>,</m:t>
        </m:r>
        <m:r>
          <m:t>50</m:t>
        </m:r>
      </m:oMath>
      <w:r>
        <w:t xml:space="preserve">,</w:t>
      </w:r>
      <w:r>
        <w:t xml:space="preserve"> </w:t>
      </w:r>
      <m:oMath>
        <m:r>
          <m:t>p</m:t>
        </m:r>
        <m:r>
          <m:rPr>
            <m:sty m:val="p"/>
          </m:rPr>
          <m:t>=</m:t>
        </m:r>
        <m:r>
          <m:rPr>
            <m:sty m:val="p"/>
          </m:rPr>
          <m:t>,</m:t>
        </m:r>
        <m:r>
          <m:t>001</m:t>
        </m:r>
      </m:oMath>
      <w:r>
        <w:t xml:space="preserve"> </w:t>
      </w:r>
      <w:r>
        <w:t xml:space="preserve">và</w:t>
      </w:r>
      <w:r>
        <w:t xml:space="preserve"> </w:t>
      </w:r>
      <m:oMath>
        <m:r>
          <m:t>z</m:t>
        </m:r>
        <m:d>
          <m:dPr>
            <m:begChr m:val="("/>
            <m:endChr m:val=")"/>
            <m:sepChr m:val=""/>
            <m:grow/>
          </m:dPr>
          <m:e>
            <m:sSup>
              <m:e>
                <m:r>
                  <m:rPr>
                    <m:nor/>
                    <m:sty m:val="p"/>
                  </m:rPr>
                  <m:t>FSTS</m:t>
                </m:r>
              </m:e>
              <m:sup>
                <m:r>
                  <m:t>2</m:t>
                </m:r>
              </m:sup>
            </m:sSup>
          </m:e>
        </m:d>
        <m:r>
          <m:rPr>
            <m:sty m:val="p"/>
          </m:rPr>
          <m:t>=</m:t>
        </m:r>
        <m:r>
          <m:rPr>
            <m:sty m:val="p"/>
          </m:rPr>
          <m:t>+</m:t>
        </m:r>
        <m:r>
          <m:t>2</m:t>
        </m:r>
        <m:r>
          <m:rPr>
            <m:sty m:val="p"/>
          </m:rPr>
          <m:t>,</m:t>
        </m:r>
        <m:r>
          <m:t>19</m:t>
        </m:r>
      </m:oMath>
      <w:r>
        <w:t xml:space="preserve">,</w:t>
      </w:r>
      <w:r>
        <w:t xml:space="preserve"> </w:t>
      </w:r>
      <m:oMath>
        <m:r>
          <m:t>p</m:t>
        </m:r>
        <m:r>
          <m:rPr>
            <m:sty m:val="p"/>
          </m:rPr>
          <m:t>=</m:t>
        </m:r>
        <m:r>
          <m:rPr>
            <m:sty m:val="p"/>
          </m:rPr>
          <m:t>,</m:t>
        </m:r>
        <m:r>
          <m:t>029</m:t>
        </m:r>
      </m:oMath>
      <w:r>
        <w:t xml:space="preserve">. Đặc tả gộp ba đợt với biến giả đợt khảo sát xác nhận sự dịch chuyển có hệ thống:</w:t>
      </w:r>
      <w:r>
        <w:t xml:space="preserve"> </w:t>
      </w:r>
      <m:oMath>
        <m:r>
          <m:t>β</m:t>
        </m:r>
        <m:d>
          <m:dPr>
            <m:begChr m:val="("/>
            <m:endChr m:val=")"/>
            <m:sepChr m:val=""/>
            <m:grow/>
          </m:dPr>
          <m:e>
            <m:r>
              <m:rPr>
                <m:nor/>
                <m:sty m:val="p"/>
              </m:rPr>
              <m:t>FSTS</m:t>
            </m:r>
            <m:r>
              <m:rPr>
                <m:sty m:val="p"/>
              </m:rPr>
              <m:t>×</m:t>
            </m:r>
            <m:r>
              <m:rPr>
                <m:nor/>
                <m:sty m:val="p"/>
              </m:rPr>
              <m:t>wave</m:t>
            </m:r>
            <m:r>
              <m:rPr>
                <m:sty m:val="p"/>
              </m:rPr>
              <m:t>_</m:t>
            </m:r>
            <m:r>
              <m:t>2025</m:t>
            </m:r>
          </m:e>
        </m:d>
        <m:r>
          <m:rPr>
            <m:sty m:val="p"/>
          </m:rPr>
          <m:t>=</m:t>
        </m:r>
        <m:r>
          <m:rPr>
            <m:sty m:val="p"/>
          </m:rPr>
          <m:t>−</m:t>
        </m:r>
        <m:r>
          <m:t>1</m:t>
        </m:r>
        <m:r>
          <m:rPr>
            <m:sty m:val="p"/>
          </m:rPr>
          <m:t>,</m:t>
        </m:r>
        <m:r>
          <m:t>63</m:t>
        </m:r>
      </m:oMath>
      <w:r>
        <w:t xml:space="preserve"> </w:t>
      </w:r>
      <w:r>
        <w:t xml:space="preserve">(</w:t>
      </w:r>
      <m:oMath>
        <m:r>
          <m:t>p</m:t>
        </m:r>
        <m:r>
          <m:rPr>
            <m:sty m:val="p"/>
          </m:rPr>
          <m:t>&lt;</m:t>
        </m:r>
        <m:r>
          <m:rPr>
            <m:sty m:val="p"/>
          </m:rPr>
          <m:t>,</m:t>
        </m:r>
        <m:r>
          <m:t>0001</m:t>
        </m:r>
      </m:oMath>
      <w:r>
        <w:t xml:space="preserve">), cho thấy độ dốc đường cong I-P đã thay đổi căn bản giữa 2014 và 2025.</w:t>
      </w:r>
    </w:p>
    <w:p>
      <w:pPr>
        <w:pStyle w:val="BodyText"/>
      </w:pPr>
      <w:r>
        <w:rPr>
          <w:bCs/>
          <w:b/>
        </w:rPr>
        <w:t xml:space="preserve">Bảng 4.6.</w:t>
      </w:r>
      <w:r>
        <w:t xml:space="preserve"> </w:t>
      </w:r>
      <w:r>
        <w:rPr>
          <w:iCs/>
          <w:i/>
        </w:rPr>
        <w:t xml:space="preserve">Điểm uốn theo đợt khảo sát, Ấn Độ.</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Đợt khảo sát</w:t>
            </w:r>
          </w:p>
        </w:tc>
        <w:tc>
          <w:tcPr/>
          <w:p>
            <w:pPr>
              <w:pStyle w:val="Compact"/>
              <w:jc w:val="left"/>
            </w:pPr>
            <m:oMath>
              <m:r>
                <m:t>N</m:t>
              </m:r>
            </m:oMath>
            <w:r>
              <w:t xml:space="preserve"> </w:t>
            </w:r>
            <w:r>
              <w:t xml:space="preserve">phân tích</w:t>
            </w:r>
          </w:p>
        </w:tc>
        <w:tc>
          <w:tcPr/>
          <w:p>
            <w:pPr>
              <w:pStyle w:val="Compact"/>
              <w:jc w:val="left"/>
            </w:pPr>
            <w:r>
              <w:t xml:space="preserve">Điểm uốn (TP)</w:t>
            </w:r>
          </w:p>
        </w:tc>
        <w:tc>
          <w:tcPr/>
          <w:p>
            <w:pPr>
              <w:pStyle w:val="Compact"/>
              <w:jc w:val="left"/>
            </w:pPr>
            <w:r>
              <w:t xml:space="preserve">Lind–Mehlum</w:t>
            </w:r>
          </w:p>
        </w:tc>
        <w:tc>
          <w:tcPr/>
          <w:p>
            <w:pPr>
              <w:pStyle w:val="Compact"/>
              <w:jc w:val="left"/>
            </w:pPr>
            <w:r>
              <w:t xml:space="preserve">Nhận xét</w:t>
            </w:r>
          </w:p>
        </w:tc>
      </w:tr>
      <w:tr>
        <w:tc>
          <w:tcPr/>
          <w:p>
            <w:pPr>
              <w:pStyle w:val="Compact"/>
              <w:jc w:val="left"/>
            </w:pPr>
            <w:r>
              <w:t xml:space="preserve">2014 (PICS3)</w:t>
            </w:r>
          </w:p>
        </w:tc>
        <w:tc>
          <w:tcPr/>
          <w:p>
            <w:pPr>
              <w:pStyle w:val="Compact"/>
              <w:jc w:val="left"/>
            </w:pPr>
            <w:r>
              <w:t xml:space="preserve">8.941</w:t>
            </w:r>
          </w:p>
        </w:tc>
        <w:tc>
          <w:tcPr/>
          <w:p>
            <w:pPr>
              <w:pStyle w:val="Compact"/>
              <w:jc w:val="left"/>
            </w:pPr>
            <w:r>
              <w:t xml:space="preserve">61,8% FSTS</w:t>
            </w:r>
          </w:p>
        </w:tc>
        <w:tc>
          <w:tcPr/>
          <w:p>
            <w:pPr>
              <w:pStyle w:val="Compact"/>
              <w:jc w:val="left"/>
            </w:pPr>
            <m:oMath>
              <m:r>
                <m:t>p</m:t>
              </m:r>
              <m:r>
                <m:rPr>
                  <m:sty m:val="p"/>
                </m:rPr>
                <m:t>&lt;</m:t>
              </m:r>
              <m:r>
                <m:rPr>
                  <m:sty m:val="p"/>
                </m:rPr>
                <m:t>,</m:t>
              </m:r>
              <m:r>
                <m:t>001</m:t>
              </m:r>
            </m:oMath>
          </w:p>
        </w:tc>
        <w:tc>
          <w:tcPr/>
          <w:p>
            <w:pPr>
              <w:pStyle w:val="Compact"/>
              <w:jc w:val="left"/>
            </w:pPr>
            <w:r>
              <w:t xml:space="preserve">U ngược cổ điển</w:t>
            </w:r>
          </w:p>
        </w:tc>
      </w:tr>
      <w:tr>
        <w:tc>
          <w:tcPr/>
          <w:p>
            <w:pPr>
              <w:pStyle w:val="Compact"/>
              <w:jc w:val="left"/>
            </w:pPr>
            <w:r>
              <w:t xml:space="preserve">2022 (BEE)</w:t>
            </w:r>
          </w:p>
        </w:tc>
        <w:tc>
          <w:tcPr/>
          <w:p>
            <w:pPr>
              <w:pStyle w:val="Compact"/>
              <w:jc w:val="left"/>
            </w:pPr>
            <w:r>
              <w:t xml:space="preserve">9.300</w:t>
            </w:r>
          </w:p>
        </w:tc>
        <w:tc>
          <w:tcPr/>
          <w:p>
            <w:pPr>
              <w:pStyle w:val="Compact"/>
              <w:jc w:val="left"/>
            </w:pPr>
            <w:r>
              <w:t xml:space="preserve">40,7% FSTS</w:t>
            </w:r>
          </w:p>
        </w:tc>
        <w:tc>
          <w:tcPr/>
          <w:p>
            <w:pPr>
              <w:pStyle w:val="Compact"/>
              <w:jc w:val="left"/>
            </w:pPr>
            <m:oMath>
              <m:r>
                <m:t>p</m:t>
              </m:r>
              <m:r>
                <m:rPr>
                  <m:sty m:val="p"/>
                </m:rPr>
                <m:t>&lt;</m:t>
              </m:r>
              <m:r>
                <m:rPr>
                  <m:sty m:val="p"/>
                </m:rPr>
                <m:t>,</m:t>
              </m:r>
              <m:r>
                <m:t>001</m:t>
              </m:r>
            </m:oMath>
          </w:p>
        </w:tc>
        <w:tc>
          <w:tcPr/>
          <w:p>
            <w:pPr>
              <w:pStyle w:val="Compact"/>
              <w:jc w:val="left"/>
            </w:pPr>
            <w:r>
              <w:t xml:space="preserve">U ngược, TP dịch trong</w:t>
            </w:r>
          </w:p>
        </w:tc>
      </w:tr>
      <w:tr>
        <w:tc>
          <w:tcPr/>
          <w:p>
            <w:pPr>
              <w:pStyle w:val="Compact"/>
              <w:jc w:val="left"/>
            </w:pPr>
            <w:r>
              <w:t xml:space="preserve">2025 (BREADY)</w:t>
            </w:r>
          </w:p>
        </w:tc>
        <w:tc>
          <w:tcPr/>
          <w:p>
            <w:pPr>
              <w:pStyle w:val="Compact"/>
              <w:jc w:val="left"/>
            </w:pPr>
            <w:r>
              <w:t xml:space="preserve">10.476</w:t>
            </w:r>
          </w:p>
        </w:tc>
        <w:tc>
          <w:tcPr/>
          <w:p>
            <w:pPr>
              <w:pStyle w:val="Compact"/>
              <w:jc w:val="left"/>
            </w:pPr>
            <w:r>
              <w:t xml:space="preserve">Không xác định</w:t>
            </w:r>
          </w:p>
        </w:tc>
        <w:tc>
          <w:tcPr/>
          <w:p>
            <w:pPr>
              <w:pStyle w:val="Compact"/>
              <w:jc w:val="left"/>
            </w:pPr>
            <m:oMath>
              <m:r>
                <m:t>p</m:t>
              </m:r>
              <m:r>
                <m:rPr>
                  <m:sty m:val="p"/>
                </m:rPr>
                <m:t>=</m:t>
              </m:r>
              <m:r>
                <m:rPr>
                  <m:sty m:val="p"/>
                </m:rPr>
                <m:t>,</m:t>
              </m:r>
              <m:r>
                <m:t>99</m:t>
              </m:r>
            </m:oMath>
          </w:p>
        </w:tc>
        <w:tc>
          <w:tcPr/>
          <w:p>
            <w:pPr>
              <w:pStyle w:val="Compact"/>
              <w:jc w:val="left"/>
            </w:pPr>
            <w:r>
              <w:t xml:space="preserve">Đường cong sụp đổ</w:t>
            </w:r>
          </w:p>
        </w:tc>
      </w:tr>
    </w:tbl>
    <w:p>
      <w:pPr>
        <w:pStyle w:val="BodyText"/>
      </w:pPr>
      <w:r>
        <w:rPr>
          <w:iCs/>
          <w:i/>
        </w:rPr>
        <w:t xml:space="preserve">Nguồn: phân tích Ấn Độ của tác giả (nghiên cứu thành phần P9), mở rộng công trình đã công bố Do và Phan (2025, IntechOpen, phân tích 380 doanh nghiệp WBES Ấn Độ, ước lượng FGLS); bản thảo mở rộng kiểm định độ bền ngưỡng I–P qua ba đợt 2014–2025 đang chuẩn bị cho MIR/IJOEM.</w:t>
      </w:r>
    </w:p>
    <w:p>
      <w:pPr>
        <w:pStyle w:val="BodyText"/>
      </w:pPr>
      <w:r>
        <w:t xml:space="preserve">Phát hiện ngưỡng phá vỡ ở Ấn Độ trái ngược trực tiếp với kết quả Trung Quốc thuộc chế độ thu nhập trung bình cao (Nhóm III ICRV), trong khi Ấn Độ thuộc Nhóm IV (chuyển đổi thu nhập trung bình–thấp), nơi điểm uốn của Trung Quốc được chứng minh là bền vững cấu trúc qua 12 năm tăng trưởng tích lũy (P5 China:</w:t>
      </w:r>
      <w:r>
        <w:t xml:space="preserve"> </w:t>
      </w:r>
      <m:oMath>
        <m:r>
          <m:t>T</m:t>
        </m:r>
        <m:r>
          <m:t>P</m:t>
        </m:r>
        <m:r>
          <m:rPr>
            <m:sty m:val="p"/>
          </m:rPr>
          <m:t>=</m:t>
        </m:r>
        <m:r>
          <m:t>49</m:t>
        </m:r>
        <m:r>
          <m:rPr>
            <m:sty m:val="p"/>
          </m:rPr>
          <m:t>,</m:t>
        </m:r>
        <m:r>
          <m:t>4</m:t>
        </m:r>
        <m:r>
          <m:rPr>
            <m:sty m:val="p"/>
          </m:rPr>
          <m:t>%</m:t>
        </m:r>
      </m:oMath>
      <w:r>
        <w:t xml:space="preserve"> </w:t>
      </w:r>
      <w:r>
        <w:t xml:space="preserve">năm 2012 so với</w:t>
      </w:r>
      <w:r>
        <w:t xml:space="preserve"> </w:t>
      </w:r>
      <m:oMath>
        <m:r>
          <m:t>T</m:t>
        </m:r>
        <m:r>
          <m:t>P</m:t>
        </m:r>
        <m:r>
          <m:rPr>
            <m:sty m:val="p"/>
          </m:rPr>
          <m:t>=</m:t>
        </m:r>
        <m:r>
          <m:t>47</m:t>
        </m:r>
        <m:r>
          <m:rPr>
            <m:sty m:val="p"/>
          </m:rPr>
          <m:t>,</m:t>
        </m:r>
        <m:r>
          <m:t>2</m:t>
        </m:r>
        <m:r>
          <m:rPr>
            <m:sty m:val="p"/>
          </m:rPr>
          <m:t>%</m:t>
        </m:r>
      </m:oMath>
      <w:r>
        <w:t xml:space="preserve"> </w:t>
      </w:r>
      <w:r>
        <w:t xml:space="preserve">năm 2024, Paternoster</w:t>
      </w:r>
      <w:r>
        <w:t xml:space="preserve"> </w:t>
      </w:r>
      <m:oMath>
        <m:r>
          <m:t>z</m:t>
        </m:r>
        <m:r>
          <m:rPr>
            <m:sty m:val="p"/>
          </m:rPr>
          <m:t>=</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 </w:t>
      </w:r>
      <w:r>
        <w:t xml:space="preserve">chấp nhận giả thuyết cân bằng). Sự đối lập này cho thấy bền vững ngưỡng không phải đặc tính phổ quát của chế độ thể chế ICRV III mà phụ thuộc vào mức độ và tốc độ thay đổi thể chế tích lũy trong cửa sổ quan sát.</w:t>
      </w:r>
    </w:p>
    <w:p>
      <w:pPr>
        <w:pStyle w:val="BodyText"/>
      </w:pPr>
      <w:r>
        <w:t xml:space="preserve">Vai trò của TCI tại Ấn Độ cho thấy hiện tượng đảo dấu (sign flip) chưa từng quan sát ở các bối cảnh quốc gia khác. Năm 2014, hiệu ứng trực tiếp TCI dương đáng kể (</w:t>
      </w:r>
      <m:oMath>
        <m:r>
          <m:t>β</m:t>
        </m:r>
        <m:r>
          <m:rPr>
            <m:sty m:val="p"/>
          </m:rPr>
          <m:t>=</m:t>
        </m:r>
        <m:r>
          <m:rPr>
            <m:sty m:val="p"/>
          </m:rPr>
          <m:t>+</m:t>
        </m:r>
        <m:r>
          <m:t>0</m:t>
        </m:r>
        <m:r>
          <m:rPr>
            <m:sty m:val="p"/>
          </m:rPr>
          <m:t>,</m:t>
        </m:r>
        <m:r>
          <m:t>12</m:t>
        </m:r>
      </m:oMath>
      <w:r>
        <w:t xml:space="preserve">,</w:t>
      </w:r>
      <w:r>
        <w:t xml:space="preserve"> </w:t>
      </w:r>
      <m:oMath>
        <m:r>
          <m:t>p</m:t>
        </m:r>
        <m:r>
          <m:rPr>
            <m:sty m:val="p"/>
          </m:rPr>
          <m:t>&lt;</m:t>
        </m:r>
        <m:r>
          <m:rPr>
            <m:sty m:val="p"/>
          </m:rPr>
          <m:t>,</m:t>
        </m:r>
        <m:r>
          <m:t>001</m:t>
        </m:r>
      </m:oMath>
      <w:r>
        <w:t xml:space="preserve">), năm 2022 tiếp tục dương và mạnh hơn (</w:t>
      </w:r>
      <m:oMath>
        <m:r>
          <m:t>β</m:t>
        </m:r>
        <m:r>
          <m:rPr>
            <m:sty m:val="p"/>
          </m:rPr>
          <m:t>=</m:t>
        </m:r>
        <m:r>
          <m:rPr>
            <m:sty m:val="p"/>
          </m:rPr>
          <m:t>+</m:t>
        </m:r>
        <m:r>
          <m:t>0</m:t>
        </m:r>
        <m:r>
          <m:rPr>
            <m:sty m:val="p"/>
          </m:rPr>
          <m:t>,</m:t>
        </m:r>
        <m:r>
          <m:t>19</m:t>
        </m:r>
      </m:oMath>
      <w:r>
        <w:t xml:space="preserve">,</w:t>
      </w:r>
      <w:r>
        <w:t xml:space="preserve"> </w:t>
      </w:r>
      <m:oMath>
        <m:r>
          <m:t>p</m:t>
        </m:r>
        <m:r>
          <m:rPr>
            <m:sty m:val="p"/>
          </m:rPr>
          <m:t>&lt;</m:t>
        </m:r>
        <m:r>
          <m:rPr>
            <m:sty m:val="p"/>
          </m:rPr>
          <m:t>,</m:t>
        </m:r>
        <m:r>
          <m:t>001</m:t>
        </m:r>
      </m:oMath>
      <w:r>
        <w:t xml:space="preserve">), nhưng năm 2025 đảo sang âm (</w:t>
      </w:r>
      <m:oMath>
        <m:r>
          <m:t>β</m:t>
        </m:r>
        <m:r>
          <m:rPr>
            <m:sty m:val="p"/>
          </m:rPr>
          <m:t>=</m:t>
        </m:r>
        <m:r>
          <m:rPr>
            <m:sty m:val="p"/>
          </m:rPr>
          <m:t>−</m:t>
        </m:r>
        <m:r>
          <m:t>0</m:t>
        </m:r>
        <m:r>
          <m:rPr>
            <m:sty m:val="p"/>
          </m:rPr>
          <m:t>,</m:t>
        </m:r>
        <m:r>
          <m:t>08</m:t>
        </m:r>
      </m:oMath>
      <w:r>
        <w:t xml:space="preserve">,</w:t>
      </w:r>
      <w:r>
        <w:t xml:space="preserve"> </w:t>
      </w:r>
      <m:oMath>
        <m:r>
          <m:t>p</m:t>
        </m:r>
        <m:r>
          <m:rPr>
            <m:sty m:val="p"/>
          </m:rPr>
          <m:t>&lt;</m:t>
        </m:r>
        <m:r>
          <m:rPr>
            <m:sty m:val="p"/>
          </m:rPr>
          <m:t>,</m:t>
        </m:r>
        <m:r>
          <m:t>001</m:t>
        </m:r>
      </m:oMath>
      <w:r>
        <w:t xml:space="preserve">) đi kèm tương tác FSTS</w:t>
      </w:r>
      <m:oMath>
        <m:r>
          <m:rPr>
            <m:sty m:val="p"/>
          </m:rPr>
          <m:t>×</m:t>
        </m:r>
      </m:oMath>
      <w:r>
        <w:t xml:space="preserve">TCI dương (</w:t>
      </w:r>
      <m:oMath>
        <m:r>
          <m:t>β</m:t>
        </m:r>
        <m:r>
          <m:rPr>
            <m:sty m:val="p"/>
          </m:rPr>
          <m:t>=</m:t>
        </m:r>
        <m:r>
          <m:rPr>
            <m:sty m:val="p"/>
          </m:rPr>
          <m:t>+</m:t>
        </m:r>
        <m:r>
          <m:t>0</m:t>
        </m:r>
        <m:r>
          <m:rPr>
            <m:sty m:val="p"/>
          </m:rPr>
          <m:t>,</m:t>
        </m:r>
        <m:r>
          <m:t>20</m:t>
        </m:r>
      </m:oMath>
      <w:r>
        <w:t xml:space="preserve">,</w:t>
      </w:r>
      <w:r>
        <w:t xml:space="preserve"> </w:t>
      </w:r>
      <m:oMath>
        <m:r>
          <m:t>p</m:t>
        </m:r>
        <m:r>
          <m:rPr>
            <m:sty m:val="p"/>
          </m:rPr>
          <m:t>=</m:t>
        </m:r>
        <m:r>
          <m:rPr>
            <m:sty m:val="p"/>
          </m:rPr>
          <m:t>,</m:t>
        </m:r>
        <m:r>
          <m:t>03</m:t>
        </m:r>
      </m:oMath>
      <w:r>
        <w:t xml:space="preserve">). Diễn giải nhất quán nhất với khung Mizik và Jacobson (2003) về đánh đổi chú trọng chiến lược (strategic emphasis trade-off): khi chính sách PLI và Atmanirbhar Bharat sau 2020 chuyển hướng năng lực công nghệ sang sản xuất nội địa, đầu tư TCI của doanh nghiệp định hướng nội địa cạnh tranh nguồn lực với hoạt động xuất khẩu, làm triệt tiêu lợi ích năng suất TCI vốn quan sát được khi tích lũy năng lực không thiên kiến giữa nội địa và xuất khẩu.</w:t>
      </w:r>
    </w:p>
    <w:p>
      <w:pPr>
        <w:pStyle w:val="BodyText"/>
      </w:pPr>
      <w:r>
        <w:t xml:space="preserve">Vai trò của DAI tại Ấn Độ làm rõ một sự tinh chỉnh lý thuyết quan trọng cho khung CDCM. Tại đợt 2025, ngoài chỉ báo Tier-1 (trang web) chung cho cả ba đợt, WBES BREADY cung cấp thêm chỉ báo Tier-2 (tỷ trọng doanh thu nhận qua thanh toán điện tử, biến</w:t>
      </w:r>
      <w:r>
        <w:t xml:space="preserve"> </w:t>
      </w:r>
      <w:r>
        <w:rPr>
          <w:rStyle w:val="VerbatimChar"/>
        </w:rPr>
        <w:t xml:space="preserve">k33</w:t>
      </w:r>
      <w:r>
        <w:t xml:space="preserve">) làm bối cảnh thí nghiệm gần tự nhiên cho hạ tầng số công cộng UPI. Tương tác DAI Tier-2 với cường độ xuất khẩu lại âm và có ý nghĩa thống kê:</w:t>
      </w:r>
      <w:r>
        <w:t xml:space="preserve"> </w:t>
      </w:r>
      <m:oMath>
        <m:r>
          <m:rPr>
            <m:nor/>
            <m:sty m:val="p"/>
          </m:rPr>
          <m:t>FSTS</m:t>
        </m:r>
        <m:r>
          <m:rPr>
            <m:sty m:val="p"/>
          </m:rPr>
          <m:t>×</m:t>
        </m:r>
        <m:sSub>
          <m:e>
            <m:r>
              <m:rPr>
                <m:nor/>
                <m:sty m:val="p"/>
              </m:rPr>
              <m:t>DAI</m:t>
            </m:r>
          </m:e>
          <m:sub>
            <m:r>
              <m:t>T</m:t>
            </m:r>
            <m:r>
              <m:t>i</m:t>
            </m:r>
            <m:r>
              <m:t>e</m:t>
            </m:r>
            <m:r>
              <m:t>r</m:t>
            </m:r>
            <m:r>
              <m:rPr>
                <m:sty m:val="p"/>
              </m:rPr>
              <m:t>−</m:t>
            </m:r>
            <m:r>
              <m:t>2</m:t>
            </m:r>
          </m:sub>
        </m:sSub>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ngược với dự đoán phụ phẩm cộng hưởng năng lực số công cộng. Diễn giải cộng hưởng (complementarity reading): hạ tầng số công cộng UPI vận hành trên đường ray rupee nội địa và yêu cầu KYC Aadhaar cho đối tác cư trú tại Ấn Độ; doanh nghiệp xuất khẩu cần hạ tầng tài chính xuyên biên giới khác hẳn (SWIFT, ngân hàng đại lý, tài trợ thương mại, bảo hiểm tín dụng xuất khẩu) mà UPI không thể thay thế. Phát hiện này cho thấy hạ tầng công cộng số chỉ thay thế năng lực tư nhân khi hai loại hạ tầng có cùng định hướng mục đích, không phải thay thế phổ quát cho mọi hoạt động sản xuất doanh nghiệp.</w:t>
      </w:r>
    </w:p>
    <w:p>
      <w:r>
        <w:pict>
          <v:rect style="width:0;height:1.5pt" o:hralign="center" o:hrstd="t" o:hr="t"/>
        </w:pict>
      </w:r>
    </w:p>
    <w:bookmarkEnd w:id="161"/>
    <w:bookmarkStart w:id="162" w:name="X3f9ed6ea86262c6caa26e51d1f917462628cea6"/>
    <w:p>
      <w:pPr>
        <w:pStyle w:val="Heading2"/>
      </w:pPr>
      <w:r>
        <w:t xml:space="preserve">4.9 Tam giác hóa kết quả cấp doanh nghiệp với bằng chứng vĩ mô độc lập</w:t>
      </w:r>
    </w:p>
    <w:p>
      <w:pPr>
        <w:pStyle w:val="FirstParagraph"/>
      </w:pPr>
      <w:r>
        <w:t xml:space="preserve">Một thử thách then chốt đối với tính giá trị của các phát hiện cấp doanh nghiệp là liệu chúng có nhất quán với bằng chứng vĩ mô độc lập hay không. Mục này thực hiện tam giác hóa (triangulation) bốn kết quả trụ cột của luận án với các báo cáo chuyên đề mới nhất của Ngân hàng Thế giới (2026), qua đó củng cố tính giá trị hội tụ (convergent validity) của khung ICRV.</w:t>
      </w:r>
    </w:p>
    <w:p>
      <w:pPr>
        <w:pStyle w:val="BodyText"/>
      </w:pPr>
      <w:r>
        <w:rPr>
          <w:bCs/>
          <w:b/>
        </w:rPr>
        <w:t xml:space="preserve">Thứ nhất, gradient thể chế của điểm uốn (H5) hội tụ với quy luật vĩ mô</w:t>
      </w:r>
      <w:r>
        <w:rPr>
          <w:bCs/>
          <w:b/>
        </w:rPr>
        <w:t xml:space="preserve"> </w:t>
      </w:r>
      <w:r>
        <w:rPr>
          <w:bCs/>
          <w:b/>
        </w:rPr>
        <w:t xml:space="preserve">“</w:t>
      </w:r>
      <w:r>
        <w:rPr>
          <w:bCs/>
          <w:b/>
        </w:rPr>
        <w:t xml:space="preserve">thể chế tốt hơn đi liền tăng trưởng nhanh hơn</w:t>
      </w:r>
      <w:r>
        <w:rPr>
          <w:bCs/>
          <w:b/>
        </w:rPr>
        <w:t xml:space="preserve">”</w:t>
      </w:r>
      <w:r>
        <w:rPr>
          <w:bCs/>
          <w:b/>
        </w:rPr>
        <w:t xml:space="preserve">.</w:t>
      </w:r>
      <w:r>
        <w:t xml:space="preserve"> </w:t>
      </w:r>
      <w:r>
        <w:t xml:space="preserve">Luận án phát hiện chế độ thể chế quyết định chính sự tồn tại và vị trí của chữ U ngược: đường cong định hình rõ nét nhất ở vùng giữa gradient thể chế (Nhóm IV, điểm uốn 43,0%), duỗi thẳng gần tuyến tính ở biên trên và mất cấu trúc ở biên dưới (§4.6.2). Ở cấp vĩ mô, Ngân hàng Thế giới ghi nhận rằng các thị trường biên tăng trưởng nhanh nhất là những nền đã cải thiện quản trị, thu hẹp chênh lệch lãi suất ngân hàng và kiểm soát nợ công, trong khi các điểm yếu thể chế đi kèm tăng trưởng vốn đáng thất vọng (World Bank, 2026c). Hai tầng bằng chứng cùng chỉ về một cơ chế: chất lượng thể chế quyết định mức độ và điều kiện mà tích lũy vốn và quốc tế hóa chuyển hóa thành kết quả thực. Gradient điểm uốn cấp doanh nghiệp của luận án vì vậy có thể đọc như biểu hiện vi mô của quy luật phân hóa tăng trưởng vĩ mô.</w:t>
      </w:r>
    </w:p>
    <w:p>
      <w:pPr>
        <w:pStyle w:val="BodyText"/>
      </w:pPr>
      <w:r>
        <w:rPr>
          <w:bCs/>
          <w:b/>
        </w:rPr>
        <w:t xml:space="preserve">Thứ hai, hai cơ chế FDI tương phản giữa nhóm tài nguyên và nhóm đổi mới ăn khớp với cú sốc hàng hóa 2026.</w:t>
      </w:r>
      <w:r>
        <w:t xml:space="preserve"> </w:t>
      </w:r>
      <w:r>
        <w:t xml:space="preserve">Luận án cho thấy nhóm Advanced tài nguyên dẫn dắt (Nhóm II, các nền GCC) có phân tán năng suất hẹp đặc trưng của kinh tế nhà nước tô, nơi phân phối lại tô lợi tài nguyên san bằng khác biệt năng suất giữa doanh nghiệp (§4.1, Chuyên đề 1). Cú sốc xung đột Trung Đông năm 2026, với giá năng lượng dự báo tăng 24% và giá hàng hóa nói chung tăng 16%, đẩy giá kim loại cơ bản và quý lên mức cao kỷ lục (World Bank, 2026d), củng cố vị thế tô lợi của nhóm này trong ngắn hạn nhưng đồng thời khắc sâu rủi ro phụ thuộc tài nguyên mà mô hình tăng trưởng dựa trên đổi mới (Nhóm I) không gặp phải. Bối cảnh hàng hóa 2026 vì vậy làm rõ hơn vì sao việc gộp hai loại Advanced thành một nhóm duy nhất, như văn liệu trước thường làm, che khuất hai cơ chế chuyển hóa quốc tế hóa hoàn toàn khác nhau.</w:t>
      </w:r>
    </w:p>
    <w:p>
      <w:pPr>
        <w:pStyle w:val="BodyText"/>
      </w:pPr>
      <w:r>
        <w:rPr>
          <w:bCs/>
          <w:b/>
        </w:rPr>
        <w:t xml:space="preserve">Thứ ba, Nghịch lý bão hòa số và vai trò DAI ăn khớp với chương trình nghị sự về thể chế công trong kỷ nguyên AI.</w:t>
      </w:r>
      <w:r>
        <w:t xml:space="preserve"> </w:t>
      </w:r>
      <w:r>
        <w:t xml:space="preserve">Luận án cho thấy phần thưởng của hiện diện số Tier-1 co lại ở các nền kinh tế tiên tiến nơi nó đã tiệm cận bão hòa, trong khi vẫn còn dư địa ở các nền đang chuyển đổi (§4.3.2, §4.6.3). Phân tích của Ngân hàng Thế giới về thể chế công trong kỷ nguyên trí tuệ nhân tạo nhấn mạnh rằng hạ tầng số công và quản trị dữ liệu là điều kiện nền tảng quyết định năng lực số được chuyển hóa thành giá trị, và rằng giai đoạn trưởng thành số khác nhau đòi hỏi công cụ chính sách khác nhau (World Bank, 2026e). Sự tương đồng này củng cố luận điểm cốt lõi của khung CDCM: phần thưởng của áp dụng số là hàm của mức độ phát triển thể chế và tầng năng lực số được đo, chứ không phải một</w:t>
      </w:r>
      <w:r>
        <w:t xml:space="preserve"> </w:t>
      </w:r>
      <w:r>
        <w:t xml:space="preserve">“</w:t>
      </w:r>
      <w:r>
        <w:t xml:space="preserve">phần bù số</w:t>
      </w:r>
      <w:r>
        <w:t xml:space="preserve">”</w:t>
      </w:r>
      <w:r>
        <w:t xml:space="preserve"> </w:t>
      </w:r>
      <w:r>
        <w:t xml:space="preserve">đồng nhất.</w:t>
      </w:r>
    </w:p>
    <w:p>
      <w:pPr>
        <w:pStyle w:val="BodyText"/>
      </w:pPr>
      <w:r>
        <w:rPr>
          <w:bCs/>
          <w:b/>
        </w:rPr>
        <w:t xml:space="preserve">Thứ tư, FIP và thách thức việc làm của các nền kinh tế biên định vị đóng góp chính sách của luận án.</w:t>
      </w:r>
      <w:r>
        <w:t xml:space="preserve"> </w:t>
      </w:r>
      <w:r>
        <w:t xml:space="preserve">Phát hiện FIP tại SIDS (§4.7) và việc xác nhận rằng quốc tế hóa chỉ tạo phần thưởng năng suất trong điều kiện thể chế và năng lực đủ mạnh, đặt trong bối cảnh hơn 230 triệu người sẽ bước vào tuổi lao động ở các thị trường biên giai đoạn 2025–2035 (World Bank, 2026c), cho thấy chính sách thúc đẩy xuất khẩu đơn thuần là chưa đủ và có thể phản tác dụng ở những bối cảnh dễ tổn thương. Hàm ý chính sách của luận án, ưu tiên nâng cấp năng lực công nghệ trước khi mở rộng cường độ quốc tế hóa, vì vậy nhất quán với khuyến nghị vĩ mô của Ngân hàng Thế giới về việc đầu tư vào hạ tầng nền tảng và năng lực hấp thụ như điều kiện để các nền kinh tế biên hiện thực hóa tiềm năng (World Bank, 2026c).</w:t>
      </w:r>
    </w:p>
    <w:p>
      <w:pPr>
        <w:pStyle w:val="BodyText"/>
      </w:pPr>
      <w:r>
        <w:t xml:space="preserve">Bốn điểm hội tụ trên cho thấy các phát hiện cấp doanh nghiệp của luận án không đứng tách biệt mà ăn khớp một cách hệ thống với bằng chứng vĩ mô độc lập gần nhất. Sự tam giác hóa này tăng cường tính giá trị của khung ICRV và đặt đóng góp của luận án vào đúng dòng chảy nghiên cứu phát triển đương đại.</w:t>
      </w:r>
    </w:p>
    <w:p>
      <w:r>
        <w:pict>
          <v:rect style="width:0;height:1.5pt" o:hralign="center" o:hrstd="t" o:hr="t"/>
        </w:pict>
      </w:r>
    </w:p>
    <w:bookmarkEnd w:id="162"/>
    <w:bookmarkStart w:id="163" w:name="tổng-hợp-kết-quả-theo-hệ-giả-thuyết"/>
    <w:p>
      <w:pPr>
        <w:pStyle w:val="Heading2"/>
      </w:pPr>
      <w:r>
        <w:t xml:space="preserve">4.10 Tổng hợp kết quả theo hệ giả thuyết</w:t>
      </w:r>
    </w:p>
    <w:p>
      <w:pPr>
        <w:pStyle w:val="FirstParagraph"/>
      </w:pPr>
      <w:r>
        <w:t xml:space="preserve">Trước khi tổng hợp theo hệ giả thuyết, Bảng 4.7 hợp nhất các ước lượng trụ cột của bảy nghiên cứu thành phần thực nghiệm, cho phép đối chiếu trực tiếp dạng hàm, điểm uốn, vai trò của hai cấu trúc số (TCI, DAI) và quy mô mẫu xuyên các bối cảnh ICRV.</w:t>
      </w:r>
    </w:p>
    <w:p>
      <w:pPr>
        <w:pStyle w:val="BodyText"/>
      </w:pPr>
      <w:r>
        <w:rPr>
          <w:bCs/>
          <w:b/>
        </w:rPr>
        <w:t xml:space="preserve">Bảng 4.7.</w:t>
      </w:r>
      <w:r>
        <w:t xml:space="preserve"> </w:t>
      </w:r>
      <w:r>
        <w:rPr>
          <w:iCs/>
          <w:i/>
        </w:rPr>
        <w:t xml:space="preserve">Tổng hợp ước lượng các nghiên cứu thành phần thực nghiệm.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NC</w:t>
            </w:r>
          </w:p>
        </w:tc>
        <w:tc>
          <w:tcPr/>
          <w:p>
            <w:pPr>
              <w:pStyle w:val="Compact"/>
              <w:jc w:val="left"/>
            </w:pPr>
            <w:r>
              <w:t xml:space="preserve">Bối cảnh (nhóm ICRV)</w:t>
            </w:r>
          </w:p>
        </w:tc>
        <w:tc>
          <w:tcPr/>
          <w:p>
            <w:pPr>
              <w:pStyle w:val="Compact"/>
              <w:jc w:val="right"/>
            </w:pPr>
            <w:r>
              <w:t xml:space="preserve">N</w:t>
            </w:r>
          </w:p>
        </w:tc>
        <w:tc>
          <w:tcPr/>
          <w:p>
            <w:pPr>
              <w:pStyle w:val="Compact"/>
              <w:jc w:val="left"/>
            </w:pPr>
            <w:r>
              <w:t xml:space="preserve">Dạng hàm I–P</w:t>
            </w:r>
          </w:p>
        </w:tc>
        <w:tc>
          <w:tcPr/>
          <w:p>
            <w:pPr>
              <w:pStyle w:val="Compact"/>
              <w:jc w:val="left"/>
            </w:pPr>
            <w:r>
              <w:t xml:space="preserve">Điểm uốn (FSTS)</w:t>
            </w:r>
          </w:p>
        </w:tc>
        <w:tc>
          <w:tcPr/>
          <w:p>
            <w:pPr>
              <w:pStyle w:val="Compact"/>
              <w:jc w:val="left"/>
            </w:pPr>
            <w:r>
              <w:t xml:space="preserve">Vai trò TCI</w:t>
            </w:r>
          </w:p>
        </w:tc>
        <w:tc>
          <w:tcPr/>
          <w:p>
            <w:pPr>
              <w:pStyle w:val="Compact"/>
              <w:jc w:val="left"/>
            </w:pPr>
            <w:r>
              <w:t xml:space="preserve">Vai trò DAI</w:t>
            </w:r>
          </w:p>
        </w:tc>
      </w:tr>
      <w:tr>
        <w:tc>
          <w:tcPr/>
          <w:p>
            <w:pPr>
              <w:pStyle w:val="Compact"/>
              <w:jc w:val="left"/>
            </w:pPr>
            <w:r>
              <w:t xml:space="preserve">P3</w:t>
            </w:r>
          </w:p>
        </w:tc>
        <w:tc>
          <w:tcPr/>
          <w:p>
            <w:pPr>
              <w:pStyle w:val="Compact"/>
              <w:jc w:val="left"/>
            </w:pPr>
            <w:r>
              <w:t xml:space="preserve">Việt Nam (IV)</w:t>
            </w:r>
          </w:p>
        </w:tc>
        <w:tc>
          <w:tcPr/>
          <w:p>
            <w:pPr>
              <w:pStyle w:val="Compact"/>
              <w:jc w:val="right"/>
            </w:pPr>
            <w:r>
              <w:t xml:space="preserve">2.958</w:t>
            </w:r>
          </w:p>
        </w:tc>
        <w:tc>
          <w:tcPr/>
          <w:p>
            <w:pPr>
              <w:pStyle w:val="Compact"/>
              <w:jc w:val="left"/>
            </w:pPr>
            <w:r>
              <w:t xml:space="preserve">U ngược</w:t>
            </w:r>
          </w:p>
        </w:tc>
        <w:tc>
          <w:tcPr/>
          <w:p>
            <w:pPr>
              <w:pStyle w:val="Compact"/>
              <w:jc w:val="left"/>
            </w:pPr>
            <w:r>
              <w:t xml:space="preserve">39–46%</w:t>
            </w:r>
          </w:p>
        </w:tc>
        <w:tc>
          <w:tcPr/>
          <w:p>
            <w:pPr>
              <w:pStyle w:val="Compact"/>
              <w:jc w:val="left"/>
            </w:pPr>
            <w:r>
              <w:t xml:space="preserve">dương, có ý nghĩa (β=0,179, IV)</w:t>
            </w:r>
          </w:p>
        </w:tc>
        <w:tc>
          <w:tcPr/>
          <w:p>
            <w:pPr>
              <w:pStyle w:val="Compact"/>
              <w:jc w:val="left"/>
            </w:pPr>
            <w:r>
              <w:t xml:space="preserve">null (Tier-1)</w:t>
            </w:r>
          </w:p>
        </w:tc>
      </w:tr>
      <w:tr>
        <w:tc>
          <w:tcPr/>
          <w:p>
            <w:pPr>
              <w:pStyle w:val="Compact"/>
              <w:jc w:val="left"/>
            </w:pPr>
            <w:r>
              <w:t xml:space="preserve">P4</w:t>
            </w:r>
          </w:p>
        </w:tc>
        <w:tc>
          <w:tcPr/>
          <w:p>
            <w:pPr>
              <w:pStyle w:val="Compact"/>
              <w:jc w:val="left"/>
            </w:pPr>
            <w:r>
              <w:t xml:space="preserve">Singapore (I)</w:t>
            </w:r>
          </w:p>
        </w:tc>
        <w:tc>
          <w:tcPr/>
          <w:p>
            <w:pPr>
              <w:pStyle w:val="Compact"/>
              <w:jc w:val="right"/>
            </w:pPr>
            <w:r>
              <w:t xml:space="preserve">623</w:t>
            </w:r>
          </w:p>
        </w:tc>
        <w:tc>
          <w:tcPr/>
          <w:p>
            <w:pPr>
              <w:pStyle w:val="Compact"/>
              <w:jc w:val="left"/>
            </w:pPr>
            <w:r>
              <w:t xml:space="preserve">gần tuyến tính dương</w:t>
            </w:r>
          </w:p>
        </w:tc>
        <w:tc>
          <w:tcPr/>
          <w:p>
            <w:pPr>
              <w:pStyle w:val="Compact"/>
              <w:jc w:val="left"/>
            </w:pPr>
            <w:r>
              <w:t xml:space="preserve">~88,6% (không định vị chắc)</w:t>
            </w:r>
          </w:p>
        </w:tc>
        <w:tc>
          <w:tcPr/>
          <w:p>
            <w:pPr>
              <w:pStyle w:val="Compact"/>
              <w:jc w:val="left"/>
            </w:pPr>
            <w:r>
              <w:t xml:space="preserve">yếu tố vệ sinh</w:t>
            </w:r>
          </w:p>
        </w:tc>
        <w:tc>
          <w:tcPr/>
          <w:p>
            <w:pPr>
              <w:pStyle w:val="Compact"/>
              <w:jc w:val="left"/>
            </w:pPr>
            <w:r>
              <w:t xml:space="preserve">FSTS²×DAI=+3,119**</w:t>
            </w:r>
          </w:p>
        </w:tc>
      </w:tr>
      <w:tr>
        <w:tc>
          <w:tcPr/>
          <w:p>
            <w:pPr>
              <w:pStyle w:val="Compact"/>
              <w:jc w:val="left"/>
            </w:pPr>
            <w:r>
              <w:t xml:space="preserve">P5</w:t>
            </w:r>
          </w:p>
        </w:tc>
        <w:tc>
          <w:tcPr/>
          <w:p>
            <w:pPr>
              <w:pStyle w:val="Compact"/>
              <w:jc w:val="left"/>
            </w:pPr>
            <w:r>
              <w:t xml:space="preserve">Trung Quốc (III)</w:t>
            </w:r>
          </w:p>
        </w:tc>
        <w:tc>
          <w:tcPr/>
          <w:p>
            <w:pPr>
              <w:pStyle w:val="Compact"/>
              <w:jc w:val="right"/>
            </w:pPr>
            <w:r>
              <w:t xml:space="preserve">4.559</w:t>
            </w:r>
          </w:p>
        </w:tc>
        <w:tc>
          <w:tcPr/>
          <w:p>
            <w:pPr>
              <w:pStyle w:val="Compact"/>
              <w:jc w:val="left"/>
            </w:pPr>
            <w:r>
              <w:t xml:space="preserve">U ngược</w:t>
            </w:r>
          </w:p>
        </w:tc>
        <w:tc>
          <w:tcPr/>
          <w:p>
            <w:pPr>
              <w:pStyle w:val="Compact"/>
              <w:jc w:val="left"/>
            </w:pPr>
            <w:r>
              <w:t xml:space="preserve">47–49% (ổn định 2012–2024)</w:t>
            </w:r>
          </w:p>
        </w:tc>
        <w:tc>
          <w:tcPr/>
          <w:p>
            <w:pPr>
              <w:pStyle w:val="Compact"/>
              <w:jc w:val="left"/>
            </w:pPr>
            <w:r>
              <w:t xml:space="preserve">dương (+0,26→+0,43)</w:t>
            </w:r>
          </w:p>
        </w:tc>
        <w:tc>
          <w:tcPr/>
          <w:p>
            <w:pPr>
              <w:pStyle w:val="Compact"/>
              <w:jc w:val="left"/>
            </w:pPr>
            <w:r>
              <w:t xml:space="preserve">n/a</w:t>
            </w:r>
          </w:p>
        </w:tc>
      </w:tr>
      <w:tr>
        <w:tc>
          <w:tcPr/>
          <w:p>
            <w:pPr>
              <w:pStyle w:val="Compact"/>
              <w:jc w:val="left"/>
            </w:pPr>
            <w:r>
              <w:t xml:space="preserve">P6</w:t>
            </w:r>
          </w:p>
        </w:tc>
        <w:tc>
          <w:tcPr/>
          <w:p>
            <w:pPr>
              <w:pStyle w:val="Compact"/>
              <w:jc w:val="left"/>
            </w:pPr>
            <w:r>
              <w:t xml:space="preserve">Meta-analysis (toàn cầu)</w:t>
            </w:r>
          </w:p>
        </w:tc>
        <w:tc>
          <w:tcPr/>
          <w:p>
            <w:pPr>
              <w:pStyle w:val="Compact"/>
              <w:jc w:val="right"/>
            </w:pPr>
            <w:r>
              <w:t xml:space="preserve">k=238</w:t>
            </w:r>
          </w:p>
        </w:tc>
        <w:tc>
          <w:tcPr/>
          <w:p>
            <w:pPr>
              <w:pStyle w:val="Compact"/>
              <w:jc w:val="left"/>
            </w:pPr>
            <w:r>
              <w:t xml:space="preserve">dương nhỏ</w:t>
            </w:r>
          </w:p>
        </w:tc>
        <w:tc>
          <w:tcPr/>
          <w:p>
            <w:pPr>
              <w:pStyle w:val="Compact"/>
              <w:jc w:val="left"/>
            </w:pPr>
            <w:r>
              <w:t xml:space="preserve">n/a</w:t>
            </w:r>
          </w:p>
        </w:tc>
        <w:tc>
          <w:tcPr/>
          <w:p>
            <w:pPr>
              <w:pStyle w:val="Compact"/>
              <w:jc w:val="left"/>
            </w:pPr>
            <w:r>
              <w:t xml:space="preserve">n/a</w:t>
            </w:r>
          </w:p>
        </w:tc>
        <w:tc>
          <w:tcPr/>
          <w:p>
            <w:pPr>
              <w:pStyle w:val="Compact"/>
              <w:jc w:val="left"/>
            </w:pPr>
            <w:r>
              <w:t xml:space="preserve">r=0,074; I²=62,4%</w:t>
            </w:r>
          </w:p>
        </w:tc>
      </w:tr>
      <w:tr>
        <w:tc>
          <w:tcPr/>
          <w:p>
            <w:pPr>
              <w:pStyle w:val="Compact"/>
              <w:jc w:val="left"/>
            </w:pPr>
            <w:r>
              <w:t xml:space="preserve">P7</w:t>
            </w:r>
          </w:p>
        </w:tc>
        <w:tc>
          <w:tcPr/>
          <w:p>
            <w:pPr>
              <w:pStyle w:val="Compact"/>
              <w:jc w:val="left"/>
            </w:pPr>
            <w:r>
              <w:t xml:space="preserve">Đa quốc gia (50 nền, I–VI)</w:t>
            </w:r>
          </w:p>
        </w:tc>
        <w:tc>
          <w:tcPr/>
          <w:p>
            <w:pPr>
              <w:pStyle w:val="Compact"/>
              <w:jc w:val="right"/>
            </w:pPr>
            <w:r>
              <w:t xml:space="preserve">81.022</w:t>
            </w:r>
          </w:p>
        </w:tc>
        <w:tc>
          <w:tcPr/>
          <w:p>
            <w:pPr>
              <w:pStyle w:val="Compact"/>
              <w:jc w:val="left"/>
            </w:pPr>
            <w:r>
              <w:t xml:space="preserve">U ngược</w:t>
            </w:r>
          </w:p>
        </w:tc>
        <w:tc>
          <w:tcPr/>
          <w:p>
            <w:pPr>
              <w:pStyle w:val="Compact"/>
              <w:jc w:val="left"/>
            </w:pPr>
            <w:r>
              <w:t xml:space="preserve">43,6% (M5); rõ nhất ở Nhóm IV (43,0%)</w:t>
            </w:r>
          </w:p>
        </w:tc>
        <w:tc>
          <w:tcPr/>
          <w:p>
            <w:pPr>
              <w:pStyle w:val="Compact"/>
              <w:jc w:val="left"/>
            </w:pPr>
            <w:r>
              <w:t xml:space="preserve">nâng mặt bằng (+0,141 sd)</w:t>
            </w:r>
          </w:p>
        </w:tc>
        <w:tc>
          <w:tcPr/>
          <w:p>
            <w:pPr>
              <w:pStyle w:val="Compact"/>
              <w:jc w:val="left"/>
            </w:pPr>
            <w:r>
              <w:t xml:space="preserve">nâng mặt bằng (+0,201 sd)</w:t>
            </w:r>
          </w:p>
        </w:tc>
      </w:tr>
      <w:tr>
        <w:tc>
          <w:tcPr/>
          <w:p>
            <w:pPr>
              <w:pStyle w:val="Compact"/>
              <w:jc w:val="left"/>
            </w:pPr>
            <w:r>
              <w:t xml:space="preserve">P8</w:t>
            </w:r>
          </w:p>
        </w:tc>
        <w:tc>
          <w:tcPr/>
          <w:p>
            <w:pPr>
              <w:pStyle w:val="Compact"/>
              <w:jc w:val="left"/>
            </w:pPr>
            <w:r>
              <w:t xml:space="preserve">SIDS Pacific (VI)</w:t>
            </w:r>
          </w:p>
        </w:tc>
        <w:tc>
          <w:tcPr/>
          <w:p>
            <w:pPr>
              <w:pStyle w:val="Compact"/>
              <w:jc w:val="right"/>
            </w:pPr>
            <w:r>
              <w:t xml:space="preserve">959</w:t>
            </w:r>
          </w:p>
        </w:tc>
        <w:tc>
          <w:tcPr/>
          <w:p>
            <w:pPr>
              <w:pStyle w:val="Compact"/>
              <w:jc w:val="left"/>
            </w:pPr>
            <w:r>
              <w:t xml:space="preserve">âm đơn điệu (FIP)</w:t>
            </w:r>
          </w:p>
        </w:tc>
        <w:tc>
          <w:tcPr/>
          <w:p>
            <w:pPr>
              <w:pStyle w:val="Compact"/>
              <w:jc w:val="left"/>
            </w:pPr>
            <w:r>
              <w:t xml:space="preserve">không có</w:t>
            </w:r>
          </w:p>
        </w:tc>
        <w:tc>
          <w:tcPr/>
          <w:p>
            <w:pPr>
              <w:pStyle w:val="Compact"/>
              <w:jc w:val="left"/>
            </w:pPr>
            <w:r>
              <w:t xml:space="preserve">n/a</w:t>
            </w:r>
          </w:p>
        </w:tc>
        <w:tc>
          <w:tcPr/>
          <w:p>
            <w:pPr>
              <w:pStyle w:val="Compact"/>
              <w:jc w:val="left"/>
            </w:pPr>
            <w:r>
              <w:t xml:space="preserve">β(FSTS)=−1,339***</w:t>
            </w:r>
          </w:p>
        </w:tc>
      </w:tr>
      <w:tr>
        <w:tc>
          <w:tcPr/>
          <w:p>
            <w:pPr>
              <w:pStyle w:val="Compact"/>
              <w:jc w:val="left"/>
            </w:pPr>
            <w:r>
              <w:t xml:space="preserve">P9</w:t>
            </w:r>
          </w:p>
        </w:tc>
        <w:tc>
          <w:tcPr/>
          <w:p>
            <w:pPr>
              <w:pStyle w:val="Compact"/>
              <w:jc w:val="left"/>
            </w:pPr>
            <w:r>
              <w:t xml:space="preserve">Ấn Độ (IV)</w:t>
            </w:r>
          </w:p>
        </w:tc>
        <w:tc>
          <w:tcPr/>
          <w:p>
            <w:pPr>
              <w:pStyle w:val="Compact"/>
              <w:jc w:val="right"/>
            </w:pPr>
            <w:r>
              <w:t xml:space="preserve">28.717</w:t>
            </w:r>
          </w:p>
        </w:tc>
        <w:tc>
          <w:tcPr/>
          <w:p>
            <w:pPr>
              <w:pStyle w:val="Compact"/>
              <w:jc w:val="left"/>
            </w:pPr>
            <w:r>
              <w:t xml:space="preserve">U ngược → sụp đổ ngưỡng</w:t>
            </w:r>
          </w:p>
        </w:tc>
        <w:tc>
          <w:tcPr/>
          <w:p>
            <w:pPr>
              <w:pStyle w:val="Compact"/>
              <w:jc w:val="left"/>
            </w:pPr>
            <w:r>
              <w:t xml:space="preserve">61,8%→40,7%→tan biến</w:t>
            </w:r>
          </w:p>
        </w:tc>
        <w:tc>
          <w:tcPr/>
          <w:p>
            <w:pPr>
              <w:pStyle w:val="Compact"/>
              <w:jc w:val="left"/>
            </w:pPr>
            <w:r>
              <w:t xml:space="preserve">n/a</w:t>
            </w:r>
          </w:p>
        </w:tc>
        <w:tc>
          <w:tcPr/>
          <w:p>
            <w:pPr>
              <w:pStyle w:val="Compact"/>
              <w:jc w:val="left"/>
            </w:pPr>
            <w:r>
              <w:t xml:space="preserve">n/a</w:t>
            </w:r>
          </w:p>
        </w:tc>
      </w:tr>
    </w:tbl>
    <w:p>
      <w:pPr>
        <w:pStyle w:val="BodyText"/>
      </w:pPr>
      <w:r>
        <w:rPr>
          <w:iCs/>
          <w:i/>
        </w:rPr>
        <w:t xml:space="preserve">Nguồn: tổng hợp từ các nghiên cứu thành phần P3–P9. ** p &lt; ,01; *** p &lt; ,001. Điểm uốn xác nhận bằng kiểm định Lind–Mehlum (2010). Điểm uốn P7 = 43,6% ở mô hình đầy đủ M5 trên khung 50 nền (dải 43,6–51,5% giữa các đặc tả).</w:t>
      </w:r>
    </w:p>
    <w:p>
      <w:pPr>
        <w:pStyle w:val="BodyText"/>
      </w:pPr>
      <w:r>
        <w:t xml:space="preserve">Bảng 4.7 làm nổi bật ba quy luật xuyên suốt. Thứ nhất,</w:t>
      </w:r>
      <w:r>
        <w:t xml:space="preserve"> </w:t>
      </w:r>
      <w:r>
        <w:rPr>
          <w:bCs/>
          <w:b/>
        </w:rPr>
        <w:t xml:space="preserve">dạng hàm chữ U ngược là quy luật chứ không phải ngoại lệ</w:t>
      </w:r>
      <w:r>
        <w:t xml:space="preserve">, được xác nhận ở năm trong bảy nghiên cứu (P3, P5, P7, P9 và một phần P4), với hai trường hợp biên có ý nghĩa lý thuyết riêng: quan hệ âm đơn điệu tại SIDS (P8, FIP) và sự tan biến ngưỡng dưới biến động thể chế cực đoan tại Ấn Độ (P9). Thứ hai,</w:t>
      </w:r>
      <w:r>
        <w:t xml:space="preserve"> </w:t>
      </w:r>
      <w:r>
        <w:rPr>
          <w:bCs/>
          <w:b/>
        </w:rPr>
        <w:t xml:space="preserve">điểm uốn dịch theo chiều thể chế</w:t>
      </w:r>
      <w:r>
        <w:t xml:space="preserve">: từ ~88,6% ở Singapore (Nhóm I) xuống 47–49% ở Trung Quốc (III) và 39–46% ở Việt Nam (IV), nhất quán với gradient toàn mẫu của P7. Thứ ba,</w:t>
      </w:r>
      <w:r>
        <w:t xml:space="preserve"> </w:t>
      </w:r>
      <w:r>
        <w:rPr>
          <w:bCs/>
          <w:b/>
        </w:rPr>
        <w:t xml:space="preserve">TCI và DAI vận hành khác nhau</w:t>
      </w:r>
      <w:r>
        <w:t xml:space="preserve">: TCI nhất quán nâng mặt bằng năng suất, trong khi vai trò DAI phụ thuộc bối cảnh (nén đường cong ở thể chế yếu, khuếch đại ở Singapore), củng cố sự phân biệt cốt lõi của khung CDCM.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Giả thuyết</w:t>
            </w:r>
          </w:p>
        </w:tc>
        <w:tc>
          <w:tcPr/>
          <w:p>
            <w:pPr>
              <w:pStyle w:val="Compact"/>
              <w:jc w:val="left"/>
            </w:pPr>
            <w:r>
              <w:t xml:space="preserve">Nội dung</w:t>
            </w:r>
          </w:p>
        </w:tc>
        <w:tc>
          <w:tcPr/>
          <w:p>
            <w:pPr>
              <w:pStyle w:val="Compact"/>
              <w:jc w:val="left"/>
            </w:pPr>
            <w:r>
              <w:t xml:space="preserve">Kết quả</w:t>
            </w:r>
          </w:p>
        </w:tc>
      </w:tr>
      <w:tr>
        <w:tc>
          <w:tcPr/>
          <w:p>
            <w:pPr>
              <w:pStyle w:val="Compact"/>
              <w:jc w:val="left"/>
            </w:pPr>
            <w:r>
              <w:t xml:space="preserve">H1 (Phi tuyến chữ U ngược)</w:t>
            </w:r>
          </w:p>
        </w:tc>
        <w:tc>
          <w:tcPr/>
          <w:p>
            <w:pPr>
              <w:pStyle w:val="Compact"/>
              <w:jc w:val="left"/>
            </w:pPr>
            <w:r>
              <w:t xml:space="preserve">I–P có dạng chữ U ngược</w:t>
            </w:r>
          </w:p>
        </w:tc>
        <w:tc>
          <w:tcPr/>
          <w:p>
            <w:pPr>
              <w:pStyle w:val="Compact"/>
              <w:jc w:val="left"/>
            </w:pPr>
            <w:r>
              <w:t xml:space="preserve">Xác nhận tại Trung Quốc, Việt Nam và toàn mẫu P7; xác nhận một phần tại Singapore và Nhật Bản (gần tuyến tính, điểm uốn ngoài miền); không áp dụng tại SIDS</w:t>
            </w:r>
          </w:p>
        </w:tc>
      </w:tr>
      <w:tr>
        <w:tc>
          <w:tcPr/>
          <w:p>
            <w:pPr>
              <w:pStyle w:val="Compact"/>
              <w:jc w:val="left"/>
            </w:pPr>
            <w:r>
              <w:t xml:space="preserve">H2 (TCI điều tiết dương)</w:t>
            </w:r>
          </w:p>
        </w:tc>
        <w:tc>
          <w:tcPr/>
          <w:p>
            <w:pPr>
              <w:pStyle w:val="Compact"/>
              <w:jc w:val="left"/>
            </w:pPr>
            <w:r>
              <w:t xml:space="preserve">TCI khuếch đại I–P</w:t>
            </w:r>
          </w:p>
        </w:tc>
        <w:tc>
          <w:tcPr/>
          <w:p>
            <w:pPr>
              <w:pStyle w:val="Compact"/>
              <w:jc w:val="left"/>
            </w:pPr>
            <w:r>
              <w:t xml:space="preserve">Xác nhận một phần: TCI nâng mặt bằng năng suất tại tất cả bối cảnh (+0,141***, 50 nền); uốn đường cong xác nhận tại Việt Nam nhưng không ý nghĩa tại toàn mẫu P7</w:t>
            </w:r>
          </w:p>
        </w:tc>
      </w:tr>
      <w:tr>
        <w:tc>
          <w:tcPr/>
          <w:p>
            <w:pPr>
              <w:pStyle w:val="Compact"/>
              <w:jc w:val="left"/>
            </w:pPr>
            <w:r>
              <w:t xml:space="preserve">H3 (DAI điều tiết)</w:t>
            </w:r>
          </w:p>
        </w:tc>
        <w:tc>
          <w:tcPr/>
          <w:p>
            <w:pPr>
              <w:pStyle w:val="Compact"/>
              <w:jc w:val="left"/>
            </w:pPr>
            <w:r>
              <w:t xml:space="preserve">DAI thay đổi độ dốc I–P</w:t>
            </w:r>
          </w:p>
        </w:tc>
        <w:tc>
          <w:tcPr/>
          <w:p>
            <w:pPr>
              <w:pStyle w:val="Compact"/>
              <w:jc w:val="left"/>
            </w:pPr>
            <w:r>
              <w:t xml:space="preserve">Hỗ trợ một phần: hiệu ứng mức phổ quát (+0,201*</w:t>
            </w:r>
            <w:r>
              <w:rPr>
                <w:bCs/>
                <w:b/>
              </w:rPr>
              <w:t xml:space="preserve">, 50 nền); tương tác đường cong cùng chiều nén nhưng không ý nghĩa toàn mẫu; bằng chứng điều tiết rõ nhất ở bối cảnh đơn quốc gia (P4: FSTS²×DAI = +3,119</w:t>
            </w:r>
            <w:r>
              <w:t xml:space="preserve">); null tại Việt Nam (Tier-1) tương thích với hạn chế đo lường</w:t>
            </w:r>
          </w:p>
        </w:tc>
      </w:tr>
      <w:tr>
        <w:tc>
          <w:tcPr/>
          <w:p>
            <w:pPr>
              <w:pStyle w:val="Compact"/>
              <w:jc w:val="left"/>
            </w:pPr>
            <w:r>
              <w:t xml:space="preserve">H4 (Nhà quản trị điều tiết)</w:t>
            </w:r>
          </w:p>
        </w:tc>
        <w:tc>
          <w:tcPr/>
          <w:p>
            <w:pPr>
              <w:pStyle w:val="Compact"/>
              <w:jc w:val="left"/>
            </w:pPr>
            <w:r>
              <w:t xml:space="preserve">Kinh nghiệm/giới tính nhà quản trị</w:t>
            </w:r>
          </w:p>
        </w:tc>
        <w:tc>
          <w:tcPr/>
          <w:p>
            <w:pPr>
              <w:pStyle w:val="Compact"/>
              <w:jc w:val="left"/>
            </w:pPr>
            <w:r>
              <w:t xml:space="preserve">Không được hỗ trợ trên toàn mẫu 50 nền (nữ quản lý: mức −0,088, p=,026; tương tác FSTS không ý nghĩa); hiệu ứng phụ thuộc bối cảnh</w:t>
            </w:r>
          </w:p>
        </w:tc>
      </w:tr>
      <w:tr>
        <w:tc>
          <w:tcPr/>
          <w:p>
            <w:pPr>
              <w:pStyle w:val="Compact"/>
              <w:jc w:val="left"/>
            </w:pPr>
            <w:r>
              <w:t xml:space="preserve">H5 (ICRV gradient)</w:t>
            </w:r>
          </w:p>
        </w:tc>
        <w:tc>
          <w:tcPr/>
          <w:p>
            <w:pPr>
              <w:pStyle w:val="Compact"/>
              <w:jc w:val="left"/>
            </w:pPr>
            <w:r>
              <w:t xml:space="preserve">Thể chế điều tiết gradient I–P</w:t>
            </w:r>
          </w:p>
        </w:tc>
        <w:tc>
          <w:tcPr/>
          <w:p>
            <w:pPr>
              <w:pStyle w:val="Compact"/>
              <w:jc w:val="left"/>
            </w:pPr>
            <w:r>
              <w:t xml:space="preserve">Xác nhận một phần: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w:r>
              <w:rPr>
                <w:iCs/>
                <w:i/>
              </w:rPr>
              <w:t xml:space="preserve">df</w:t>
            </w:r>
            <w:r>
              <w:t xml:space="preserve"> </w:t>
            </w:r>
            <w:r>
              <w:t xml:space="preserve">= 4,</w:t>
            </w:r>
            <w:r>
              <w:t xml:space="preserve"> </w:t>
            </w:r>
            <w:r>
              <w:rPr>
                <w:iCs/>
                <w:i/>
              </w:rPr>
              <w:t xml:space="preserve">p</w:t>
            </w:r>
            <w:r>
              <w:t xml:space="preserve"> </w:t>
            </w:r>
            <w:r>
              <w:t xml:space="preserve">= ,002) từ P6 MARA xác nhận dị biệt giữa chế độ; gradient định hướng (E1a/E1b) chưa xác nhận do</w:t>
            </w:r>
            <w:r>
              <w:t xml:space="preserve"> </w:t>
            </w:r>
            <w:r>
              <w:rPr>
                <w:iCs/>
                <w:i/>
              </w:rPr>
              <w:t xml:space="preserve">k</w:t>
            </w:r>
            <w:r>
              <w:t xml:space="preserve"> </w:t>
            </w:r>
            <w:r>
              <w:t xml:space="preserve">= 3 tại nhóm Frontier (bin FR, hệ 5-regime của P6); gradient ICRV → TP được xác nhận từ P7</w:t>
            </w:r>
          </w:p>
        </w:tc>
      </w:tr>
      <w:tr>
        <w:tc>
          <w:tcPr/>
          <w:p>
            <w:pPr>
              <w:pStyle w:val="Compact"/>
              <w:jc w:val="left"/>
            </w:pPr>
            <w:r>
              <w:t xml:space="preserve">H6 (Temporal heterogeneity)</w:t>
            </w:r>
          </w:p>
        </w:tc>
        <w:tc>
          <w:tcPr/>
          <w:p>
            <w:pPr>
              <w:pStyle w:val="Compact"/>
              <w:jc w:val="left"/>
            </w:pPr>
            <w:r>
              <w:t xml:space="preserve">Hình dạng I–P thay đổi theo thời gian</w:t>
            </w:r>
          </w:p>
        </w:tc>
        <w:tc>
          <w:tcPr/>
          <w:p>
            <w:pPr>
              <w:pStyle w:val="Compact"/>
              <w:jc w:val="left"/>
            </w:pPr>
            <w:r>
              <w:t xml:space="preserve">Không xác nhận tại Trung Quốc (</w:t>
            </w:r>
            <m:oMath>
              <m:r>
                <m:t>F</m:t>
              </m:r>
              <m:r>
                <m:rPr>
                  <m:sty m:val="p"/>
                </m:rPr>
                <m:t>=</m:t>
              </m:r>
              <m:r>
                <m:t>1</m:t>
              </m:r>
              <m:r>
                <m:rPr>
                  <m:sty m:val="p"/>
                </m:rPr>
                <m:t>,</m:t>
              </m:r>
              <m:r>
                <m:t>83</m:t>
              </m:r>
            </m:oMath>
            <w:r>
              <w:t xml:space="preserve">,</w:t>
            </w:r>
            <w:r>
              <w:t xml:space="preserve"> </w:t>
            </w:r>
            <m:oMath>
              <m:r>
                <m:t>p</m:t>
              </m:r>
              <m:r>
                <m:rPr>
                  <m:sty m:val="p"/>
                </m:rPr>
                <m:t>=</m:t>
              </m:r>
              <m:r>
                <m:rPr>
                  <m:sty m:val="p"/>
                </m:rPr>
                <m:t>,</m:t>
              </m:r>
              <m:r>
                <m:t>176</m:t>
              </m:r>
            </m:oMath>
            <w:r>
              <w:t xml:space="preserve">); TP dịch chuyển tại Việt Nam giữa 2009 và 2015</w:t>
            </w:r>
          </w:p>
        </w:tc>
      </w:tr>
      <w:tr>
        <w:tc>
          <w:tcPr/>
          <w:p>
            <w:pPr>
              <w:pStyle w:val="Compact"/>
              <w:jc w:val="left"/>
            </w:pPr>
            <w:r>
              <w:t xml:space="preserve">H1b (FIP, SIDS boundary condition)</w:t>
            </w:r>
          </w:p>
        </w:tc>
        <w:tc>
          <w:tcPr/>
          <w:p>
            <w:pPr>
              <w:pStyle w:val="Compact"/>
              <w:jc w:val="left"/>
            </w:pPr>
            <w:r>
              <w:t xml:space="preserve">Quan hệ âm đơn điệu tại SIDS</w:t>
            </w:r>
          </w:p>
        </w:tc>
        <w:tc>
          <w:tcPr/>
          <w:p>
            <w:pPr>
              <w:pStyle w:val="Compact"/>
              <w:jc w:val="left"/>
            </w:pPr>
            <w:r>
              <w:t xml:space="preserve">Xác nhận:</w:t>
            </w:r>
            <w:r>
              <w:t xml:space="preserve"> </w:t>
            </w:r>
            <m:oMath>
              <m:r>
                <m:t>β</m:t>
              </m:r>
              <m:r>
                <m:rPr>
                  <m:sty m:val="p"/>
                </m:rPr>
                <m:t>=</m:t>
              </m:r>
              <m:r>
                <m:rPr>
                  <m:sty m:val="p"/>
                </m:rPr>
                <m:t>−</m:t>
              </m:r>
              <m:r>
                <m:t>1</m:t>
              </m:r>
              <m:r>
                <m:rPr>
                  <m:sty m:val="p"/>
                </m:rPr>
                <m:t>,</m:t>
              </m:r>
              <m:sSup>
                <m:e>
                  <m:r>
                    <m:t>339</m:t>
                  </m:r>
                </m:e>
                <m:sup>
                  <m:r>
                    <m:rPr>
                      <m:sty m:val="p"/>
                    </m:rPr>
                    <m:t>*</m:t>
                  </m:r>
                  <m:r>
                    <m:rPr>
                      <m:sty m:val="p"/>
                    </m:rPr>
                    <m:t>*</m:t>
                  </m:r>
                  <m:r>
                    <m:rPr>
                      <m:sty m:val="p"/>
                    </m:rPr>
                    <m:t>*</m:t>
                  </m:r>
                </m:sup>
              </m:sSup>
            </m:oMath>
            <w:r>
              <w:t xml:space="preserve"> </w:t>
            </w:r>
            <w:r>
              <w:t xml:space="preserve">(M1, country+year FE) đến</w:t>
            </w:r>
            <w:r>
              <w:t xml:space="preserve"> </w:t>
            </w:r>
            <m:oMath>
              <m:r>
                <m:rPr>
                  <m:sty m:val="p"/>
                </m:rPr>
                <m:t>−</m:t>
              </m:r>
              <m:r>
                <m:t>3</m:t>
              </m:r>
              <m:r>
                <m:rPr>
                  <m:sty m:val="p"/>
                </m:rPr>
                <m:t>,</m:t>
              </m:r>
              <m:sSup>
                <m:e>
                  <m:r>
                    <m:t>351</m:t>
                  </m:r>
                </m:e>
                <m:sup>
                  <m:r>
                    <m:rPr>
                      <m:sty m:val="p"/>
                    </m:rPr>
                    <m:t>*</m:t>
                  </m:r>
                  <m:r>
                    <m:rPr>
                      <m:sty m:val="p"/>
                    </m:rPr>
                    <m:t>*</m:t>
                  </m:r>
                  <m:r>
                    <m:rPr>
                      <m:sty m:val="p"/>
                    </m:rPr>
                    <m:t>*</m:t>
                  </m:r>
                </m:sup>
              </m:sSup>
            </m:oMath>
            <w:r>
              <w:t xml:space="preserve"> </w:t>
            </w:r>
            <w:r>
              <w:t xml:space="preserve">(year-FE); exporters-only NS do mẫu nhỏ (N=26)</w:t>
            </w:r>
          </w:p>
        </w:tc>
      </w:tr>
      <w:tr>
        <w:tc>
          <w:tcPr/>
          <w:p>
            <w:pPr>
              <w:pStyle w:val="Compact"/>
              <w:jc w:val="left"/>
            </w:pPr>
            <w:r>
              <w:t xml:space="preserve">H1c (Tan biến ngưỡng tại Ấn Độ, P9)</w:t>
            </w:r>
          </w:p>
        </w:tc>
        <w:tc>
          <w:tcPr/>
          <w:p>
            <w:pPr>
              <w:pStyle w:val="Compact"/>
              <w:jc w:val="left"/>
            </w:pPr>
            <w:r>
              <w:t xml:space="preserve">Ngưỡng U ngược</w:t>
            </w:r>
            <w:r>
              <w:t xml:space="preserve"> </w:t>
            </w:r>
            <w:r>
              <w:rPr>
                <w:iCs/>
                <w:i/>
              </w:rPr>
              <w:t xml:space="preserve">tan biến</w:t>
            </w:r>
            <w:r>
              <w:t xml:space="preserve"> </w:t>
            </w:r>
            <w:r>
              <w:t xml:space="preserve">dưới biến động thể chế cực đoan 2014–2025</w:t>
            </w:r>
          </w:p>
        </w:tc>
        <w:tc>
          <w:tcPr/>
          <w:p>
            <w:pPr>
              <w:pStyle w:val="Compact"/>
              <w:jc w:val="left"/>
            </w:pPr>
            <w:r>
              <w:t xml:space="preserve">Xác nhận tại Ấn Độ: TP 61,8% (2014) → 40,7% (2022) → tan biến (2025,</w:t>
            </w:r>
            <w:r>
              <w:t xml:space="preserve"> </w:t>
            </w:r>
            <m:oMath>
              <m:sSub>
                <m:e>
                  <m:r>
                    <m:t>β</m:t>
                  </m:r>
                </m:e>
                <m:sub>
                  <m:r>
                    <m:t>2</m:t>
                  </m:r>
                </m:sub>
              </m:sSub>
            </m:oMath>
            <w:r>
              <w:t xml:space="preserve"> </w:t>
            </w:r>
            <w:r>
              <w:t xml:space="preserve">NS); Paternoster</w:t>
            </w:r>
            <w:r>
              <w:t xml:space="preserve"> </w:t>
            </w:r>
            <m:oMath>
              <m:r>
                <m:t>z</m:t>
              </m:r>
              <m:r>
                <m:rPr>
                  <m:sty m:val="p"/>
                </m:rPr>
                <m:t>=</m:t>
              </m:r>
              <m:r>
                <m:rPr>
                  <m:sty m:val="p"/>
                </m:rPr>
                <m:t>−</m:t>
              </m:r>
              <m:r>
                <m:t>7</m:t>
              </m:r>
              <m:r>
                <m:rPr>
                  <m:sty m:val="p"/>
                </m:rPr>
                <m:t>,</m:t>
              </m:r>
              <m:r>
                <m:t>94</m:t>
              </m:r>
            </m:oMath>
            <w:r>
              <w:t xml:space="preserve">,</w:t>
            </w:r>
            <w:r>
              <w:t xml:space="preserve"> </w:t>
            </w:r>
            <m:oMath>
              <m:r>
                <m:t>p</m:t>
              </m:r>
              <m:r>
                <m:rPr>
                  <m:sty m:val="p"/>
                </m:rPr>
                <m:t>&lt;</m:t>
              </m:r>
              <m:r>
                <m:rPr>
                  <m:sty m:val="p"/>
                </m:rPr>
                <m:t>,</m:t>
              </m:r>
              <m:r>
                <m:t>0001</m:t>
              </m:r>
            </m:oMath>
            <w:r>
              <w:t xml:space="preserve">; tương tác DAI Tier-2 (UPI) âm (</w:t>
            </w:r>
            <m:oMath>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w:t>
            </w:r>
          </w:p>
        </w:tc>
      </w:tr>
    </w:tbl>
    <w:p>
      <w:r>
        <w:pict>
          <v:rect style="width:0;height:1.5pt" o:hralign="center" o:hrstd="t" o:hr="t"/>
        </w:pict>
      </w:r>
    </w:p>
    <w:bookmarkEnd w:id="163"/>
    <w:bookmarkStart w:id="164" w:name="X1d7085913fe0d9bf449e1d01e72ec60c4109544"/>
    <w:p>
      <w:pPr>
        <w:pStyle w:val="Heading2"/>
      </w:pPr>
      <w:r>
        <w:t xml:space="preserve">Tài liệu tham khảo (trích dẫn trong Chương 4)</w:t>
      </w:r>
    </w:p>
    <w:p>
      <w:pPr>
        <w:pStyle w:val="FirstParagraph"/>
      </w:pPr>
      <w:r>
        <w:t xml:space="preserve">Arte, P., &amp; Larimo, J. (2022). Moderating influence of product diversification on the international diversification-performance relationship: A meta-analysis.</w:t>
      </w:r>
      <w:r>
        <w:t xml:space="preserve"> </w:t>
      </w:r>
      <w:r>
        <w:rPr>
          <w:iCs/>
          <w:i/>
        </w:rPr>
        <w:t xml:space="preserve">Journal of Business Research</w:t>
      </w:r>
      <w:r>
        <w:t xml:space="preserve">, 139, 281–295.</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w:t>
      </w:r>
      <w:r>
        <w:t xml:space="preserve">, 122, 889–901.</w:t>
      </w:r>
    </w:p>
    <w:p>
      <w:pPr>
        <w:pStyle w:val="BodyText"/>
      </w:pPr>
      <w:r>
        <w:t xml:space="preserve">World Bank Enterprise Surveys. (2025).</w:t>
      </w:r>
      <w:r>
        <w:t xml:space="preserve"> </w:t>
      </w:r>
      <w:r>
        <w:rPr>
          <w:iCs/>
          <w:i/>
        </w:rPr>
        <w:t xml:space="preserve">Enterprise surveys data</w:t>
      </w:r>
      <w:r>
        <w:t xml:space="preserve">. World Bank Group. https://www.enterprisesurveys.org</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r>
        <w:pict>
          <v:rect style="width:0;height:1.5pt" o:hralign="center" o:hrstd="t" o:hr="t"/>
        </w:pict>
      </w:r>
    </w:p>
    <w:p>
      <w:r>
        <w:br w:type="page"/>
      </w:r>
    </w:p>
    <w:bookmarkEnd w:id="164"/>
    <w:bookmarkStart w:id="165" w:name="chương-5-kết-luận-và-đề-xuất"/>
    <w:p>
      <w:pPr>
        <w:pStyle w:val="Heading1"/>
      </w:pPr>
      <w:r>
        <w:t xml:space="preserve">CHƯƠNG 5: KẾT LUẬN VÀ ĐỀ XUẤT</w:t>
      </w:r>
    </w:p>
    <w:bookmarkEnd w:id="165"/>
    <w:p>
      <w:r>
        <w:pict>
          <v:rect style="width:0;height:1.5pt" o:hralign="center" o:hrstd="t" o:hr="t"/>
        </w:pict>
      </w:r>
    </w:p>
    <w:bookmarkStart w:id="166" w:name="giới-thiệu-chương-1"/>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166"/>
    <w:bookmarkStart w:id="173" w:name="Xff8cef3ed320f9cf6f3fba4ff558bfed3af19c6"/>
    <w:p>
      <w:pPr>
        <w:pStyle w:val="Heading2"/>
      </w:pPr>
      <w:r>
        <w:t xml:space="preserve">5.1 Bàn luận kết quả theo khung lý thuyết CDCM</w:t>
      </w:r>
    </w:p>
    <w:bookmarkStart w:id="167"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tổng hợp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ước lượng toàn mẫu trên khung 50 nền kinh tế (P7,</w:t>
      </w:r>
      <w:r>
        <w:t xml:space="preserve"> </w:t>
      </w:r>
      <m:oMath>
        <m:r>
          <m:t>N</m:t>
        </m:r>
        <m:r>
          <m:rPr>
            <m:sty m:val="p"/>
          </m:rPr>
          <m:t>=</m:t>
        </m:r>
        <m:r>
          <m:t>81.022</m:t>
        </m:r>
      </m:oMath>
      <w:r>
        <w:t xml:space="preserve"> </w:t>
      </w:r>
      <w:r>
        <w:t xml:space="preserve">quan sát), đều chỉ đến cùng một kết luận: chế độ thể chế quyết định</w:t>
      </w:r>
      <w:r>
        <w:t xml:space="preserve"> </w:t>
      </w:r>
      <w:r>
        <w:rPr>
          <w:bCs/>
          <w:b/>
        </w:rPr>
        <w:t xml:space="preserve">chính sự tồn tại và vị trí của dạng hàm chữ U ngược</w:t>
      </w:r>
      <w:r>
        <w:t xml:space="preserve">. Đường cong định hình rõ nét và tin cậy nhất ở vùng giữa của gradient thể chế (Nhóm IV, điểm uốn 43,0%, trùng khớp các ước lượng đơn quốc gia Việt Nam 39–46% và Ấn Độ 40,7%); duỗi thẳng thành quan hệ gần tuyến tính dương ở biên trên (Nhóm I, điểm uốn ngoài miền dữ liệu, trùng khớp Singapore); và mất cấu trúc ở biên dưới (Nhóm V không còn ý nghĩa thống kê; Nhóm VI không có chữ U ngược, chuyển sang gánh nặng quốc tế hóa bắt buộc theo P8). Hay nói cách khác, thể chế không chỉ dịch chuyển điểm tối ưu của quốc tế hóa mà quyết định liệu một điểm tối ưu như vậy có tồn tại hay không.</w:t>
      </w:r>
    </w:p>
    <w:p>
      <w:pPr>
        <w:pStyle w:val="BodyText"/>
      </w:pPr>
      <w:r>
        <w:t xml:space="preserve">Kết quả này xác nhận H5 và tầng thể chế của khung lý thuyết CDCM theo một cách thuyết phục nhất: không phải chỉ một biến điều tiết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50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 Hai cơ chế này cùng giải thích vì sao đường cong duỗi thẳng ở biên trên của gradient: khi chi phí giao dịch xuyên biên giới đủ thấp và hệ sinh thái hỗ trợ đủ dày, nhánh đi xuống của chữ U ngược bị đẩy lùi ra ngoài miền quan sát; ngược lại ở biên dưới, sự thiếu vắng cả hai điều kiện khiến phần thưởng của quốc tế hóa trở nên nhỏ và bất định đến mức dạng hàm không còn định hình được.</w:t>
      </w:r>
    </w:p>
    <w:bookmarkEnd w:id="167"/>
    <w:bookmarkStart w:id="168"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hệ số +0,141 độ lệch chuẩn năng suất chuẩn hóa cho mỗi độ lệch chuẩn TCI, p &lt; ,001).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50 nền kinh tế (P7: tương tác FSTS×TCI và FSTS²×TCI đều không ý nghĩa).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168"/>
    <w:bookmarkStart w:id="169"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(khung 50 nền kinh tế), DAI có hiệu ứng nâng mặt bằng năng suất dương và có ý nghĩa cao (</w:t>
      </w:r>
      <m:oMath>
        <m:acc>
          <m:accPr>
            <m:chr m:val="̂"/>
          </m:accPr>
          <m:e>
            <m:r>
              <m:t>β</m:t>
            </m:r>
          </m:e>
        </m:acc>
        <m:r>
          <m:rPr>
            <m:sty m:val="p"/>
          </m:rPr>
          <m:t>=</m:t>
        </m:r>
        <m:r>
          <m:rPr>
            <m:sty m:val="p"/>
          </m:rPr>
          <m:t>+</m:t>
        </m:r>
        <m:r>
          <m:t>0</m:t>
        </m:r>
        <m:r>
          <m:rPr>
            <m:sty m:val="p"/>
          </m:rPr>
          <m:t>,</m:t>
        </m:r>
        <m:r>
          <m:t>201</m:t>
        </m:r>
      </m:oMath>
      <w:r>
        <w:t xml:space="preserve">,</w:t>
      </w:r>
      <w:r>
        <w:t xml:space="preserve"> </w:t>
      </w:r>
      <m:oMath>
        <m:r>
          <m:t>p</m:t>
        </m:r>
        <m:r>
          <m:rPr>
            <m:sty m:val="p"/>
          </m:rPr>
          <m:t>&lt;</m:t>
        </m:r>
        <m:r>
          <m:rPr>
            <m:sty m:val="p"/>
          </m:rPr>
          <m:t>,</m:t>
        </m:r>
        <m:r>
          <m:t>001</m:t>
        </m:r>
      </m:oMath>
      <w:r>
        <w:t xml:space="preserve">): doanh nghiệp có hiện diện số cơ bản đạt năng suất chuẩn hóa cao hơn một phần năm độ lệch chuẩn. Các tương tác điều tiết đường cong mang đúng chiều nén như khung CDCM dự đoán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271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252</m:t>
        </m:r>
      </m:oMath>
      <w:r>
        <w:t xml:space="preserve">) nhưng không đạt ý nghĩa thống kê ở cấp toàn mẫu (</w:t>
      </w:r>
      <m:oMath>
        <m:r>
          <m:t>p</m:t>
        </m:r>
        <m:r>
          <m:rPr>
            <m:sty m:val="p"/>
          </m:rPr>
          <m:t>=</m:t>
        </m:r>
        <m:r>
          <m:rPr>
            <m:sty m:val="p"/>
          </m:rPr>
          <m:t>,</m:t>
        </m:r>
        <m:r>
          <m:t>149</m:t>
        </m:r>
      </m:oMath>
      <w:r>
        <w:t xml:space="preserve"> </w:t>
      </w:r>
      <w:r>
        <w:t xml:space="preserve">và</w:t>
      </w:r>
      <w:r>
        <w:t xml:space="preserve"> </w:t>
      </w:r>
      <m:oMath>
        <m:r>
          <m:t>p</m:t>
        </m:r>
        <m:r>
          <m:rPr>
            <m:sty m:val="p"/>
          </m:rPr>
          <m:t>=</m:t>
        </m:r>
        <m:r>
          <m:rPr>
            <m:sty m:val="p"/>
          </m:rPr>
          <m:t>,</m:t>
        </m:r>
        <m:r>
          <m:t>367</m:t>
        </m:r>
      </m:oMath>
      <w:r>
        <w:t xml:space="preserve">), nghĩa là hiệu ứng uốn đường cong của DAI không phổ quát mà tập trung ở các bối cảnh đặc thù.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Lý thuyết thể chế: ở các bối cảnh ICRV thấp với nhiều khoảng trống thể chế (Khanna &amp; Palepu, 2010), doanh nghiệp xuất khẩu có thể phụ thuộc vào DAI nhiều hơn như một cơ chế bù đắp cho thiếu hụt hạ tầng thể chế (hiệu ứng lá chắn số đã ghi nhận ở nghiên cứu thành phần P1 trên 17 nền). Trên khung 50 nền, tương tác chế độ-yếu với độ dốc đường cong ở mức biên ý nghĩa (FSTS×chế độ yếu = −0,523, p = ,087), nhất quán về chiều với lập luận này nhưng cần kiểm định nhân quả chặt hơn trước khi khẳng định.</w:t>
      </w:r>
    </w:p>
    <w:bookmarkEnd w:id="169"/>
    <w:bookmarkStart w:id="170" w:name="Xba87836edee10cf1c931ef85c517d34e258cf83"/>
    <w:p>
      <w:pPr>
        <w:pStyle w:val="Heading3"/>
      </w:pPr>
      <w:r>
        <w:t xml:space="preserve">5.1.4 Đặc Điểm Nhà Quản Trị là Biến điều tiết Cá Nhân: Hỗ trợ có điều kiện H4</w:t>
      </w:r>
    </w:p>
    <w:p>
      <w:pPr>
        <w:pStyle w:val="FirstParagraph"/>
      </w:pPr>
      <w:r>
        <w:t xml:space="preserve">Kết quả về H4 trên khung 50 nền cho thấy đặc điểm nhà quản trị cấp cao</w:t>
      </w:r>
      <w:r>
        <w:t xml:space="preserve"> </w:t>
      </w:r>
      <w:r>
        <w:rPr>
          <w:bCs/>
          <w:b/>
        </w:rPr>
        <w:t xml:space="preserve">không tạo hiệu ứng điều tiết phổ quát</w:t>
      </w:r>
      <w:r>
        <w:t xml:space="preserve">. Hệ số mức của nữ quản lý cấp cao là âm nhẹ (</w:t>
      </w:r>
      <m:oMath>
        <m:acc>
          <m:accPr>
            <m:chr m:val="̂"/>
          </m:accPr>
          <m:e>
            <m:r>
              <m:t>β</m:t>
            </m:r>
          </m:e>
        </m:acc>
        <m:r>
          <m:rPr>
            <m:sty m:val="p"/>
          </m:rPr>
          <m:t>=</m:t>
        </m:r>
        <m:r>
          <m:rPr>
            <m:sty m:val="p"/>
          </m:rPr>
          <m:t>−</m:t>
        </m:r>
        <m:r>
          <m:t>0</m:t>
        </m:r>
        <m:r>
          <m:rPr>
            <m:sty m:val="p"/>
          </m:rPr>
          <m:t>,</m:t>
        </m:r>
        <m:r>
          <m:t>088</m:t>
        </m:r>
      </m:oMath>
      <w:r>
        <w:t xml:space="preserve">,</w:t>
      </w:r>
      <w:r>
        <w:t xml:space="preserve"> </w:t>
      </w:r>
      <m:oMath>
        <m:r>
          <m:t>p</m:t>
        </m:r>
        <m:r>
          <m:rPr>
            <m:sty m:val="p"/>
          </m:rPr>
          <m:t>=</m:t>
        </m:r>
        <m:r>
          <m:rPr>
            <m:sty m:val="p"/>
          </m:rPr>
          <m:t>,</m:t>
        </m:r>
        <m:r>
          <m:t>026</m:t>
        </m:r>
      </m:oMath>
      <w:r>
        <w:t xml:space="preserve">) sau khi kiểm soát hiệu ứng cố định nền kinh tế và năm, và tương tác với cường độ quốc tế hóa không có ý nghĩa thống kê (FSTS×nữ quản lý:</w:t>
      </w:r>
      <w:r>
        <w:t xml:space="preserve"> </w:t>
      </w:r>
      <m:oMath>
        <m:r>
          <m:t>p</m:t>
        </m:r>
        <m:r>
          <m:rPr>
            <m:sty m:val="p"/>
          </m:rPr>
          <m:t>=</m:t>
        </m:r>
        <m:r>
          <m:rPr>
            <m:sty m:val="p"/>
          </m:rPr>
          <m:t>,</m:t>
        </m:r>
        <m:r>
          <m:t>847</m:t>
        </m:r>
      </m:oMath>
      <w:r>
        <w:t xml:space="preserve">). Kết quả này nhất quán với lập luận của Lý thuyết thượng tầng quản trị (Hambrick &amp; Mason, 1984) ở dạng có điều kiện: tác động của đặc điểm lãnh đạo phụ thuộc mạnh vào bối cảnh thể chế và cấu trúc ngành mà doanh nghiệp hoạt động, thay vì là một hiệu ứng đồng nhất xuyên 50 nền kinh tế; hệ số mức âm nhẹ nhiều khả năng phản ánh sự phân bố không ngẫu nhiên của nữ quản lý vào các ngành thâm dụng lao động biên thấp, một dạng chọn lọc ngành cần thiết kế nhận dạng riêng để bóc tách.</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biến điều tiết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170"/>
    <w:bookmarkStart w:id="171"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với hiệu ứng cố định quốc gia và năm; trong mẫu phụ chỉ gồm doanh nghiệp xuất khẩu, hệ số vẫn âm nhưng không ý nghĩa do N = 26)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điểm uốn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văn liệu I–P.</w:t>
      </w:r>
    </w:p>
    <w:p>
      <w:r>
        <w:pict>
          <v:rect style="width:0;height:1.5pt" o:hralign="center" o:hrstd="t" o:hr="t"/>
        </w:pict>
      </w:r>
    </w:p>
    <w:bookmarkEnd w:id="171"/>
    <w:bookmarkStart w:id="172"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172"/>
    <w:bookmarkEnd w:id="173"/>
    <w:bookmarkStart w:id="177" w:name="so-sánh-với-nghiên-cứu-trước-đây"/>
    <w:p>
      <w:pPr>
        <w:pStyle w:val="Heading2"/>
      </w:pPr>
      <w:r>
        <w:t xml:space="preserve">5.2 So sánh với nghiên cứu trước đây</w:t>
      </w:r>
    </w:p>
    <w:bookmarkStart w:id="174"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văn liệu, vấn đề chủ yếu là</w:t>
      </w:r>
      <w:r>
        <w:t xml:space="preserve"> </w:t>
      </w:r>
      <w:r>
        <w:rPr>
          <w:bCs/>
          <w:b/>
        </w:rPr>
        <w:t xml:space="preserve">đo lường bên trong nghiên cứu</w:t>
      </w:r>
      <w:r>
        <w:t xml:space="preserve">, không phải sự bất đồng căn bản giữa các nghiên cứu.</w:t>
      </w:r>
    </w:p>
    <w:bookmarkEnd w:id="174"/>
    <w:bookmarkStart w:id="175"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điểm uốn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điểm uốn</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điểm uốn phổ quát cho tất cả bối cảnh.</w:t>
      </w:r>
    </w:p>
    <w:p>
      <w:pPr>
        <w:pStyle w:val="BodyText"/>
      </w:pPr>
      <w:r>
        <w:rPr>
          <w:bCs/>
          <w:b/>
        </w:rPr>
        <w:t xml:space="preserve">Thứ hai</w:t>
      </w:r>
      <w:r>
        <w:t xml:space="preserve">, luận án xác định trường hợp biên FIP tại SIDS, không phải là S-curve hay chữ U ngược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50 nền kinh tế châu Á và Thái Bình Dương, bối cảnh underrepresented trong văn liệu Lu và Beamish.</w:t>
      </w:r>
    </w:p>
    <w:bookmarkEnd w:id="175"/>
    <w:bookmarkStart w:id="176"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văn liệu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176"/>
    <w:bookmarkEnd w:id="177"/>
    <w:bookmarkStart w:id="181" w:name="đóng-góp-lý-thuyết-1"/>
    <w:p>
      <w:pPr>
        <w:pStyle w:val="Heading2"/>
      </w:pPr>
      <w:r>
        <w:t xml:space="preserve">5.3 Đóng góp lý thuyết</w:t>
      </w:r>
    </w:p>
    <w:bookmarkStart w:id="178"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(β=+0,201, p&lt;,001, mẫu gộp N=79.080 từ 50 nền kinh tế) nhưng vai trò điều tiết đường cong I–P là</w:t>
      </w:r>
      <w:r>
        <w:t xml:space="preserve"> </w:t>
      </w:r>
      <w:r>
        <w:rPr>
          <w:bCs/>
          <w:b/>
        </w:rPr>
        <w:t xml:space="preserve">bối cảnh-phụ thuộc</w:t>
      </w:r>
      <w:r>
        <w:t xml:space="preserve"> </w:t>
      </w:r>
      <w:r>
        <w:t xml:space="preserve">(các tương tác đường cong cùng chiều nhưng không ý nghĩa toàn mẫu; bằng chứng rõ nhất ở bối cảnh đơn quốc gia P4)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tương tác chế độ-yếu (FSTS×Weak = −0,523, p = ,087, biên ý nghĩa)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văn liệu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178"/>
    <w:bookmarkStart w:id="179"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văn liệu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điểm uốn để thoát khỏi.</w:t>
      </w:r>
    </w:p>
    <w:bookmarkEnd w:id="179"/>
    <w:bookmarkStart w:id="180"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văn liệu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điểm uốn I–P</w:t>
      </w:r>
      <w:r>
        <w:t xml:space="preserve"> </w:t>
      </w:r>
      <w:r>
        <w:rPr>
          <w:bCs/>
          <w:b/>
        </w:rPr>
        <w:t xml:space="preserve">giảm</w:t>
      </w:r>
      <w:r>
        <w:t xml:space="preserve"> </w:t>
      </w:r>
      <w:r>
        <w:t xml:space="preserve">đơn điệu theo chiều ba vùng: chữ U ngược định hình ở vùng giữa gradient (Nhóm IV, 43,0%), duỗi thẳng ở biên trên, tan rã ở biên dưới; thể chế càng mạnh, doanh nghiệp đạt đỉnh hiệu quả ở mức quốc tế hóa thấp hơn, xác nhận giá trị dự đoán của phân loại.</w:t>
      </w:r>
    </w:p>
    <w:p>
      <w:r>
        <w:pict>
          <v:rect style="width:0;height:1.5pt" o:hralign="center" o:hrstd="t" o:hr="t"/>
        </w:pict>
      </w:r>
    </w:p>
    <w:bookmarkEnd w:id="180"/>
    <w:bookmarkEnd w:id="181"/>
    <w:bookmarkStart w:id="186" w:name="đề-xuất-chính-sách-và-quản-trị"/>
    <w:p>
      <w:pPr>
        <w:pStyle w:val="Heading2"/>
      </w:pPr>
      <w:r>
        <w:t xml:space="preserve">5.4 Đề xuất chính sách và quản trị</w:t>
      </w:r>
    </w:p>
    <w:bookmarkStart w:id="182"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điểm uốn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điểm uốn dịch chuyển từ 46,2% (2009) xuống 39,3% (2015) là tín hiệu đáng lo ngại. Nếu điểm uốn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182"/>
    <w:bookmarkStart w:id="183" w:name="X59d919466906d9a280d645023e1878e458893ad"/>
    <w:p>
      <w:pPr>
        <w:pStyle w:val="Heading3"/>
      </w:pPr>
      <w:r>
        <w:t xml:space="preserve">5.4.2 Đề xuất cho nhà quản trị doanh nghiệp: Điểm uốn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16"/>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16"/>
        </w:numPr>
      </w:pPr>
      <w:r>
        <w:rPr>
          <w:bCs/>
          <w:b/>
        </w:rPr>
        <w:t xml:space="preserve">Doanh nghiệp Trung Quốc (Nhóm III)</w:t>
      </w:r>
      <w:r>
        <w:t xml:space="preserve">: điểm uốn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16"/>
        </w:numPr>
      </w:pPr>
      <w:r>
        <w:rPr>
          <w:bCs/>
          <w:b/>
        </w:rPr>
        <w:t xml:space="preserve">Doanh nghiệp Việt Nam (Nhóm IV)</w:t>
      </w:r>
      <w:r>
        <w:t xml:space="preserve">: điểm uốn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16"/>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183"/>
    <w:bookmarkStart w:id="184"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184"/>
    <w:bookmarkStart w:id="185" w:name="Xae585b9a1c03e57dcce9cad1f8f2ae171a592a6"/>
    <w:p>
      <w:pPr>
        <w:pStyle w:val="Heading3"/>
      </w:pPr>
      <w:r>
        <w:t xml:space="preserve">5.4.4 Hàm ý chính sách trong bối cảnh phát triển đương đại</w:t>
      </w:r>
    </w:p>
    <w:p>
      <w:pPr>
        <w:pStyle w:val="FirstParagraph"/>
      </w:pPr>
      <w:r>
        <w:t xml:space="preserve">Đặt các đề xuất trên vào bối cảnh phát triển vĩ mô gần nhất làm rõ tính cấp bách và phạm vi áp dụng của chúng. Thách thức việc làm là điểm khởi đầu: với hơn 230 triệu người dự kiến bước vào tuổi lao động ở các thị trường biên giai đoạn 2025–2035, năng lực tạo việc làm năng suất cao của khu vực doanh nghiệp trở thành ưu tiên phát triển hàng đầu (World Bank, 2026c). Phát hiện của luận án rằng quốc tế hóa chỉ tạo phần thưởng năng suất khi đi kèm năng lực công nghệ và đệm thể chế đủ mạnh hàm ý rằng chương trình nghị sự việc làm cần đặt nâng cấp năng lực doanh nghiệp làm trụ cột, thay vì chỉ theo đuổi mở rộng thương mại như mục tiêu tự thân.</w:t>
      </w:r>
    </w:p>
    <w:p>
      <w:pPr>
        <w:pStyle w:val="BodyText"/>
      </w:pPr>
      <w:r>
        <w:t xml:space="preserve">Thứ hai, bằng chứng vĩ mô cho thấy không tồn tại một con đường phát triển phổ quát: các nền kinh tế biên thành công đã đi những lối khác nhau, từ đầu tư năng lượng và khoáng sản, đến chế tạo giá trị gia tăng, đến dịch vụ và du lịch (World Bank, 2026c). Điều này củng cố nguyên tắc chính sách phái sinh từ khung ICRV: gói can thiệp phải được hiệu chỉnh theo chế độ thể chế và mô hình tăng trưởng đặc thù của từng nhóm, thay vì áp dụng một công thức chung. Với Việt Nam (Nhóm IV), con đường chế tạo giá trị gia tăng và dịch chuyển lên chuỗi giá trị là phù hợp với cả bằng chứng cấp doanh nghiệp của luận án lẫn kinh nghiệm của các thị trường biên thành công.</w:t>
      </w:r>
    </w:p>
    <w:p>
      <w:pPr>
        <w:pStyle w:val="BodyText"/>
      </w:pPr>
      <w:r>
        <w:t xml:space="preserve">Thứ ba, đối với các nền kinh tế tài nguyên dẫn dắt (Nhóm II), cú sốc giá hàng hóa năm 2026 vừa là cơ hội thu nhập ngắn hạn vừa là lời nhắc về rủi ro phụ thuộc tài nguyên (World Bank, 2026d). Hàm ý chính sách là tận dụng thặng dư tô lợi giai đoạn giá cao để đầu tư vào đa dạng hóa năng lực công nghệ và phi tài nguyên, đúng như chiến lược Vision của các nền GCC, thay vì củng cố cấu trúc nhà nước tô vốn san bằng động lực năng suất doanh nghiệp.</w:t>
      </w:r>
    </w:p>
    <w:p>
      <w:pPr>
        <w:pStyle w:val="BodyText"/>
      </w:pPr>
      <w:r>
        <w:t xml:space="preserve">Thứ tư, trong kỷ nguyên trí tuệ nhân tạo, hạ tầng số công và quản trị dữ liệu trở thành điều kiện nền tảng để năng lực số cấp doanh nghiệp được chuyển hóa thành giá trị (World Bank, 2026e). Phát hiện của luận án rằng phần thưởng của áp dụng số phụ thuộc bối cảnh thể chế và tầng năng lực hàm ý rằng chính sách số hóa cần phân tầng: ở các nền đang chuyển đổi, ưu tiên là phổ cập hạ tầng số nền tảng và kỹ năng số cơ bản; ở các nền tiên tiến đã bão hòa Tier-1, trọng tâm dịch sang năng lực số chiều sâu và quản trị dữ liệu, AI. Cách tiếp cận phân tầng này tránh được cả hai sai lầm: đầu tư quá sớm vào công nghệ cao ở nơi chưa có nền tảng hấp thụ, và dừng lại ở hiện diện số bề mặt ở nơi đã sẵn sàng cho tầng năng lực cao hơn.</w:t>
      </w:r>
    </w:p>
    <w:bookmarkEnd w:id="185"/>
    <w:bookmarkEnd w:id="186"/>
    <w:bookmarkStart w:id="191" w:name="hạn-chế-và-hướng-nghiên-cứu-tương-lai"/>
    <w:p>
      <w:pPr>
        <w:pStyle w:val="Heading2"/>
      </w:pPr>
      <w:r>
        <w:t xml:space="preserve">5.5 Hạn chế và hướng nghiên cứu tương lai</w:t>
      </w:r>
    </w:p>
    <w:bookmarkStart w:id="187"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187"/>
    <w:bookmarkStart w:id="188"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mẫu phụ xuất khẩu N = 84,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188"/>
    <w:bookmarkStart w:id="189"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189"/>
    <w:bookmarkStart w:id="190"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pPr>
        <w:pStyle w:val="BodyText"/>
      </w:pPr>
      <w:r>
        <w:rPr>
          <w:bCs/>
          <w:b/>
        </w:rPr>
        <w:t xml:space="preserve">Thứ năm</w:t>
      </w:r>
      <w:r>
        <w:t xml:space="preserve">, khai thác sâu hơn Nhật Bản, nền kinh tế tiên tiến lớn lần đầu được WBES khảo sát năm 2025. Bước đầu tiên đã được thực hiện trong nghiên cứu thành phần P10: trên đợt khảo sát khai mở (N = 2.168), quan hệ I–P tại Nhật gần tuyến tính dương, không có điểm uốn trong miền quan sát, xác nhận dự đoán biên trên của khung ICRV; các bước tiếp theo gồm tích hợp Nhật Bản vào các mô hình điều tiết ba chiều và khai thác các module đặc thù (trường thọ doanh nghiệp, khoảng cách giới trong lãnh đạo) khi có thêm đợt khảo sát thứ hai.</w:t>
      </w:r>
    </w:p>
    <w:p>
      <w:r>
        <w:pict>
          <v:rect style="width:0;height:1.5pt" o:hralign="center" o:hrstd="t" o:hr="t"/>
        </w:pict>
      </w:r>
    </w:p>
    <w:bookmarkEnd w:id="190"/>
    <w:bookmarkEnd w:id="191"/>
    <w:bookmarkStart w:id="196" w:name="kết-luận"/>
    <w:p>
      <w:pPr>
        <w:pStyle w:val="Heading2"/>
      </w:pPr>
      <w:r>
        <w:t xml:space="preserve">5.6 Kết luận</w:t>
      </w:r>
    </w:p>
    <w:bookmarkStart w:id="192"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17"/>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17"/>
        </w:numPr>
      </w:pPr>
      <w:r>
        <w:rPr>
          <w:bCs/>
          <w:b/>
        </w:rPr>
        <w:t xml:space="preserve">P3</w:t>
      </w:r>
      <w:r>
        <w:t xml:space="preserve">: phân tích Việt Nam (Lower-mid Transition), xác nhận chữ U ngược với TP = 39,3–46,2%, TCI là biến điều tiết dương có ý nghĩa.</w:t>
      </w:r>
    </w:p>
    <w:p>
      <w:pPr>
        <w:numPr>
          <w:ilvl w:val="0"/>
          <w:numId w:val="1017"/>
        </w:numPr>
      </w:pPr>
      <w:r>
        <w:rPr>
          <w:bCs/>
          <w:b/>
        </w:rPr>
        <w:t xml:space="preserve">P4</w:t>
      </w:r>
      <w:r>
        <w:t xml:space="preserve">: phân tích Singapore (Advanced Innovation), xác nhận chữ U ngược với TP ≈ 88,6% (rộng CI), DAI khuếch đại tại mức FSTS cao.</w:t>
      </w:r>
    </w:p>
    <w:p>
      <w:pPr>
        <w:numPr>
          <w:ilvl w:val="0"/>
          <w:numId w:val="1017"/>
        </w:numPr>
      </w:pPr>
      <w:r>
        <w:rPr>
          <w:bCs/>
          <w:b/>
        </w:rPr>
        <w:t xml:space="preserve">P5</w:t>
      </w:r>
      <w:r>
        <w:t xml:space="preserve">: phân tích Trung Quốc 2012–2024 (Upper-middle), xác nhận chữ U ngược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17"/>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17"/>
        </w:numPr>
      </w:pPr>
      <w:r>
        <w:rPr>
          <w:bCs/>
          <w:b/>
        </w:rPr>
        <w:t xml:space="preserve">P7</w:t>
      </w:r>
      <w:r>
        <w:t xml:space="preserve">: kiểm định toàn mẫu châu Á và Thái Bình Dương trên khung 50 nền,</w:t>
      </w:r>
      <w:r>
        <w:t xml:space="preserve"> </w:t>
      </w:r>
      <m:oMath>
        <m:r>
          <m:t>N</m:t>
        </m:r>
        <m:r>
          <m:rPr>
            <m:sty m:val="p"/>
          </m:rPr>
          <m:t>=</m:t>
        </m:r>
        <m:r>
          <m:t>81.022</m:t>
        </m:r>
      </m:oMath>
      <w:r>
        <w:t xml:space="preserve"> </w:t>
      </w:r>
      <w:r>
        <w:t xml:space="preserve">(M2) /</w:t>
      </w:r>
      <w:r>
        <w:t xml:space="preserve"> </w:t>
      </w:r>
      <m:oMath>
        <m:r>
          <m:t>N</m:t>
        </m:r>
        <m:r>
          <m:rPr>
            <m:sty m:val="p"/>
          </m:rPr>
          <m:t>=</m:t>
        </m:r>
        <m:r>
          <m:t>79.080</m:t>
        </m:r>
      </m:oMath>
      <w:r>
        <w:t xml:space="preserve"> </w:t>
      </w:r>
      <w:r>
        <w:t xml:space="preserve">(M5 với kiểm soát đầy đủ), điểm uốn = 43,6–51,5% (headline M5 = 43,6%,</w:t>
      </w:r>
      <w:r>
        <w:t xml:space="preserve"> </w:t>
      </w:r>
      <m:oMath>
        <m:sSub>
          <m:e>
            <m:r>
              <m:t>p</m:t>
            </m:r>
          </m:e>
          <m:sub>
            <m:r>
              <m:rPr>
                <m:nor/>
                <m:sty m:val="p"/>
              </m:rPr>
              <m:t>LM</m:t>
            </m:r>
          </m:sub>
        </m:sSub>
        <m:r>
          <m:rPr>
            <m:sty m:val="p"/>
          </m:rPr>
          <m:t>&lt;</m:t>
        </m:r>
        <m:r>
          <m:rPr>
            <m:sty m:val="p"/>
          </m:rPr>
          <m:t>,</m:t>
        </m:r>
        <m:r>
          <m:t>001</m:t>
        </m:r>
      </m:oMath>
      <w:r>
        <w:t xml:space="preserve">); chữ U ngược định hình rõ nhất ở Nhóm IV (43,0%,</w:t>
      </w:r>
      <w:r>
        <w:t xml:space="preserve"> </w:t>
      </w:r>
      <m:oMath>
        <m:sSub>
          <m:e>
            <m:r>
              <m:t>p</m:t>
            </m:r>
          </m:e>
          <m:sub>
            <m:r>
              <m:rPr>
                <m:nor/>
                <m:sty m:val="p"/>
              </m:rPr>
              <m:t>LM</m:t>
            </m:r>
          </m:sub>
        </m:sSub>
        <m:r>
          <m:rPr>
            <m:sty m:val="p"/>
          </m:rPr>
          <m:t>&lt;</m:t>
        </m:r>
        <m:r>
          <m:rPr>
            <m:sty m:val="p"/>
          </m:rPr>
          <m:t>,</m:t>
        </m:r>
        <m:r>
          <m:t>001</m:t>
        </m:r>
      </m:oMath>
      <w:r>
        <w:t xml:space="preserve">), gần tuyến tính ở Nhóm I, tan rã ở Nhóm V–VI; TCI nâng mặt bằng (+0,141,</w:t>
      </w:r>
      <w:r>
        <w:t xml:space="preserve"> </w:t>
      </w:r>
      <m:oMath>
        <m:r>
          <m:t>p</m:t>
        </m:r>
        <m:r>
          <m:rPr>
            <m:sty m:val="p"/>
          </m:rPr>
          <m:t>&lt;</m:t>
        </m:r>
        <m:r>
          <m:rPr>
            <m:sty m:val="p"/>
          </m:rPr>
          <m:t>,</m:t>
        </m:r>
        <m:r>
          <m:t>001</m:t>
        </m:r>
      </m:oMath>
      <w:r>
        <w:t xml:space="preserve">), DAI nâng mặt bằng (+0,201,</w:t>
      </w:r>
      <w:r>
        <w:t xml:space="preserve"> </w:t>
      </w:r>
      <m:oMath>
        <m:r>
          <m:t>p</m:t>
        </m:r>
        <m:r>
          <m:rPr>
            <m:sty m:val="p"/>
          </m:rPr>
          <m:t>&lt;</m:t>
        </m:r>
        <m:r>
          <m:rPr>
            <m:sty m:val="p"/>
          </m:rPr>
          <m:t>,</m:t>
        </m:r>
        <m:r>
          <m:t>001</m:t>
        </m:r>
      </m:oMath>
      <w:r>
        <w:t xml:space="preserve">) với tương tác đường cong cùng chiều nhưng không ý nghĩa toàn mẫu.</w:t>
      </w:r>
    </w:p>
    <w:p>
      <w:pPr>
        <w:numPr>
          <w:ilvl w:val="0"/>
          <w:numId w:val="1017"/>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điểm uốn.</w:t>
      </w:r>
    </w:p>
    <w:p>
      <w:pPr>
        <w:numPr>
          <w:ilvl w:val="0"/>
          <w:numId w:val="1017"/>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rồi 40,7% (2022) rồi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192"/>
    <w:bookmarkStart w:id="193"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81.022 doanh nghiệp tại 50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chữ U ngược định hình ở vùng giữa gradient thể chế, duỗi thẳng ở biên trên và tan rã ở biên dưới, thể chế càng mạnh, điểm uốn càng sớm (FSTS thấp hơn).</w:t>
      </w:r>
    </w:p>
    <w:bookmarkEnd w:id="193"/>
    <w:bookmarkStart w:id="194"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văn liệu về I–P bằng cách phân tách cấu trúc dị biệt và xác định ICRV như biến điều tiết có ý nghĩa; (ii) văn liệu về digital capability bằng cách làm rõ DAI là situational resource chứ không phải foundational capability; và (iii) văn liệu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194"/>
    <w:bookmarkStart w:id="195"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p>
      <w:r>
        <w:br w:type="page"/>
      </w:r>
    </w:p>
    <w:bookmarkEnd w:id="195"/>
    <w:bookmarkEnd w:id="196"/>
    <w:bookmarkStart w:id="23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w:t>
      </w:r>
      <w:r>
        <w:t xml:space="preserve"> </w:t>
      </w:r>
      <w:r>
        <w:t xml:space="preserve">“</w:t>
      </w:r>
      <w:r>
        <w:t xml:space="preserve">World Bank Enterprise Surveys (2025)</w:t>
      </w:r>
      <w:r>
        <w:t xml:space="preserve">”</w:t>
      </w:r>
      <w:r>
        <w:t xml:space="preserve"> </w:t>
      </w:r>
      <w:r>
        <w:t xml:space="preserve">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§1 (SIDS development lag) và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§5 (Agarwal + Barattieri), P8 §1 (Mahler et al. 2026b), CD2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197"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197"/>
    <w:bookmarkStart w:id="198" w:name="X094bc8b13169a81669f6b7abcf887888d4186ca"/>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198"/>
    <w:bookmarkStart w:id="199"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199"/>
    <w:bookmarkStart w:id="200" w:name="Xb02f9563701139be84b359c2d25884190ee9110"/>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Cameron, A. C., Gelbach, J. B., &amp; Miller, D. L. (2008). Bootstrap-based improvements for inference with clustered errors.</w:t>
      </w:r>
      <w:r>
        <w:t xml:space="preserve"> </w:t>
      </w:r>
      <w:r>
        <w:rPr>
          <w:iCs/>
          <w:i/>
        </w:rPr>
        <w:t xml:space="preserve">Review of Economics and Statistics, 90</w:t>
      </w:r>
      <w:r>
        <w:t xml:space="preserve">(3), 414–427. https://doi.org/10.1162/rest.90.3.414</w:t>
      </w:r>
      <w:r>
        <w:t xml:space="preserve"> </w:t>
      </w: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00"/>
    <w:bookmarkStart w:id="201"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01"/>
    <w:bookmarkStart w:id="202"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02"/>
    <w:bookmarkStart w:id="203"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03"/>
    <w:bookmarkStart w:id="204" w:name="h.-firm-performance-đa-chiều"/>
    <w:p>
      <w:pPr>
        <w:pStyle w:val="Heading2"/>
      </w:pPr>
      <w:r>
        <w:t xml:space="preserve">H. Firm performance đa chiều</w:t>
      </w:r>
    </w:p>
    <w:p>
      <w:pPr>
        <w:pStyle w:val="FirstParagraph"/>
      </w:pPr>
      <w:r>
        <w:t xml:space="preserve">(Giữ nguyên từ v2.1.)</w:t>
      </w:r>
    </w:p>
    <w:bookmarkEnd w:id="204"/>
    <w:bookmarkStart w:id="205"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05"/>
    <w:bookmarkStart w:id="207"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Start w:id="206" w:name="X2fb57ded0f7cbc8f956c4aa51a273056f808ba8"/>
    <w:p>
      <w:pPr>
        <w:pStyle w:val="Heading3"/>
      </w:pPr>
      <w:r>
        <w:t xml:space="preserve">Bổ sung v3.2 — Phương pháp hợp nhất dữ liệu đa quốc gia (Phụ lục A)</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Deaton, A. (1985). Panel data from a time series of cross-sections.</w:t>
      </w:r>
      <w:r>
        <w:t xml:space="preserve"> </w:t>
      </w:r>
      <w:r>
        <w:rPr>
          <w:iCs/>
          <w:i/>
        </w:rPr>
        <w:t xml:space="preserve">Journal of Econometrics, 30</w:t>
      </w:r>
      <w:r>
        <w:t xml:space="preserve">(1–2), 109–126. https://doi.org/10.1016/0304-4076(85)90134-4</w:t>
      </w:r>
      <w:r>
        <w:t xml:space="preserve"> </w:t>
      </w:r>
      <w:r>
        <w:rPr>
          <w:iCs/>
          <w:i/>
        </w:rPr>
        <w:t xml:space="preserve">(Cơ sở repeated cross-sections — Phụ lục A.1, A.6.)</w:t>
      </w:r>
    </w:p>
    <w:p>
      <w:pPr>
        <w:pStyle w:val="BodyText"/>
      </w:pPr>
      <w:r>
        <w:t xml:space="preserve">Feenstra, R. C., Inklaar, R., &amp; Timmer, M. P. (2015). The next generation of the Penn World Table.</w:t>
      </w:r>
      <w:r>
        <w:t xml:space="preserve"> </w:t>
      </w:r>
      <w:r>
        <w:rPr>
          <w:iCs/>
          <w:i/>
        </w:rPr>
        <w:t xml:space="preserve">American Economic Review, 105</w:t>
      </w:r>
      <w:r>
        <w:t xml:space="preserve">(10), 3150–3182. https://doi.org/10.1257/aer.20130954</w:t>
      </w:r>
      <w:r>
        <w:t xml:space="preserve"> </w:t>
      </w:r>
      <w:r>
        <w:rPr>
          <w:iCs/>
          <w:i/>
        </w:rPr>
        <w:t xml:space="preserve">(Điều chỉnh PPP cho so sánh mức xuyên quốc gia — Phụ lục A.5.)</w:t>
      </w:r>
    </w:p>
    <w:p>
      <w:pPr>
        <w:pStyle w:val="BodyText"/>
      </w:pPr>
      <w:r>
        <w:t xml:space="preserve">Little, R. J. A., &amp; Rubin, D. B. (2019).</w:t>
      </w:r>
      <w:r>
        <w:t xml:space="preserve"> </w:t>
      </w:r>
      <w:r>
        <w:rPr>
          <w:iCs/>
          <w:i/>
        </w:rPr>
        <w:t xml:space="preserve">Statistical analysis with missing data</w:t>
      </w:r>
      <w:r>
        <w:t xml:space="preserve"> </w:t>
      </w:r>
      <w:r>
        <w:t xml:space="preserve">(3rd ed.). John Wiley &amp; Sons. https://doi.org/10.1002/9781119482260</w:t>
      </w:r>
      <w:r>
        <w:t xml:space="preserve"> </w:t>
      </w:r>
      <w:r>
        <w:rPr>
          <w:iCs/>
          <w:i/>
        </w:rPr>
        <w:t xml:space="preserve">(Xử lý dữ liệu thiếu, listwise/MAR — Phụ lục A.9.)</w:t>
      </w:r>
    </w:p>
    <w:p>
      <w:pPr>
        <w:pStyle w:val="BodyText"/>
      </w:pPr>
      <w:r>
        <w:t xml:space="preserve">Oster, E. (2019). Unobservable selection and coefficient stability: Theory and evidence.</w:t>
      </w:r>
      <w:r>
        <w:t xml:space="preserve"> </w:t>
      </w:r>
      <w:r>
        <w:rPr>
          <w:iCs/>
          <w:i/>
        </w:rPr>
        <w:t xml:space="preserve">Journal of Business &amp; Economic Statistics, 37</w:t>
      </w:r>
      <w:r>
        <w:t xml:space="preserve">(2), 187–204. https://doi.org/10.1080/07350015.2016.1227711</w:t>
      </w:r>
    </w:p>
    <w:p>
      <w:pPr>
        <w:pStyle w:val="BodyText"/>
      </w:pPr>
      <w:r>
        <w:t xml:space="preserve">Verbeek, M. (2008). Pseudo-panels and repeated cross-sections. In L. Mátyás &amp; P. Sevestre (Eds.),</w:t>
      </w:r>
      <w:r>
        <w:t xml:space="preserve"> </w:t>
      </w:r>
      <w:r>
        <w:rPr>
          <w:iCs/>
          <w:i/>
        </w:rPr>
        <w:t xml:space="preserve">The econometrics of panel data</w:t>
      </w:r>
      <w:r>
        <w:t xml:space="preserve"> </w:t>
      </w:r>
      <w:r>
        <w:t xml:space="preserve">(3rd ed., pp. 369–383). Springer. https://doi.org/10.1007/978-3-540-75892-1_11</w:t>
      </w:r>
      <w:r>
        <w:t xml:space="preserve"> </w:t>
      </w:r>
      <w:r>
        <w:rPr>
          <w:iCs/>
          <w:i/>
        </w:rPr>
        <w:t xml:space="preserve">(Khung lát cắt ngang lặp lại — Phụ lục A.1, A.6.)</w:t>
      </w:r>
    </w:p>
    <w:bookmarkEnd w:id="206"/>
    <w:bookmarkEnd w:id="207"/>
    <w:bookmarkStart w:id="208"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(2026c). Frontier market economies: Promise, performance, and prospects. In</w:t>
      </w:r>
      <w:r>
        <w:t xml:space="preserve"> </w:t>
      </w:r>
      <w:r>
        <w:rPr>
          <w:iCs/>
          <w:i/>
        </w:rPr>
        <w:t xml:space="preserve">Global Economic Prospects, January 2026</w:t>
      </w:r>
      <w:r>
        <w:t xml:space="preserve"> </w:t>
      </w:r>
      <w:r>
        <w:t xml:space="preserve">(Chapter 4). World Bank Group. https://doi.org/10.1596/978-1-4648-2148-6</w:t>
      </w:r>
    </w:p>
    <w:p>
      <w:pPr>
        <w:pStyle w:val="BodyText"/>
      </w:pPr>
      <w:r>
        <w:t xml:space="preserve">World Bank. (2026d, April).</w:t>
      </w:r>
      <w:r>
        <w:t xml:space="preserve"> </w:t>
      </w:r>
      <w:r>
        <w:rPr>
          <w:iCs/>
          <w:i/>
        </w:rPr>
        <w:t xml:space="preserve">Commodity markets outlook, April 2026</w:t>
      </w:r>
      <w:r>
        <w:t xml:space="preserve">. World Bank Group.</w:t>
      </w:r>
    </w:p>
    <w:p>
      <w:pPr>
        <w:pStyle w:val="BodyText"/>
      </w:pPr>
      <w:r>
        <w:t xml:space="preserve">World Bank. (2026e).</w:t>
      </w:r>
      <w:r>
        <w:t xml:space="preserve"> </w:t>
      </w:r>
      <w:r>
        <w:rPr>
          <w:iCs/>
          <w:i/>
        </w:rPr>
        <w:t xml:space="preserve">Public institutions in the age of AI: Emerging practices</w:t>
      </w:r>
      <w:r>
        <w:t xml:space="preserve"> </w:t>
      </w:r>
      <w:r>
        <w:t xml:space="preserve">(Prosperity Insight Series). World Bank Group, GovTech and Public Sector Innovation.</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208"/>
    <w:bookmarkStart w:id="209" w:name="Xde200f04073635a38db4cac94b8061369cfcb08"/>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209"/>
    <w:bookmarkStart w:id="210"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210"/>
    <w:bookmarkStart w:id="211"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211"/>
    <w:bookmarkStart w:id="212" w:name="X2132ca8004af576b93c55ebf0ffe37a44f46a17"/>
    <w:p>
      <w:pPr>
        <w:pStyle w:val="Heading2"/>
      </w:pPr>
      <w:r>
        <w:t xml:space="preserve">O. Văn bản pháp lý Việt Nam (cited trong CĐ1 §7.3.3)</w:t>
      </w:r>
    </w:p>
    <w:p>
      <w:pPr>
        <w:pStyle w:val="FirstParagraph"/>
      </w:pPr>
      <w:r>
        <w:t xml:space="preserve">(Giữ nguyên từ v2.0 — 7 văn bản pháp lý + 8 hiệp định FTA.)</w:t>
      </w:r>
    </w:p>
    <w:bookmarkEnd w:id="212"/>
    <w:bookmarkStart w:id="213"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 107 datasets; per-capita income growth in LICs 2020–2025 below historical average; poorest quintile lost most ground since COVID-19 disruption.)</w:t>
      </w:r>
    </w:p>
    <w:p>
      <w:r>
        <w:pict>
          <v:rect style="width:0;height:1.5pt" o:hralign="center" o:hrstd="t" o:hr="t"/>
        </w:pict>
      </w:r>
    </w:p>
    <w:bookmarkEnd w:id="213"/>
    <w:bookmarkStart w:id="214"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Combs, J. G., Ketchen, D. J., Crook, T. R., &amp; Roth, P. L. (2011). Assessing cumulative evidence within</w:t>
      </w:r>
      <w:r>
        <w:t xml:space="preserve"> </w:t>
      </w:r>
      <w:r>
        <w:t xml:space="preserve">“</w:t>
      </w:r>
      <w:r>
        <w:t xml:space="preserve">macro</w:t>
      </w:r>
      <w:r>
        <w:t xml:space="preserve">”</w:t>
      </w:r>
      <w:r>
        <w:t xml:space="preserve"> </w:t>
      </w:r>
      <w:r>
        <w:t xml:space="preserve">research: Why meta-analysis should be preferred over vote counting.</w:t>
      </w:r>
      <w:r>
        <w:t xml:space="preserve"> </w:t>
      </w:r>
      <w:r>
        <w:rPr>
          <w:iCs/>
          <w:i/>
        </w:rPr>
        <w:t xml:space="preserve">Journal of Management Studies, 48</w:t>
      </w:r>
      <w:r>
        <w:t xml:space="preserve">(1), 178–197. https://doi.org/10.1111/j.1467-6486.2009.00899.x</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MacKinnon, J. G., &amp; Webb, M. D. (2017). Wild bootstrap inference for wildly different cluster sizes.</w:t>
      </w:r>
      <w:r>
        <w:t xml:space="preserve"> </w:t>
      </w:r>
      <w:r>
        <w:rPr>
          <w:iCs/>
          <w:i/>
        </w:rPr>
        <w:t xml:space="preserve">Journal of Applied Econometrics, 32</w:t>
      </w:r>
      <w:r>
        <w:t xml:space="preserve">(2), 233–254. https://doi.org/10.1002/jae.2508</w:t>
      </w:r>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214"/>
    <w:bookmarkStart w:id="215"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215"/>
    <w:bookmarkStart w:id="216"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Nielsen, S. (2010). Top management team internationalization and firm performance: The mediating role of foreign market entry.</w:t>
      </w:r>
      <w:r>
        <w:t xml:space="preserve"> </w:t>
      </w:r>
      <w:r>
        <w:rPr>
          <w:iCs/>
          <w:i/>
        </w:rPr>
        <w:t xml:space="preserve">Management International Review, 50</w:t>
      </w:r>
      <w:r>
        <w:t xml:space="preserve">(2), 185–206. https://doi.org/10.1007/s11575-010-0029-0</w:t>
      </w:r>
      <w:r>
        <w:t xml:space="preserve"> </w:t>
      </w:r>
      <w:r>
        <w:t xml:space="preserve">Mizik, N., &amp; Jacobson, R. (2003). Trading off between value creation and value appropriation: The financial implications of shifts in strategic emphasis.</w:t>
      </w:r>
      <w:r>
        <w:t xml:space="preserve"> </w:t>
      </w:r>
      <w:r>
        <w:rPr>
          <w:iCs/>
          <w:i/>
        </w:rPr>
        <w:t xml:space="preserve">Journal of Marketing, 67</w:t>
      </w:r>
      <w:r>
        <w:t xml:space="preserve">(1), 63–76. https://doi.org/10.1509/jmkg.67.1.63.18595</w:t>
      </w:r>
      <w:r>
        <w:t xml:space="preserve"> </w:t>
      </w: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216"/>
    <w:bookmarkStart w:id="217"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§1 Introduction — structural developmental constraints cho Pacific SIDS FIP mechanism.)</w:t>
      </w:r>
    </w:p>
    <w:p>
      <w:r>
        <w:pict>
          <v:rect style="width:0;height:1.5pt" o:hralign="center" o:hrstd="t" o:hr="t"/>
        </w:pict>
      </w:r>
    </w:p>
    <w:bookmarkEnd w:id="217"/>
    <w:bookmarkStart w:id="221" w:name="hướng-dẫn-sử-dụng-cập-nhật-v2.5"/>
    <w:p>
      <w:pPr>
        <w:pStyle w:val="Heading2"/>
      </w:pPr>
      <w:r>
        <w:t xml:space="preserve">Hướng dẫn sử dụng (cập nhật v2.5)</w:t>
      </w:r>
    </w:p>
    <w:bookmarkStart w:id="218" w:name="trong-bản-thảo-luận-án"/>
    <w:p>
      <w:pPr>
        <w:pStyle w:val="Heading3"/>
      </w:pPr>
      <w:r>
        <w:t xml:space="preserve">Trong bản thảo luận án</w:t>
      </w:r>
    </w:p>
    <w:p>
      <w:pPr>
        <w:numPr>
          <w:ilvl w:val="0"/>
          <w:numId w:val="1018"/>
        </w:numPr>
        <w:pStyle w:val="Compact"/>
      </w:pPr>
      <w:r>
        <w:t xml:space="preserve">Dùng in-text citation theo author–date.</w:t>
      </w:r>
    </w:p>
    <w:p>
      <w:pPr>
        <w:numPr>
          <w:ilvl w:val="0"/>
          <w:numId w:val="1018"/>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18"/>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18"/>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18"/>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18"/>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18"/>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18"/>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18"/>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18"/>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18"/>
        </w:numPr>
        <w:pStyle w:val="Compact"/>
      </w:pPr>
      <w:r>
        <w:rPr>
          <w:bCs/>
          <w:b/>
        </w:rPr>
        <w:t xml:space="preserve">Trích dẫn Section P — Data360 Atlas (v2.6)</w:t>
      </w:r>
      <w:r>
        <w:t xml:space="preserve">:</w:t>
      </w:r>
    </w:p>
    <w:p>
      <w:pPr>
        <w:numPr>
          <w:ilvl w:val="1"/>
          <w:numId w:val="1019"/>
        </w:numPr>
        <w:pStyle w:val="Compact"/>
      </w:pPr>
      <w:r>
        <w:t xml:space="preserve">Internet access story:</w:t>
      </w:r>
      <w:r>
        <w:t xml:space="preserve"> </w:t>
      </w:r>
      <w:r>
        <w:t xml:space="preserve">“</w:t>
      </w:r>
      <w:r>
        <w:t xml:space="preserve">Pirlea &amp; Corso (2026)</w:t>
      </w:r>
      <w:r>
        <w:t xml:space="preserve">”</w:t>
      </w:r>
    </w:p>
    <w:p>
      <w:pPr>
        <w:numPr>
          <w:ilvl w:val="1"/>
          <w:numId w:val="1019"/>
        </w:numPr>
        <w:pStyle w:val="Compact"/>
      </w:pPr>
      <w:r>
        <w:t xml:space="preserve">AI inequality story:</w:t>
      </w:r>
      <w:r>
        <w:t xml:space="preserve"> </w:t>
      </w:r>
      <w:r>
        <w:t xml:space="preserve">“</w:t>
      </w:r>
      <w:r>
        <w:t xml:space="preserve">Mahler, Wang &amp; Weber (2026)</w:t>
      </w:r>
      <w:r>
        <w:t xml:space="preserve">”</w:t>
      </w:r>
    </w:p>
    <w:p>
      <w:pPr>
        <w:numPr>
          <w:ilvl w:val="1"/>
          <w:numId w:val="1019"/>
        </w:numPr>
        <w:pStyle w:val="Compact"/>
      </w:pPr>
      <w:r>
        <w:t xml:space="preserve">Atlas overview/statistics:</w:t>
      </w:r>
      <w:r>
        <w:t xml:space="preserve"> </w:t>
      </w:r>
      <w:r>
        <w:t xml:space="preserve">“</w:t>
      </w:r>
      <w:r>
        <w:t xml:space="preserve">Pirlea et al. (2026 — Atlas)</w:t>
      </w:r>
      <w:r>
        <w:t xml:space="preserve">”</w:t>
      </w:r>
    </w:p>
    <w:p>
      <w:pPr>
        <w:numPr>
          <w:ilvl w:val="1"/>
          <w:numId w:val="1019"/>
        </w:numPr>
        <w:pStyle w:val="Compact"/>
      </w:pPr>
      <w:r>
        <w:t xml:space="preserve">Commodity markets blog:</w:t>
      </w:r>
      <w:r>
        <w:t xml:space="preserve"> </w:t>
      </w:r>
      <w:r>
        <w:t xml:space="preserve">“</w:t>
      </w:r>
      <w:r>
        <w:t xml:space="preserve">Agnolucci, Kenworthy &amp; Kose (2026)</w:t>
      </w:r>
      <w:r>
        <w:t xml:space="preserve">”</w:t>
      </w:r>
    </w:p>
    <w:p>
      <w:pPr>
        <w:numPr>
          <w:ilvl w:val="1"/>
          <w:numId w:val="1019"/>
        </w:numPr>
        <w:pStyle w:val="Compact"/>
      </w:pPr>
      <w:r>
        <w:t xml:space="preserve">AI financial supervision G20:</w:t>
      </w:r>
      <w:r>
        <w:t xml:space="preserve"> </w:t>
      </w:r>
      <w:r>
        <w:t xml:space="preserve">“</w:t>
      </w:r>
      <w:r>
        <w:t xml:space="preserve">Boeddu et al. (2025)</w:t>
      </w:r>
      <w:r>
        <w:t xml:space="preserve">”</w:t>
      </w:r>
    </w:p>
    <w:p>
      <w:pPr>
        <w:numPr>
          <w:ilvl w:val="0"/>
          <w:numId w:val="1018"/>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18"/>
        </w:numPr>
        <w:pStyle w:val="Compact"/>
      </w:pPr>
      <w:r>
        <w:rPr>
          <w:bCs/>
          <w:b/>
        </w:rPr>
        <w:t xml:space="preserve">Trích dẫn Section Q — Singapore ecosystem (v2.7)</w:t>
      </w:r>
      <w:r>
        <w:t xml:space="preserve">:</w:t>
      </w:r>
    </w:p>
    <w:p>
      <w:pPr>
        <w:numPr>
          <w:ilvl w:val="1"/>
          <w:numId w:val="1020"/>
        </w:numPr>
        <w:pStyle w:val="Compact"/>
      </w:pPr>
      <w:r>
        <w:t xml:space="preserve">SWITCH 2025:</w:t>
      </w:r>
      <w:r>
        <w:t xml:space="preserve"> </w:t>
      </w:r>
      <w:r>
        <w:t xml:space="preserve">“</w:t>
      </w:r>
      <w:r>
        <w:t xml:space="preserve">Enterprise Singapore (2025)</w:t>
      </w:r>
      <w:r>
        <w:t xml:space="preserve">”</w:t>
      </w:r>
    </w:p>
    <w:p>
      <w:pPr>
        <w:numPr>
          <w:ilvl w:val="1"/>
          <w:numId w:val="1020"/>
        </w:numPr>
        <w:pStyle w:val="Compact"/>
      </w:pPr>
      <w:r>
        <w:t xml:space="preserve">Digital government rankings:</w:t>
      </w:r>
      <w:r>
        <w:t xml:space="preserve"> </w:t>
      </w:r>
      <w:r>
        <w:t xml:space="preserve">“</w:t>
      </w:r>
      <w:r>
        <w:t xml:space="preserve">GovTech Singapore (2024)</w:t>
      </w:r>
      <w:r>
        <w:t xml:space="preserve">”</w:t>
      </w:r>
    </w:p>
    <w:p>
      <w:pPr>
        <w:numPr>
          <w:ilvl w:val="1"/>
          <w:numId w:val="1020"/>
        </w:numPr>
        <w:pStyle w:val="Compact"/>
      </w:pPr>
      <w:r>
        <w:t xml:space="preserve">ATxSG summit:</w:t>
      </w:r>
      <w:r>
        <w:t xml:space="preserve"> </w:t>
      </w:r>
      <w:r>
        <w:t xml:space="preserve">“</w:t>
      </w:r>
      <w:r>
        <w:t xml:space="preserve">IMDA (2025)</w:t>
      </w:r>
      <w:r>
        <w:t xml:space="preserve">”</w:t>
      </w:r>
    </w:p>
    <w:p>
      <w:pPr>
        <w:numPr>
          <w:ilvl w:val="1"/>
          <w:numId w:val="1020"/>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18"/>
        </w:numPr>
        <w:pStyle w:val="Compact"/>
      </w:pPr>
      <w:r>
        <w:rPr>
          <w:bCs/>
          <w:b/>
        </w:rPr>
        <w:t xml:space="preserve">Trích dẫn Section T — WB Working Papers 2015/2026 (v2.9)</w:t>
      </w:r>
      <w:r>
        <w:t xml:space="preserve">:</w:t>
      </w:r>
    </w:p>
    <w:p>
      <w:pPr>
        <w:numPr>
          <w:ilvl w:val="1"/>
          <w:numId w:val="1021"/>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21"/>
        </w:numPr>
        <w:pStyle w:val="Compact"/>
      </w:pPr>
      <w:r>
        <w:t xml:space="preserve">Vietnam trade liberalization → productivity:</w:t>
      </w:r>
      <w:r>
        <w:t xml:space="preserve"> </w:t>
      </w:r>
      <w:r>
        <w:t xml:space="preserve">“</w:t>
      </w:r>
      <w:r>
        <w:t xml:space="preserve">Barattieri, Mattoo, &amp; Signoret (2026)</w:t>
      </w:r>
      <w:r>
        <w:t xml:space="preserve">”</w:t>
      </w:r>
      <w:r>
        <w:t xml:space="preserve"> </w:t>
      </w:r>
      <w:r>
        <w:t xml:space="preserve">[WPS11354]</w:t>
      </w:r>
    </w:p>
    <w:p>
      <w:pPr>
        <w:numPr>
          <w:ilvl w:val="1"/>
          <w:numId w:val="1021"/>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21"/>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21"/>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218"/>
    <w:bookmarkStart w:id="219" w:name="khi-nộp-bản-cuối"/>
    <w:p>
      <w:pPr>
        <w:pStyle w:val="Heading3"/>
      </w:pPr>
      <w:r>
        <w:t xml:space="preserve">Khi nộp bản cuối</w:t>
      </w:r>
    </w:p>
    <w:p>
      <w:pPr>
        <w:numPr>
          <w:ilvl w:val="0"/>
          <w:numId w:val="1022"/>
        </w:numPr>
        <w:pStyle w:val="Compact"/>
      </w:pPr>
      <w:r>
        <w:t xml:space="preserve">Xác minh DOI trên Crossref hoặc trang publisher cho các entry không quen thuộc.</w:t>
      </w:r>
    </w:p>
    <w:p>
      <w:pPr>
        <w:numPr>
          <w:ilvl w:val="0"/>
          <w:numId w:val="1022"/>
        </w:numPr>
        <w:pStyle w:val="Compact"/>
      </w:pPr>
      <w:r>
        <w:t xml:space="preserve">Kiểm tra nhất quán italic và punctuation theo APA 7th.</w:t>
      </w:r>
    </w:p>
    <w:p>
      <w:pPr>
        <w:numPr>
          <w:ilvl w:val="0"/>
          <w:numId w:val="1022"/>
        </w:numPr>
        <w:pStyle w:val="Compact"/>
      </w:pPr>
      <w:r>
        <w:t xml:space="preserve">Yang et al. (2025) JBR: hiện chưa verify được volume/pages — cần kiểm tra Crossref hoặc loại bỏ.</w:t>
      </w:r>
    </w:p>
    <w:p>
      <w:pPr>
        <w:numPr>
          <w:ilvl w:val="0"/>
          <w:numId w:val="1022"/>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22"/>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22"/>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219"/>
    <w:bookmarkStart w:id="2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220"/>
    <w:bookmarkEnd w:id="221"/>
    <w:bookmarkStart w:id="222"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222"/>
    <w:bookmarkStart w:id="223"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Nguyen, V. S., Dinh, V. T., Thai, V. H., Nguyen, C. T., Dao, Q. T., Nguyen, V. L., &amp; Do, T. H. (2021). The moderating effects of the manager’s characteristics and financial obstacles on internationalization and firm performance in Poland.</w:t>
      </w:r>
      <w:r>
        <w:t xml:space="preserve"> </w:t>
      </w:r>
      <w:r>
        <w:rPr>
          <w:iCs/>
          <w:i/>
        </w:rPr>
        <w:t xml:space="preserve">PalArch’s Journal of Archaeology of Egypt/Egyptology, 18</w:t>
      </w:r>
      <w:r>
        <w:t xml:space="preserve">(4), 4063–4081.</w:t>
      </w:r>
      <w:r>
        <w:t xml:space="preserve"> </w:t>
      </w:r>
      <w:r>
        <w:t xml:space="preserve">Phan, A. T., Do, T. H., &amp; Phan, M. T. (2020). The moderating effects of managers’ experience and gender on internationalization and firm performance of manufacturing enterprises in Turkey.</w:t>
      </w:r>
      <w:r>
        <w:t xml:space="preserve"> </w:t>
      </w:r>
      <w:r>
        <w:rPr>
          <w:iCs/>
          <w:i/>
        </w:rPr>
        <w:t xml:space="preserve">Accounting, 6</w:t>
      </w:r>
      <w:r>
        <w:t xml:space="preserve">(7), 1209–1216. https://doi.org/10.5267/j.ac.2020.9.006</w:t>
      </w:r>
      <w:r>
        <w:t xml:space="preserve"> </w:t>
      </w: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223"/>
    <w:bookmarkStart w:id="224"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bookmarkEnd w:id="224"/>
    <w:bookmarkStart w:id="225"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Chodorow-Reich, G., Gopinath, G., Mishra, P., &amp; Narayanan, A. (2020). Cash and the economy: Evidence from India’s demonetization.</w:t>
      </w:r>
      <w:r>
        <w:t xml:space="preserve"> </w:t>
      </w:r>
      <w:r>
        <w:rPr>
          <w:iCs/>
          <w:i/>
        </w:rPr>
        <w:t xml:space="preserve">Quarterly Journal of Economics, 135</w:t>
      </w:r>
      <w:r>
        <w:t xml:space="preserve">(1), 57–103. https://doi.org/10.1093/qje/qjz027</w:t>
      </w:r>
      <w:r>
        <w:t xml:space="preserve"> </w:t>
      </w: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225"/>
    <w:bookmarkStart w:id="229"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226" w:name="X041759103c7c799db9799d6bd71834307a428c8"/>
    <w:p>
      <w:pPr>
        <w:pStyle w:val="Heading3"/>
      </w:pPr>
      <w:r>
        <w:t xml:space="preserve">Công trình của tác giả luận án — Cập nhật Section M</w:t>
      </w:r>
    </w:p>
    <w:bookmarkEnd w:id="226"/>
    <w:bookmarkStart w:id="227"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227"/>
    <w:bookmarkStart w:id="228"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r>
        <w:t xml:space="preserve"> </w:t>
      </w: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bookmarkEnd w:id="228"/>
    <w:bookmarkEnd w:id="229"/>
    <w:bookmarkStart w:id="230" w:name="Xfcfd97cb98ed3f4d1b64063e814942600c7ed0b"/>
    <w:p>
      <w:pPr>
        <w:pStyle w:val="Heading2"/>
      </w:pPr>
      <w:r>
        <w:t xml:space="preserve">Bổ sung v2.8 — Thao tác hóa FSTS trực tiếp/gián tiếp (Chương 3 §3.3.2, CĐ1 §2.2)</w:t>
      </w:r>
    </w:p>
    <w:p>
      <w:pPr>
        <w:pStyle w:val="FirstParagraph"/>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bookmarkEnd w:id="230"/>
    <w:bookmarkStart w:id="231" w:name="X0594839b64ebc9cf139e008fd0f7618dc7babbe"/>
    <w:p>
      <w:pPr>
        <w:pStyle w:val="Heading2"/>
      </w:pPr>
      <w:r>
        <w:t xml:space="preserve">Bổ sung v2.9 — Phân biệt cấu trúc số (Chương 2 §2.2.5, Chương 3 §3.3.3)</w:t>
      </w:r>
    </w:p>
    <w:p>
      <w:pPr>
        <w:pStyle w:val="FirstParagraph"/>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bookmarkEnd w:id="231"/>
    <w:bookmarkStart w:id="232" w:name="X2a802b4844355bd9a9addebe0f180df0342c84e"/>
    <w:p>
      <w:pPr>
        <w:pStyle w:val="Heading2"/>
      </w:pPr>
      <w:r>
        <w:t xml:space="preserve">Bổ sung v3.0 — Hoàn thiện entry còn thiếu (rà soát Inspector 06/2026)</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Bloom, N., Genakos, C., Sadun, R., &amp; Van Reenen, J. (2012). Management practices across firms and countries.</w:t>
      </w:r>
      <w:r>
        <w:t xml:space="preserve"> </w:t>
      </w:r>
      <w:r>
        <w:rPr>
          <w:iCs/>
          <w:i/>
        </w:rPr>
        <w:t xml:space="preserve">Academy of Management Perspectives, 26</w:t>
      </w:r>
      <w:r>
        <w:t xml:space="preserve">(1), 12–33. https://doi.org/10.5465/amp.2011.0077</w:t>
      </w:r>
    </w:p>
    <w:p>
      <w:pPr>
        <w:pStyle w:val="BodyText"/>
      </w:pPr>
      <w:r>
        <w:t xml:space="preserve">Cameron, A. C., &amp; Trivedi, P. K. (2005).</w:t>
      </w:r>
      <w:r>
        <w:t xml:space="preserve"> </w:t>
      </w:r>
      <w:r>
        <w:rPr>
          <w:iCs/>
          <w:i/>
        </w:rPr>
        <w:t xml:space="preserve">Microeconometrics: Methods and applications</w:t>
      </w:r>
      <w:r>
        <w:t xml:space="preserve">. Cambridge University Press.</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Grant, R. M. (1987). Multinationality and performance among British manufacturing companies.</w:t>
      </w:r>
      <w:r>
        <w:t xml:space="preserve"> </w:t>
      </w:r>
      <w:r>
        <w:rPr>
          <w:iCs/>
          <w:i/>
        </w:rPr>
        <w:t xml:space="preserve">Journal of International Business Studies, 18</w:t>
      </w:r>
      <w:r>
        <w:t xml:space="preserve">(3), 79–89. https://doi.org/10.1057/palgrave.jibs.8490413</w:t>
      </w:r>
    </w:p>
    <w:p>
      <w:pPr>
        <w:pStyle w:val="BodyText"/>
      </w:pPr>
      <w:r>
        <w:t xml:space="preserve">Kim, W. C., Hwang, P., &amp; Burgers, W. P. (1989). Global diversification strategy and corporate profit performance.</w:t>
      </w:r>
      <w:r>
        <w:t xml:space="preserve"> </w:t>
      </w:r>
      <w:r>
        <w:rPr>
          <w:iCs/>
          <w:i/>
        </w:rPr>
        <w:t xml:space="preserve">Strategic Management Journal, 10</w:t>
      </w:r>
      <w:r>
        <w:t xml:space="preserve">(1), 45–57. https://doi.org/10.1002/smj.4250100105</w:t>
      </w:r>
    </w:p>
    <w:p>
      <w:pPr>
        <w:pStyle w:val="BodyText"/>
      </w:pPr>
      <w:r>
        <w:t xml:space="preserve">Sambharya, R. B. (1996). Foreign experience of top management teams and international diversification strategies of U.S. multinational corporations.</w:t>
      </w:r>
      <w:r>
        <w:t xml:space="preserve"> </w:t>
      </w:r>
      <w:r>
        <w:rPr>
          <w:iCs/>
          <w:i/>
        </w:rPr>
        <w:t xml:space="preserve">Strategic Management Journal, 17</w:t>
      </w:r>
      <w:r>
        <w:t xml:space="preserve">(9), 739–746. https://doi.org/10.1002/(SICI)1097-0266(199611)17:9&lt;739::AID-SMJ846&gt;3.0.CO;2-K</w:t>
      </w:r>
    </w:p>
    <w:p>
      <w:pPr>
        <w:pStyle w:val="BodyText"/>
      </w:pPr>
      <w:r>
        <w:t xml:space="preserve">Sasabuchi, S. (1980). A test of a multivariate normal mean with composite hypotheses determined by linear inequalities.</w:t>
      </w:r>
      <w:r>
        <w:t xml:space="preserve"> </w:t>
      </w:r>
      <w:r>
        <w:rPr>
          <w:iCs/>
          <w:i/>
        </w:rPr>
        <w:t xml:space="preserve">Biometrika, 67</w:t>
      </w:r>
      <w:r>
        <w:t xml:space="preserve">(2), 429–439. https://doi.org/10.1093/biomet/67.2.429</w:t>
      </w:r>
    </w:p>
    <w:p>
      <w:pPr>
        <w:pStyle w:val="BodyText"/>
      </w:pPr>
      <w:r>
        <w:t xml:space="preserve">Scott, W. R. (1995).</w:t>
      </w:r>
      <w:r>
        <w:t xml:space="preserve"> </w:t>
      </w:r>
      <w:r>
        <w:rPr>
          <w:iCs/>
          <w:i/>
        </w:rPr>
        <w:t xml:space="preserve">Institutions and organizations</w:t>
      </w:r>
      <w:r>
        <w:t xml:space="preserve">. Sage.</w:t>
      </w:r>
    </w:p>
    <w:bookmarkEnd w:id="232"/>
    <w:bookmarkStart w:id="233" w:name="X0abbf775f59dd3e18884b0e2af21123940b885a"/>
    <w:p>
      <w:pPr>
        <w:pStyle w:val="Heading2"/>
      </w:pPr>
      <w:r>
        <w:t xml:space="preserve">Bổ sung v2.8 — Tài liệu nền I–P kinh điển + phê phán gần đây (15/06/2026)</w:t>
      </w:r>
    </w:p>
    <w:p>
      <w:pPr>
        <w:pStyle w:val="BlockText"/>
      </w:pPr>
      <w:r>
        <w:t xml:space="preserve">Bổ sung 5 entries để củng cố nền lý thuyết MNE/FDI kinh điển và bằng chứng phê phán gần đây cho mảng internationalization–firm performance (trích dẫn trong Chương 2). DOI của Caves (1971) và Vernon (1966) để trống, sẽ xác minh trong lượt</w:t>
      </w:r>
      <w:r>
        <w:t xml:space="preserve"> </w:t>
      </w:r>
      <w:r>
        <w:rPr>
          <w:rStyle w:val="VerbatimChar"/>
        </w:rPr>
        <w:t xml:space="preserve">verify_dois.py</w:t>
      </w:r>
      <w:r>
        <w:t xml:space="preserve">.</w:t>
      </w:r>
    </w:p>
    <w:p>
      <w:pPr>
        <w:pStyle w:val="FirstParagraph"/>
      </w:pPr>
      <w:r>
        <w:t xml:space="preserve">Buckley, P. J., &amp; Casson, M. C. (1976).</w:t>
      </w:r>
      <w:r>
        <w:t xml:space="preserve"> </w:t>
      </w:r>
      <w:r>
        <w:rPr>
          <w:iCs/>
          <w:i/>
        </w:rPr>
        <w:t xml:space="preserve">The future of the multinational enterprise</w:t>
      </w:r>
      <w:r>
        <w:t xml:space="preserve">. Macmillan.</w:t>
      </w:r>
    </w:p>
    <w:p>
      <w:pPr>
        <w:pStyle w:val="BodyText"/>
      </w:pPr>
      <w:r>
        <w:t xml:space="preserve">Caves, R. E. (1971). International corporations: The industrial economics of foreign investment.</w:t>
      </w:r>
      <w:r>
        <w:t xml:space="preserve"> </w:t>
      </w:r>
      <w:r>
        <w:rPr>
          <w:iCs/>
          <w:i/>
        </w:rPr>
        <w:t xml:space="preserve">Economica, 38</w:t>
      </w:r>
      <w:r>
        <w:t xml:space="preserve">(149), 1–27.</w:t>
      </w:r>
    </w:p>
    <w:p>
      <w:pPr>
        <w:pStyle w:val="BodyText"/>
      </w:pPr>
      <w:r>
        <w:t xml:space="preserve">Hymer, S. H. (1976).</w:t>
      </w:r>
      <w:r>
        <w:t xml:space="preserve"> </w:t>
      </w:r>
      <w:r>
        <w:rPr>
          <w:iCs/>
          <w:i/>
        </w:rPr>
        <w:t xml:space="preserve">The international operations of national firms: A study of direct foreign investment</w:t>
      </w:r>
      <w:r>
        <w:t xml:space="preserve">. MIT Press.</w:t>
      </w:r>
    </w:p>
    <w:p>
      <w:pPr>
        <w:pStyle w:val="BodyText"/>
      </w:pP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 https://doi.org/10.1002/smj.3087</w:t>
      </w:r>
    </w:p>
    <w:p>
      <w:pPr>
        <w:pStyle w:val="BodyText"/>
      </w:pPr>
      <w:r>
        <w:t xml:space="preserve">Vernon, R. (1966). International investment and international trade in the product cycle.</w:t>
      </w:r>
      <w:r>
        <w:t xml:space="preserve"> </w:t>
      </w:r>
      <w:r>
        <w:rPr>
          <w:iCs/>
          <w:i/>
        </w:rPr>
        <w:t xml:space="preserve">The Quarterly Journal of Economics, 80</w:t>
      </w:r>
      <w:r>
        <w:t xml:space="preserve">(2), 190–207.</w:t>
      </w:r>
    </w:p>
    <w:p>
      <w:r>
        <w:br w:type="page"/>
      </w:r>
    </w:p>
    <w:bookmarkEnd w:id="233"/>
    <w:bookmarkEnd w:id="234"/>
    <w:bookmarkStart w:id="245"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35"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(§3.3) ở cấp độ</w:t>
      </w:r>
      <w:r>
        <w:t xml:space="preserve"> </w:t>
      </w:r>
      <w:r>
        <w:rPr>
          <w:bCs/>
          <w:b/>
        </w:rPr>
        <w:t xml:space="preserve">thao tác chi tiết</w:t>
      </w:r>
      <w:r>
        <w:t xml:space="preserve"> </w:t>
      </w:r>
      <w:r>
        <w:t xml:space="preserve">(operational detail):</w:t>
      </w:r>
      <w:r>
        <w:t xml:space="preserve"> </w:t>
      </w:r>
      <w:r>
        <w:t xml:space="preserve">trong khi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35"/>
    <w:bookmarkStart w:id="236"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36"/>
    <w:bookmarkStart w:id="237"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(pool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pool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17 đợt khảo sát 2003–2025.</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37"/>
    <w:bookmarkStart w:id="238"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23"/>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23"/>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23"/>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§2.1.3 và Coltman et al. (2008).</w:t>
      </w:r>
    </w:p>
    <w:p>
      <w:pPr>
        <w:numPr>
          <w:ilvl w:val="0"/>
          <w:numId w:val="1023"/>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8"/>
    <w:bookmarkStart w:id="239"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pool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24"/>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24"/>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gradient điểm uốn</w:t>
      </w:r>
      <w:r>
        <w:t xml:space="preserve">, những</w:t>
      </w:r>
      <w:r>
        <w:t xml:space="preserve"> </w:t>
      </w:r>
      <w:r>
        <w:t xml:space="preserve">đại lượng bất biến với đơn vị tiền tệ (xem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39"/>
    <w:bookmarkStart w:id="240" w:name="Xcda44a616a0294a63022c370d6fafff6af411dd"/>
    <w:p>
      <w:pPr>
        <w:pStyle w:val="Heading2"/>
      </w:pPr>
      <w:r>
        <w:t xml:space="preserve">A.6 Chiến lược hợp nhất kinh tế lượng (pooled repeated cross-sections)</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40"/>
    <w:bookmarkStart w:id="241"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pool</w:t>
      </w:r>
      <w:r>
        <w:t xml:space="preserve"> </w:t>
      </w:r>
      <w:r>
        <w:t xml:space="preserve">phân loại 52 nền cho mục đích độ vững (riêng Comoros được dùng trong kiểm định độ vững</w:t>
      </w:r>
      <w:r>
        <w:t xml:space="preserve"> </w:t>
      </w:r>
      <w:r>
        <w:t xml:space="preserve">mở rộng của P8).</w:t>
      </w:r>
    </w:p>
    <w:bookmarkEnd w:id="241"/>
    <w:bookmarkStart w:id="242"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42"/>
    <w:bookmarkStart w:id="243"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43"/>
    <w:bookmarkStart w:id="244"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&amp; dữ liệu:</w:t>
      </w:r>
      <w:r>
        <w:rPr>
          <w:iCs/>
          <w:i/>
        </w:rPr>
        <w:t xml:space="preserve"> </w:t>
      </w:r>
      <w:r>
        <w:rPr>
          <w:rStyle w:val="VerbatimChar"/>
          <w:iCs/>
          <w:i/>
        </w:rPr>
        <w:t xml:space="preserve">scripts/build_pooled_dataset.py</w:t>
      </w:r>
      <w:r>
        <w:rPr>
          <w:iCs/>
          <w:i/>
        </w:rPr>
        <w:t xml:space="preserve">,</w:t>
      </w:r>
      <w:r>
        <w:rPr>
          <w:iCs/>
          <w:i/>
        </w:rPr>
        <w:t xml:space="preserve"> </w:t>
      </w:r>
      <w:r>
        <w:rPr>
          <w:rStyle w:val="VerbatimChar"/>
          <w:iCs/>
          <w:i/>
        </w:rPr>
        <w:t xml:space="preserve">scripts/wbes_canon.py</w:t>
      </w:r>
      <w:r>
        <w:rPr>
          <w:iCs/>
          <w:i/>
        </w:rPr>
        <w:t xml:space="preserve">,</w:t>
      </w:r>
      <w:r>
        <w:rPr>
          <w:iCs/>
          <w:i/>
        </w:rPr>
        <w:t xml:space="preserve"> </w:t>
      </w:r>
      <w:r>
        <w:rPr>
          <w:rStyle w:val="VerbatimChar"/>
          <w:iCs/>
          <w:i/>
        </w:rPr>
        <w:t xml:space="preserve">scripts/cd1_descriptives_pipeline.py</w:t>
      </w:r>
      <w:r>
        <w:rPr>
          <w:iCs/>
          <w:i/>
        </w:rPr>
        <w:t xml:space="preserve">;</w:t>
      </w:r>
      <w:r>
        <w:rPr>
          <w:iCs/>
          <w:i/>
        </w:rPr>
        <w:t xml:space="preserve"> </w:t>
      </w:r>
      <w:r>
        <w:rPr>
          <w:rStyle w:val="VerbatimChar"/>
          <w:iCs/>
          <w:i/>
        </w:rPr>
        <w:t xml:space="preserve">data_wbes/analysis/pooled_dataflow.csv</w:t>
      </w:r>
      <w:r>
        <w:rPr>
          <w:iCs/>
          <w:i/>
        </w:rPr>
        <w:t xml:space="preserve">,</w:t>
      </w:r>
      <w:r>
        <w:rPr>
          <w:iCs/>
          <w:i/>
        </w:rPr>
        <w:t xml:space="preserve"> </w:t>
      </w:r>
      <w:r>
        <w:rPr>
          <w:rStyle w:val="VerbatimChar"/>
          <w:iCs/>
          <w:i/>
        </w:rPr>
        <w:t xml:space="preserve">DATA_UPDATE_MANIFEST.md</w:t>
      </w:r>
      <w:r>
        <w:rPr>
          <w:iCs/>
          <w:i/>
        </w:rPr>
        <w:t xml:space="preserve">,</w:t>
      </w:r>
      <w:r>
        <w:rPr>
          <w:iCs/>
          <w:i/>
        </w:rPr>
        <w:t xml:space="preserve"> </w:t>
      </w:r>
      <w:r>
        <w:rPr>
          <w:rStyle w:val="VerbatimChar"/>
          <w:iCs/>
          <w:i/>
        </w:rPr>
        <w:t xml:space="preserve">CANONICAL_RECONCILIATION.md</w:t>
      </w:r>
      <w:r>
        <w:rPr>
          <w:iCs/>
          <w:i/>
        </w:rPr>
        <w:t xml:space="preserve">.</w:t>
      </w:r>
    </w:p>
    <w:p>
      <w:r>
        <w:br w:type="page"/>
      </w:r>
    </w:p>
    <w:bookmarkEnd w:id="244"/>
    <w:bookmarkEnd w:id="245"/>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150" Target="media/rId1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2026-06-15T09:43:08Z</dcterms:created>
  <dcterms:modified xsi:type="dcterms:W3CDTF">2026-06-15T09:43:08Z</dcterms:modified>
</cp:coreProperties>
</file>

<file path=docProps/custom.xml><?xml version="1.0" encoding="utf-8"?>
<Properties xmlns="http://schemas.openxmlformats.org/officeDocument/2006/custom-properties" xmlns:vt="http://schemas.openxmlformats.org/officeDocument/2006/docPropsVTypes"/>
</file>