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văn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văn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20"/>
    <w:bookmarkStart w:id="21"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văn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TCI) và chỉ số chấp nhận số (Digital Adoption Index,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gồm Singapore, Hong Kong SAR, Hàn Quốc, Đài Loan, Israel và Nhật Bản), Nhóm II (Advanced Resource-Driven, bao gồm các nền kinh tế vùng Vịnh), Nhóm III (Upper-middle, điển hình là Trung Quốc), Nhóm IV (Lower-middle transition, bao gồm Việt Nam và Ấn Độ), Nhóm V (Emerging),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23"/>
    <w:bookmarkEnd w:id="24"/>
    <w:bookmarkStart w:id="30"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platform firms,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26"/>
    <w:bookmarkStart w:id="27"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văn liệu về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27"/>
    <w:bookmarkStart w:id="28"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liability of foreignness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28"/>
    <w:bookmarkStart w:id="29"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Sự phân biệt giữa hai cấu trúc số có nền tảng đo lường vững chắc trong văn liệu. Bharadwaj et al. (2013) lập luận rằng năng lực công nghệ thông tin (IT capability) và chiến lược kinh doanh số (digital business strategy) có nomological nets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composite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I–P,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p>
      <w:r>
        <w:pict>
          <v:rect style="width:0;height:1.5pt" o:hralign="center" o:hrstd="t" o:hr="t"/>
        </w:pict>
      </w:r>
    </w:p>
    <w:bookmarkEnd w:id="29"/>
    <w:bookmarkEnd w:id="30"/>
    <w:bookmarkStart w:id="36" w:name="tổng-quan-thực-nghiệm"/>
    <w:p>
      <w:pPr>
        <w:pStyle w:val="Heading2"/>
      </w:pPr>
      <w:r>
        <w:t xml:space="preserve">2.3 Tổng quan thực nghiệm</w:t>
      </w:r>
    </w:p>
    <w:bookmarkStart w:id="31" w:name="giai-đoạn-phát-triển-của-văn-liệu-ip"/>
    <w:p>
      <w:pPr>
        <w:pStyle w:val="Heading3"/>
      </w:pPr>
      <w:r>
        <w:t xml:space="preserve">2.3.1 Giai đoạn phát triển của văn liệu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I–P.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bookmarkEnd w:id="31"/>
    <w:bookmarkStart w:id="32"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văn liệu với 170 nghiên cứu và 32 quốc gia, tìm thấy r ≈ 0,07–0,13 và chứng minh rằng thể chế quốc gia nguồn là biến điều tiết quan trọng nhất trong tất cả các biến bối cảnh được kiểm định. Wu et al. (2022) cập nhật với pool 218 effect sizes tập trung vào các emerging market multinationals (EMNEs) và tìm thấy mô hình biến điều tiết tương tự. Tại hội nghị ICBEF 2024, kết quả sơ bộ từ pool nghiên cứu về châu Á với k = 113 nghiên cứu cho thấy r = 0,07, nhất quán với các meta-analyses toàn cầu nhưng cụ thể hơn về bối cảnh châu Á. Luận án này mở rộng pool đó thông qua Nghiên cứu P6,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I–P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I–P. Ở cấp doanh nghiệp, Arbelo, Arbelo-Pérez và Pérez-Gómez (2024) chứng minh quan hệ I–P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bookmarkEnd w:id="32"/>
    <w:bookmarkStart w:id="3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văn liệu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cubic chữ U ngược với ngưỡng FSTS tối ưu khoảng 47,8%, tức điểm điểm uốn khá thấp so với các nền kinh tế tiên tiến. Luận án kế thừa và mở rộng các kết quả này trên pool đầy đủ 50 nền kinh tế (bao gồm 7 nền kinh tế đảo nhỏ Thái Bình Dương (mẫu chính; 9 nền khi mở rộng độ vững)).</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SIDS, về cơ bản thiếu vắng trong văn liệu.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33"/>
    <w:bookmarkStart w:id="34"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bookmarkEnd w:id="34"/>
    <w:bookmarkStart w:id="3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institutional-voids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35"/>
    <w:bookmarkEnd w:id="36"/>
    <w:bookmarkStart w:id="3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biến điều tiết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văn liệu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văn liệu về I–P vẫn thiếu bằng chứng đa quốc gia bao quát đủ rộng để kiểm định khả năng tổng quát hóa của các lý thuyết. Pool 17 nước của nghiên cứu thành phần P1 là baseline lớn nhất hiện có trong văn liệu về châu Á, nhưng vẫn chưa bao gồm các nền kinh tế frontier và SIDS, những địa điểm cực kỳ quan trọng để kiểm định boundary conditions.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(Country–Digital–Capability Moderation),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Văn liệu hiện tại chưa có bằng chứng kiểm định đồng thời năm biến điều tiết chính (TCI, DAI, kinh nghiệm quản trị, giới tính nhà quản trị, ICRV) trong một mô hình hồi quy đơn lẻ trên dữ liệu đa quốc gia quy mô lớn. Nghiên cứu thành phần P7 lấp đầy khoảng trống này bằng dữ liệu WBES từ 50 nền kinh tế (mẫu hồi quy M2 N = 81.022; N hồi quy mô hình đầy đủ = 79.080 sau loại bỏ listwise các biến điều tiết, 103 country-year waves), bao phủ toàn bộ gradient ICRV từ nhóm tiên tiến đến SIDS, kiểm định đồng thời H1–H6 với country-year fixed effects. Kết quả điểm uốn trung bình ~36% FSTS tại P7, thấp hơn P3 Vietnam (~40%) và P5 Trung Quốc (~49%), xác nhận ICRV điều tiết vị trí điểm uốn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Không có nghiên cứu nào trong văn liệu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Nghiên cứu thành phần P8, Nghiên cứu P8, kiểm định H1b bằng dữ liệu WBES từ các nền kinh tế SIDS (Fiji, Papua New Guinea, Solomon Islands, Tonga, Vanuatu, Samoa, Kiribati), nơi ba điều kiện cấu trúc cơ bản của chữ U ngược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37"/>
    <w:bookmarkStart w:id="50" w:name="mô-hình-nghiên-cứu-và-hệ-giả-thuyết"/>
    <w:p>
      <w:pPr>
        <w:pStyle w:val="Heading2"/>
      </w:pPr>
      <w:r>
        <w:t xml:space="preserve">2.5 Mô hình nghiên cứu và hệ giả thuyết</w:t>
      </w:r>
    </w:p>
    <w:bookmarkStart w:id="4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điểm uốn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39" name="Picture"/>
            <a:graphic>
              <a:graphicData uri="http://schemas.openxmlformats.org/drawingml/2006/picture">
                <pic:pic>
                  <pic:nvPicPr>
                    <pic:cNvPr descr="figures/fig_2_1_cdcm_conceptual_model.png" id="40" name="Picture"/>
                    <pic:cNvPicPr>
                      <a:picLocks noChangeArrowheads="1" noChangeAspect="1"/>
                    </pic:cNvPicPr>
                  </pic:nvPicPr>
                  <pic:blipFill>
                    <a:blip r:embed="rId38"/>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41"/>
    <w:bookmarkStart w:id="4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điểm uốn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chữ U ngược ban đầu của Hitt et al. (1997).</w:t>
      </w:r>
    </w:p>
    <w:bookmarkEnd w:id="42"/>
    <w:bookmarkStart w:id="4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43"/>
    <w:bookmarkStart w:id="44"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điểm uốn. Cơ sở lý thuyết bao gồm Barney (1991), Teece et al. (1997), và Bhandari et al. (2023).</w:t>
      </w:r>
    </w:p>
    <w:bookmarkEnd w:id="44"/>
    <w:bookmarkStart w:id="45"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45"/>
    <w:bookmarkStart w:id="46"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46"/>
    <w:bookmarkStart w:id="47"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47"/>
    <w:bookmarkStart w:id="48"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điểm uốn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48"/>
    <w:bookmarkStart w:id="49"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P1–P10),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chương,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§2.3.2; §4.2</w:t>
            </w:r>
          </w:p>
        </w:tc>
        <w:tc>
          <w:tcPr/>
          <w:p>
            <w:pPr>
              <w:pStyle w:val="Compact"/>
              <w:jc w:val="left"/>
            </w:pPr>
            <w:r>
              <w:t xml:space="preserve">Nền tảng cho H1, H5</w:t>
            </w:r>
          </w:p>
        </w:tc>
      </w:tr>
      <w:tr>
        <w:tc>
          <w:tcPr/>
          <w:p>
            <w:pPr>
              <w:pStyle w:val="Compact"/>
              <w:jc w:val="left"/>
            </w:pPr>
            <w:r>
              <w:t xml:space="preserve">P3: Việt Nam</w:t>
            </w:r>
          </w:p>
        </w:tc>
        <w:tc>
          <w:tcPr/>
          <w:p>
            <w:pPr>
              <w:pStyle w:val="Compact"/>
              <w:jc w:val="left"/>
            </w:pPr>
            <w:r>
              <w:t xml:space="preserve">Lower-middle transition (Nhóm IV)</w:t>
            </w:r>
          </w:p>
        </w:tc>
        <w:tc>
          <w:tcPr/>
          <w:p>
            <w:pPr>
              <w:pStyle w:val="Compact"/>
              <w:jc w:val="left"/>
            </w:pPr>
            <w:r>
              <w:t xml:space="preserve">§4.5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Advanced đổi mới (Nhóm I)</w:t>
            </w:r>
          </w:p>
        </w:tc>
        <w:tc>
          <w:tcPr/>
          <w:p>
            <w:pPr>
              <w:pStyle w:val="Compact"/>
              <w:jc w:val="left"/>
            </w:pPr>
            <w:r>
              <w:t xml:space="preserve">§4.3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Upper-middle (Nhóm III)</w:t>
            </w:r>
          </w:p>
        </w:tc>
        <w:tc>
          <w:tcPr/>
          <w:p>
            <w:pPr>
              <w:pStyle w:val="Compact"/>
              <w:jc w:val="left"/>
            </w:pPr>
            <w:r>
              <w:t xml:space="preserve">§4.4</w:t>
            </w:r>
          </w:p>
        </w:tc>
        <w:tc>
          <w:tcPr/>
          <w:p>
            <w:pPr>
              <w:pStyle w:val="Compact"/>
              <w:jc w:val="left"/>
            </w:pPr>
            <w:r>
              <w:t xml:space="preserve">H1, H6</w:t>
            </w:r>
          </w:p>
        </w:tc>
      </w:tr>
      <w:tr>
        <w:tc>
          <w:tcPr/>
          <w:p>
            <w:pPr>
              <w:pStyle w:val="Compact"/>
              <w:jc w:val="left"/>
            </w:pPr>
            <w:r>
              <w:t xml:space="preserve">P6: Meta-analysis ba tầng</w:t>
            </w:r>
          </w:p>
        </w:tc>
        <w:tc>
          <w:tcPr/>
          <w:p>
            <w:pPr>
              <w:pStyle w:val="Compact"/>
              <w:jc w:val="left"/>
            </w:pPr>
            <w:r>
              <w:t xml:space="preserve">Toàn bộ literature</w:t>
            </w:r>
          </w:p>
        </w:tc>
        <w:tc>
          <w:tcPr/>
          <w:p>
            <w:pPr>
              <w:pStyle w:val="Compact"/>
              <w:jc w:val="left"/>
            </w:pPr>
            <w:r>
              <w:t xml:space="preserve">§4.2</w:t>
            </w:r>
          </w:p>
        </w:tc>
        <w:tc>
          <w:tcPr/>
          <w:p>
            <w:pPr>
              <w:pStyle w:val="Compact"/>
              <w:jc w:val="left"/>
            </w:pPr>
            <w:r>
              <w:t xml:space="preserve">H1, H5</w:t>
            </w:r>
          </w:p>
        </w:tc>
      </w:tr>
      <w:tr>
        <w:tc>
          <w:tcPr/>
          <w:p>
            <w:pPr>
              <w:pStyle w:val="Compact"/>
              <w:jc w:val="left"/>
            </w:pPr>
            <w:r>
              <w:t xml:space="preserve">P7: Capstone đa quốc gia (50 nền kinh tế)</w:t>
            </w:r>
          </w:p>
        </w:tc>
        <w:tc>
          <w:tcPr/>
          <w:p>
            <w:pPr>
              <w:pStyle w:val="Compact"/>
              <w:jc w:val="left"/>
            </w:pPr>
            <w:r>
              <w:t xml:space="preserve">Toàn bộ gradient ICRV</w:t>
            </w:r>
          </w:p>
        </w:tc>
        <w:tc>
          <w:tcPr/>
          <w:p>
            <w:pPr>
              <w:pStyle w:val="Compact"/>
              <w:jc w:val="left"/>
            </w:pPr>
            <w:r>
              <w:t xml:space="preserve">§4.6</w:t>
            </w:r>
          </w:p>
        </w:tc>
        <w:tc>
          <w:tcPr/>
          <w:p>
            <w:pPr>
              <w:pStyle w:val="Compact"/>
              <w:jc w:val="left"/>
            </w:pPr>
            <w:r>
              <w:t xml:space="preserve">H1, H2, H3, H4, H5 (và tương tác tổng hợp ba chiều)</w:t>
            </w:r>
          </w:p>
        </w:tc>
      </w:tr>
      <w:tr>
        <w:tc>
          <w:tcPr/>
          <w:p>
            <w:pPr>
              <w:pStyle w:val="Compact"/>
              <w:jc w:val="left"/>
            </w:pPr>
            <w:r>
              <w:t xml:space="preserve">P8: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Lower-middle transition (Nhóm IV)</w:t>
            </w:r>
          </w:p>
        </w:tc>
        <w:tc>
          <w:tcPr/>
          <w:p>
            <w:pPr>
              <w:pStyle w:val="Compact"/>
              <w:jc w:val="left"/>
            </w:pPr>
            <w:r>
              <w:t xml:space="preserve">§4.8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Advanced đổi mới (Nhóm I)</w:t>
            </w:r>
          </w:p>
        </w:tc>
        <w:tc>
          <w:tcPr/>
          <w:p>
            <w:pPr>
              <w:pStyle w:val="Compact"/>
              <w:jc w:val="left"/>
            </w:pPr>
            <w:r>
              <w:t xml:space="preserve">§4.1.5</w:t>
            </w:r>
          </w:p>
        </w:tc>
        <w:tc>
          <w:tcPr/>
          <w:p>
            <w:pPr>
              <w:pStyle w:val="Compact"/>
              <w:jc w:val="left"/>
            </w:pPr>
            <w:r>
              <w:t xml:space="preserve">H1 (dự đoán biên trên: gần tuyến tính)</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49"/>
    <w:bookmarkEnd w:id="50"/>
    <w:bookmarkStart w:id="51"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văn liệu I–P đã phát triển qua ba giai đoạn, từ tuyến tính dương đến phi tuyến đến tập trung vào các biến điều tiết; các meta-analyses nhất quán cho thấy tác động tổng hợp là dương nhưng nhỏ với I² &gt; 80%, đòi hỏi cách tiếp cận biến điều tiết-centric; và bối cảnh châu Á, đặc biệt là các nền kinh tế frontier và SIDS, đang thiếu đại diện nghiêm trọng trong văn liệu.</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bookmarkEnd w:id="51"/>
    <w:bookmarkEnd w:id="5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2026-06-15T09:43:06Z</dcterms:created>
  <dcterms:modified xsi:type="dcterms:W3CDTF">2026-06-15T09:43:06Z</dcterms:modified>
</cp:coreProperties>
</file>

<file path=docProps/custom.xml><?xml version="1.0" encoding="utf-8"?>
<Properties xmlns="http://schemas.openxmlformats.org/officeDocument/2006/custom-properties" xmlns:vt="http://schemas.openxmlformats.org/officeDocument/2006/docPropsVTypes"/>
</file>