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=.074 (95% CI [.060,.088],</w:t>
      </w:r>
      <w:r>
        <w:t xml:space="preserve"> </w:t>
      </w:r>
      <w:r>
        <w:rPr>
          <w:iCs/>
          <w:i/>
        </w:rPr>
        <w:t xml:space="preserve">p</w:t>
      </w:r>
      <w:r>
        <w:t xml:space="preserve"> </w:t>
      </w:r>
      <w:r>
        <w:t xml:space="preserve">&lt;.001;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=.002) is not robust: drop-Frontier yields</w:t>
      </w:r>
      <w:r>
        <w:t xml:space="preserve"> </w:t>
      </w:r>
      <w:r>
        <w:rPr>
          <w:iCs/>
          <w:i/>
        </w:rPr>
        <w:t xml:space="preserve">Q</w:t>
      </w:r>
      <w:r>
        <w:t xml:space="preserve">_M = 1.49 (</w:t>
      </w:r>
      <w:r>
        <w:rPr>
          <w:iCs/>
          <w:i/>
        </w:rPr>
        <w:t xml:space="preserve">p</w:t>
      </w:r>
      <w:r>
        <w:t xml:space="preserve"> </w:t>
      </w:r>
      <w:r>
        <w:t xml:space="preserve">=.68);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to.035; PET-PEESE yields</w:t>
      </w:r>
      <w:r>
        <w:t xml:space="preserve"> </w:t>
      </w:r>
      <w:r>
        <w:rPr>
          <w:iCs/>
          <w:i/>
        </w:rPr>
        <w:t xml:space="preserve">r</w:t>
      </w:r>
      <w:r>
        <w:t xml:space="preserve"> </w:t>
      </w:r>
      <w:r>
        <w:t xml:space="preserve">=.061; Vevea-Hedges selection model returns</w:t>
      </w:r>
      <w:r>
        <w:t xml:space="preserve"> </w:t>
      </w:r>
      <w:r>
        <w:rPr>
          <w:iCs/>
          <w:i/>
        </w:rPr>
        <w:t xml:space="preserve">r</w:t>
      </w:r>
      <w:r>
        <w:t xml:space="preserve"> </w:t>
      </w:r>
      <w:r>
        <w:t xml:space="preserve">=.077 with model-based selection evidence (LRT</w:t>
      </w:r>
      <w:r>
        <w:t xml:space="preserve"> </w:t>
      </w:r>
      <w:r>
        <w:rPr>
          <w:iCs/>
          <w:i/>
        </w:rPr>
        <w:t xml:space="preserve">p</w:t>
      </w:r>
      <w:r>
        <w:t xml:space="preserve"> </w:t>
      </w:r>
      <w:r>
        <w:t xml:space="preserve">=.002). True effect is best read as interval [.035,.077],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JEL classification:</w:t>
      </w:r>
      <w:r>
        <w:t xml:space="preserve"> </w:t>
      </w:r>
      <w:r>
        <w:t xml:space="preserve">F23 (multinational firms; international business); C83 (survey methods; sampling methods); O33 (technological change: choices and consequences); D22 (firm behaviour: empirical analysis); L25 (firm performance).</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w:t>
      </w:r>
      <w:r>
        <w:t xml:space="preserve"> </w:t>
      </w:r>
      <w:r>
        <w:t xml:space="preserve">“</w:t>
      </w:r>
      <w:r>
        <w:t xml:space="preserve">dynamo analogy</w:t>
      </w:r>
      <w:r>
        <w:t xml:space="preserve">”</w:t>
      </w:r>
      <w:r>
        <w:t xml:space="preserve"> </w:t>
      </w:r>
      <w:r>
        <w:t xml:space="preserve">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=.002) but drop-Frontier</w:t>
      </w:r>
      <w:r>
        <w:t xml:space="preserve"> </w:t>
      </w:r>
      <w:r>
        <w:rPr>
          <w:iCs/>
          <w:i/>
        </w:rPr>
        <w:t xml:space="preserve">Q</w:t>
      </w:r>
      <w:r>
        <w:t xml:space="preserve">_M = 1.49 (</w:t>
      </w:r>
      <w:r>
        <w:rPr>
          <w:iCs/>
          <w:i/>
        </w:rPr>
        <w:t xml:space="preserve">p</w:t>
      </w:r>
      <w:r>
        <w:t xml:space="preserve"> </w:t>
      </w:r>
      <w:r>
        <w:t xml:space="preserve">=.68); H1 fragile, E1a/E1b not confirmed.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&lt;.001; Egger</w:t>
      </w:r>
      <w:r>
        <w:t xml:space="preserve"> </w:t>
      </w:r>
      <w:r>
        <w:rPr>
          <w:iCs/>
          <w:i/>
        </w:rPr>
        <w:t xml:space="preserve">p</w:t>
      </w:r>
      <w:r>
        <w:t xml:space="preserve"> </w:t>
      </w:r>
      <w:r>
        <w:t xml:space="preserve">=.057 borderline, this study frames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5a265616be60724cd853da768753e8fd72994b5"/>
    <w:p>
      <w:pPr>
        <w:pStyle w:val="Heading3"/>
      </w:pPr>
      <w:r>
        <w:t xml:space="preserve">2.2 Capability–Institution Mismatch Theory (CIMT)</w:t>
      </w:r>
    </w:p>
    <w:p>
      <w:pPr>
        <w:pStyle w:val="FirstParagraph"/>
      </w:pPr>
      <w:r>
        <w:t xml:space="preserve">This study proposes</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digital-paradox-lifecycle-dpl"/>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&lt;.05). The test is bounded by the J-curve logic: below ≈ 30 effects per phase, the between-group test is underpowered for moderate moderation (</w:t>
      </w:r>
      <w:r>
        <w:rPr>
          <w:iCs/>
          <w:i/>
        </w:rPr>
        <w:t xml:space="preserve">f</w:t>
      </w:r>
      <w:r>
        <w:t xml:space="preserve">² &lt; 0.10).</w:t>
      </w:r>
    </w:p>
    <w:bookmarkEnd w:id="24"/>
    <w:bookmarkStart w:id="25" w:name="cdai-as-amplifier"/>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publication-bias-as-null-hypothesis"/>
    <w:p>
      <w:pPr>
        <w:pStyle w:val="Heading3"/>
      </w:pPr>
      <w:r>
        <w:t xml:space="preserve">2.5 Publication Bias as Null Hypothesis</w:t>
      </w:r>
    </w:p>
    <w:p>
      <w:pPr>
        <w:pStyle w:val="FirstParagraph"/>
      </w:pPr>
      <w:r>
        <w:t xml:space="preserve">Given the IB literature’s history of selective reporting (Borenstein et al., 2021), this study tests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conceptual-model"/>
    <w:p>
      <w:pPr>
        <w:pStyle w:val="Heading3"/>
      </w:pPr>
      <w:r>
        <w:t xml:space="preserve">2.6 Conceptual Model</w:t>
      </w:r>
    </w:p>
    <w:p>
      <w:pPr>
        <w:pStyle w:val="CaptionedFigure"/>
      </w:pPr>
      <w:r>
        <w:drawing>
          <wp:inline>
            <wp:extent cx="5334000" cy="3439740"/>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=.68); cDAI tier (H3;</w:t>
      </w:r>
      <w:r>
        <w:t xml:space="preserve"> </w:t>
      </w:r>
      <w:r>
        <w:rPr>
          <w:iCs/>
          <w:i/>
        </w:rPr>
        <w:t xml:space="preserve">Q</w:t>
      </w:r>
      <w:r>
        <w:t xml:space="preserve">_M = 1.23,</w:t>
      </w:r>
      <w:r>
        <w:t xml:space="preserve"> </w:t>
      </w:r>
      <w:r>
        <w:rPr>
          <w:iCs/>
          <w:i/>
        </w:rPr>
        <w:t xml:space="preserve">p</w:t>
      </w:r>
      <w:r>
        <w:t xml:space="preserve"> </w:t>
      </w:r>
      <w:r>
        <w:t xml:space="preserve">=.541, n.s.); DPL phase (H2;</w:t>
      </w:r>
      <w:r>
        <w:t xml:space="preserve"> </w:t>
      </w:r>
      <w:r>
        <w:rPr>
          <w:iCs/>
          <w:i/>
        </w:rPr>
        <w:t xml:space="preserve">Q</w:t>
      </w:r>
      <w:r>
        <w:t xml:space="preserve">_M = 0.56,</w:t>
      </w:r>
      <w:r>
        <w:t xml:space="preserve"> </w:t>
      </w:r>
      <w:r>
        <w:rPr>
          <w:iCs/>
          <w:i/>
        </w:rPr>
        <w:t xml:space="preserve">p</w:t>
      </w:r>
      <w:r>
        <w:t xml:space="preserve"> </w:t>
      </w:r>
      <w:r>
        <w:t xml:space="preserve">=.755,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=.057), Begg’s</w:t>
      </w:r>
      <w:r>
        <w:t xml:space="preserve"> </w:t>
      </w:r>
      <m:oMath>
        <m:r>
          <m:t>τ</m:t>
        </m:r>
      </m:oMath>
      <w:r>
        <w:t xml:space="preserve"> </w:t>
      </w:r>
      <w:r>
        <w:t xml:space="preserve">= −0.134 (</w:t>
      </w:r>
      <w:r>
        <w:rPr>
          <w:iCs/>
          <w:i/>
        </w:rPr>
        <w:t xml:space="preserve">p</w:t>
      </w:r>
      <w:r>
        <w:t xml:space="preserve"> </w:t>
      </w:r>
      <w:r>
        <w:t xml:space="preserve">=.0007);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Section 4.3) and the construct-validity restriction of cDAI moderation to the Span+Follow subsample (reported in Section 4.4) were added in response to data features identified during analysis; the analysis reports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2"/>
    <w:bookmarkStart w:id="36"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Section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795 duplicates removed; 1,397 L1 excluded; 782 L2 screened over 8 rounds, yielding 785 Y / 1,694 N / 3 UNSURE; 741 of 785 Y carry DOIs, 547 await full-text extraction. This study discloses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CaptionedFigure"/>
      </w:pPr>
      <w:r>
        <w:drawing>
          <wp:inline>
            <wp:extent cx="5334000" cy="6743997"/>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334000" cy="6743997"/>
                    </a:xfrm>
                    <a:prstGeom prst="rect">
                      <a:avLst/>
                    </a:prstGeom>
                    <a:noFill/>
                    <a:ln w="9525">
                      <a:noFill/>
                      <a:headEnd/>
                      <a:tailEnd/>
                    </a:ln>
                  </pic:spPr>
                </pic:pic>
              </a:graphicData>
            </a:graphic>
          </wp:inline>
        </w:drawing>
      </w:r>
    </w:p>
    <w:p>
      <w:pPr>
        <w:pStyle w:val="ImageCaption"/>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6"/>
    <w:bookmarkStart w:id="40" w:name="data-extraction-and-quality-assurance"/>
    <w:p>
      <w:pPr>
        <w:pStyle w:val="Heading3"/>
      </w:pPr>
      <w:r>
        <w:t xml:space="preserve">3.3 Data Extraction and Quality Assurance</w:t>
      </w:r>
    </w:p>
    <w:bookmarkStart w:id="37"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7"/>
    <w:bookmarkStart w:id="38"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8"/>
    <w:bookmarkStart w:id="39"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9"/>
    <w:bookmarkEnd w:id="40"/>
    <w:bookmarkStart w:id="41"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41"/>
    <w:bookmarkStart w:id="42"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Section 3.7). Full model equations and estimator rationale are provided as</w:t>
      </w:r>
      <w:r>
        <w:t xml:space="preserve"> </w:t>
      </w:r>
      <w:r>
        <w:rPr>
          <w:bCs/>
          <w:b/>
        </w:rPr>
        <w:t xml:space="preserve">Supp-M</w:t>
      </w:r>
      <w:r>
        <w:t xml:space="preserve">.</w:t>
      </w:r>
    </w:p>
    <w:bookmarkEnd w:id="42"/>
    <w:bookmarkStart w:id="43" w:name="publication-bias-assessment"/>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at.025 and.500)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the analysis interprets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3"/>
    <w:bookmarkStart w:id="44" w:name="robustness-checks"/>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4"/>
    <w:bookmarkEnd w:id="45"/>
    <w:bookmarkStart w:id="68" w:name="results"/>
    <w:p>
      <w:pPr>
        <w:pStyle w:val="Heading2"/>
      </w:pPr>
      <w:r>
        <w:t xml:space="preserve">4. Results</w:t>
      </w:r>
    </w:p>
    <w:bookmarkStart w:id="49"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CaptionedFigure"/>
      </w:pPr>
      <w:r>
        <w:drawing>
          <wp:inline>
            <wp:extent cx="5334000" cy="2361481"/>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334000" cy="2361481"/>
                    </a:xfrm>
                    <a:prstGeom prst="rect">
                      <a:avLst/>
                    </a:prstGeom>
                    <a:noFill/>
                    <a:ln w="9525">
                      <a:noFill/>
                      <a:headEnd/>
                      <a:tailEnd/>
                    </a:ln>
                  </pic:spPr>
                </pic:pic>
              </a:graphicData>
            </a:graphic>
          </wp:inline>
        </w:drawing>
      </w:r>
    </w:p>
    <w:p>
      <w:pPr>
        <w:pStyle w:val="ImageCaption"/>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9"/>
    <w:bookmarkStart w:id="50"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0"/>
    <w:bookmarkStart w:id="54" w:name="icrv-regime-moderation-h1"/>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334000" cy="3180366"/>
            <wp:effectExtent b="0" l="0" r="0" t="0"/>
            <wp:docPr descr="Figure 2: ICRV regime forest plot, subgroup pooled effects with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334000" cy="3180366"/>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4"/>
    <w:bookmarkStart w:id="55"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This study retains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&lt;.001) but pairwise contrasts are small and non-significant (</w:t>
      </w:r>
      <w:r>
        <w:rPr>
          <w:iCs/>
          <w:i/>
        </w:rPr>
        <w:t xml:space="preserve">b</w:t>
      </w:r>
      <w:r>
        <w:t xml:space="preserve">[Medium−Low] = −0.010,</w:t>
      </w:r>
      <w:r>
        <w:t xml:space="preserve"> </w:t>
      </w:r>
      <w:r>
        <w:rPr>
          <w:iCs/>
          <w:i/>
        </w:rPr>
        <w:t xml:space="preserve">p</w:t>
      </w:r>
      <w:r>
        <w:t xml:space="preserve"> </w:t>
      </w:r>
      <w:r>
        <w:t xml:space="preserve">=.489;</w:t>
      </w:r>
      <w:r>
        <w:t xml:space="preserve"> </w:t>
      </w:r>
      <w:r>
        <w:rPr>
          <w:iCs/>
          <w:i/>
        </w:rPr>
        <w:t xml:space="preserve">b</w:t>
      </w:r>
      <w:r>
        <w:t xml:space="preserve">[High−Low] = +0.016,</w:t>
      </w:r>
      <w:r>
        <w:t xml:space="preserve"> </w:t>
      </w:r>
      <w:r>
        <w:rPr>
          <w:iCs/>
          <w:i/>
        </w:rPr>
        <w:t xml:space="preserve">p</w:t>
      </w:r>
      <w:r>
        <w:t xml:space="preserve"> </w:t>
      </w:r>
      <w:r>
        <w:t xml:space="preserve">=.469).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5"/>
    <w:bookmarkStart w:id="59"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CaptionedFigure"/>
      </w:pPr>
      <w:r>
        <w:drawing>
          <wp:inline>
            <wp:extent cx="5334000" cy="4083020"/>
            <wp:effectExtent b="0" l="0" r="0" t="0"/>
            <wp:docPr descr="Figure 3: DPL phase moderation, pooled I-P effect by digital adoption epoch"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334000" cy="4083020"/>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59"/>
    <w:bookmarkStart w:id="63"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=.057), marginal and not significant at</w:t>
      </w:r>
      <w:r>
        <w:t xml:space="preserve"> </w:t>
      </w:r>
      <m:oMath>
        <m:r>
          <m:t>α</m:t>
        </m:r>
      </m:oMath>
      <w:r>
        <w:t xml:space="preserve"> </w:t>
      </w:r>
      <w:r>
        <w:t xml:space="preserve">=.05;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at.025 and.500):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=.002), confirming model-based evidence of publication selection. The estimated selection weights are</w:t>
      </w:r>
      <w:r>
        <w:t xml:space="preserve"> </w:t>
      </w:r>
      <w:r>
        <w:rPr>
          <w:iCs/>
          <w:i/>
        </w:rPr>
        <w:t xml:space="preserve">w</w:t>
      </w:r>
      <w:r>
        <w:t xml:space="preserve">[(0,.025]] = 1.000 (reference: one-tailed significant positives) and</w:t>
      </w:r>
      <w:r>
        <w:t xml:space="preserve"> </w:t>
      </w:r>
      <w:r>
        <w:rPr>
          <w:iCs/>
          <w:i/>
        </w:rPr>
        <w:t xml:space="preserve">w</w:t>
      </w:r>
      <w:r>
        <w:t xml:space="preserve">[(.025,.500]]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&lt;.001; Vevea-Hedges LRT</w:t>
      </w:r>
      <w:r>
        <w:t xml:space="preserve"> </w:t>
      </w:r>
      <w:r>
        <w:rPr>
          <w:iCs/>
          <w:i/>
        </w:rPr>
        <w:t xml:space="preserve">p</w:t>
      </w:r>
      <w:r>
        <w:t xml:space="preserve"> </w:t>
      </w:r>
      <w:r>
        <w:t xml:space="preserve">=.002) and that the true population effect lies in the interval bounded by these estimates,</w:t>
      </w:r>
      <w:r>
        <w:t xml:space="preserve"> </w:t>
      </w:r>
      <w:r>
        <w:rPr>
          <w:iCs/>
          <w:i/>
        </w:rPr>
        <w:t xml:space="preserve">r</w:t>
      </w:r>
      <w:r>
        <w:t xml:space="preserve"> </w:t>
      </w:r>
      <w:r>
        <w:t xml:space="preserve">between approximately 0.035 and 0.077,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CaptionedFigure"/>
      </w:pPr>
      <w:r>
        <w:drawing>
          <wp:inline>
            <wp:extent cx="5334000" cy="4266240"/>
            <wp:effectExtent b="0" l="0" r="0" t="0"/>
            <wp:docPr descr="Figure 4: Funnel plot with trim-and-fill imputed studies"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334000" cy="4266240"/>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3"/>
    <w:bookmarkStart w:id="67" w:name="robustness"/>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CaptionedFigure"/>
      </w:pPr>
      <w:r>
        <w:drawing>
          <wp:inline>
            <wp:extent cx="5334000" cy="2344725"/>
            <wp:effectExtent b="0" l="0" r="0" t="0"/>
            <wp:docPr descr="Figure 5: Leave-one-out sensitivity, pooled r̄ range across leave-one-out iterations"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334000" cy="2344725"/>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7"/>
    <w:bookmarkEnd w:id="68"/>
    <w:bookmarkStart w:id="73" w:name="discussion"/>
    <w:p>
      <w:pPr>
        <w:pStyle w:val="Heading2"/>
      </w:pPr>
      <w:r>
        <w:t xml:space="preserve">5. Discussion</w:t>
      </w:r>
    </w:p>
    <w:bookmarkStart w:id="69"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IntechOpen) on 380 Indian WBES firms documents a negative aggregate DOI coefficient with manager experience and female top-management leadership as positive moderating factors, a pattern consistent with the firm-level-compensating-resources interpretation discussed in Section 5.2; this study notes this overlap to flag, rather than conceal, the link to the authors’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9"/>
    <w:bookmarkStart w:id="70" w:name="theoretical-contributions"/>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the present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=.68); cDAI</w:t>
      </w:r>
      <w:r>
        <w:t xml:space="preserve"> </w:t>
      </w:r>
      <w:r>
        <w:rPr>
          <w:iCs/>
          <w:i/>
        </w:rPr>
        <w:t xml:space="preserve">Q</w:t>
      </w:r>
      <w:r>
        <w:t xml:space="preserve">_M = 1.23 (</w:t>
      </w:r>
      <w:r>
        <w:rPr>
          <w:iCs/>
          <w:i/>
        </w:rPr>
        <w:t xml:space="preserve">p</w:t>
      </w:r>
      <w:r>
        <w:t xml:space="preserve"> </w:t>
      </w:r>
      <w:r>
        <w:t xml:space="preserve">=.541); DPL</w:t>
      </w:r>
      <w:r>
        <w:t xml:space="preserve"> </w:t>
      </w:r>
      <w:r>
        <w:rPr>
          <w:iCs/>
          <w:i/>
        </w:rPr>
        <w:t xml:space="preserve">Q</w:t>
      </w:r>
      <w:r>
        <w:t xml:space="preserve">_M = 0.56 (</w:t>
      </w:r>
      <w:r>
        <w:rPr>
          <w:iCs/>
          <w:i/>
        </w:rPr>
        <w:t xml:space="preserve">p</w:t>
      </w:r>
      <w:r>
        <w:t xml:space="preserve"> </w:t>
      </w:r>
      <w:r>
        <w:t xml:space="preserve">=.755).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that macro digital context is inert without firm-level digital capability to translate it,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&lt;.001) and Egger’s</w:t>
      </w:r>
      <w:r>
        <w:t xml:space="preserve"> </w:t>
      </w:r>
      <w:r>
        <w:rPr>
          <w:iCs/>
          <w:i/>
        </w:rPr>
        <w:t xml:space="preserve">p</w:t>
      </w:r>
      <w:r>
        <w:t xml:space="preserve"> </w:t>
      </w:r>
      <w:r>
        <w:t xml:space="preserve">=.057 is borderline. Because trim-and-fill is known to over-correct under high heterogeneity (</w:t>
      </w:r>
      <w:r>
        <w:rPr>
          <w:iCs/>
          <w:i/>
        </w:rPr>
        <w:t xml:space="preserve">I</w:t>
      </w:r>
      <w:r>
        <w:t xml:space="preserve">² = 87.8% here), the analysis interprets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≈.035, below Cohen’s small-effect floor of.10)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≈.035 rather than</w:t>
      </w:r>
      <w:r>
        <w:t xml:space="preserve"> </w:t>
      </w:r>
      <w:r>
        <w:rPr>
          <w:iCs/>
          <w:i/>
        </w:rPr>
        <w:t xml:space="preserve">r</w:t>
      </w:r>
      <w:r>
        <w:t xml:space="preserve"> </w:t>
      </w:r>
      <w:r>
        <w:t xml:space="preserve">≈.07–.10,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This paper intends to register the paradox; resolving it is a research-programme commitment beyond a single article.</w:t>
      </w:r>
    </w:p>
    <w:bookmarkEnd w:id="70"/>
    <w:bookmarkStart w:id="71" w:name="managerial-and-policy-implications"/>
    <w:p>
      <w:pPr>
        <w:pStyle w:val="Heading3"/>
      </w:pPr>
      <w:r>
        <w:t xml:space="preserve">5.3 Managerial and Policy Implications</w:t>
      </w:r>
    </w:p>
    <w:p>
      <w:pPr>
        <w:pStyle w:val="FirstParagraph"/>
      </w:pPr>
      <w:r>
        <w:t xml:space="preserve">Three implications follow within the constraints set by Section 5.2’s paradox. Because the bias-corrected effect (</w:t>
      </w:r>
      <w:r>
        <w:rPr>
          <w:iCs/>
          <w:i/>
        </w:rPr>
        <w:t xml:space="preserve">r</w:t>
      </w:r>
      <w:r>
        <w:t xml:space="preserve"> </w:t>
      </w:r>
      <w:r>
        <w:t xml:space="preserve">≈.035) sits below Cohen’s small-effect floor and the moderators in this analysis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1"/>
    <w:bookmarkStart w:id="7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2"/>
    <w:bookmarkEnd w:id="73"/>
    <w:bookmarkStart w:id="74" w:name="conclusion"/>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=.68). The directional gradient (E1a/E1b) and the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Section 5.4 for the full inferential-bound argument).</w:t>
      </w:r>
    </w:p>
    <w:p>
      <w:r>
        <w:pict>
          <v:rect style="width:0;height:1.5pt" o:hralign="center" o:hrstd="t" o:hr="t"/>
        </w:pict>
      </w:r>
    </w:p>
    <w:bookmarkEnd w:id="74"/>
    <w:bookmarkStart w:id="75" w:name="acknowledgements"/>
    <w:p>
      <w:pPr>
        <w:pStyle w:val="Heading2"/>
      </w:pPr>
      <w:r>
        <w:t xml:space="preserve">Acknowledgements</w:t>
      </w:r>
    </w:p>
    <w:p>
      <w:pPr>
        <w:pStyle w:val="FirstParagraph"/>
      </w:pPr>
      <w:r>
        <w:t xml:space="preserve">We thank the authors of the 238 primary studies whose effect sizes are aggregated here; without their original data collection this meta-analysis would not be possible. We also acknowledge methodological guidance from the published works of Borenstein et al. (2021) and Vevea &amp; Woods (2005). For primary studies drawing on World Bank Enterprise Surveys, we thank the Enterprise Analysis Unit of the Development Economics Global Indicators Group of the World Bank for the underlying data infrastructure that enabled multi-country effect-size extraction.</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six bias-test methods, formatting of the reference list, and assembly of replication-package documentation. All conceptual framing, hypothesis development, meta-analytic model specification, results interpretation, and final wording were authored by the human authors, who take full responsibility for the content of the publication.</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7"/>
    <w:bookmarkStart w:id="78" w:name="competing-interests"/>
    <w:p>
      <w:pPr>
        <w:pStyle w:val="Heading2"/>
      </w:pPr>
      <w:r>
        <w:t xml:space="preserve">Competing Interests</w:t>
      </w:r>
    </w:p>
    <w:p>
      <w:pPr>
        <w:pStyle w:val="FirstParagraph"/>
      </w:pPr>
      <w:r>
        <w:t xml:space="preserve">The authors declare no conflict of interest.</w:t>
      </w:r>
    </w:p>
    <w:bookmarkEnd w:id="78"/>
    <w:bookmarkStart w:id="79"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9"/>
    <w:bookmarkStart w:id="8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Hunter, J. E., &amp; Schmidt, F. L. (2015).</w:t>
      </w:r>
      <w:r>
        <w:t xml:space="preserve"> </w:t>
      </w:r>
      <w:r>
        <w:rPr>
          <w:iCs/>
          <w:i/>
        </w:rPr>
        <w:t xml:space="preserve">Methods of meta-analysis: Correcting error and bias in research findings</w:t>
      </w:r>
      <w:r>
        <w:t xml:space="preserve"> </w:t>
      </w:r>
      <w:r>
        <w:t xml:space="preserve">(3rd ed.). Sage Publications.</w:t>
      </w:r>
    </w:p>
    <w:p>
      <w:pPr>
        <w:pStyle w:val="BodyText"/>
      </w:pPr>
      <w:r>
        <w:t xml:space="preserve">Geyskens, I., Krishnan, R., Steenkamp, J.-B. E. M., &amp; Cunha, P. V. (2009). A review of survey research on inter-organizational outcomes in international business.</w:t>
      </w:r>
      <w:r>
        <w:t xml:space="preserve"> </w:t>
      </w:r>
      <w:r>
        <w:rPr>
          <w:iCs/>
          <w:i/>
        </w:rPr>
        <w:t xml:space="preserve">Journal of Management, 35</w:t>
      </w:r>
      <w:r>
        <w:t xml:space="preserve">(2), 393–419. https://doi.org/10.1177/0149206308328488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 https://doi.org/10.1002/jrsm.5</w:t>
      </w:r>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 https://doi.org/10.3102/10769986021004299</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 https://doi.org/10.1007/s11121-021-01246-3</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 https://doi.org/10.1002/sim.1461</w:t>
      </w:r>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 https://doi.org/10.1037/met0000011</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 https://doi.org/10.1007/BF02294384</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0"/>
    <w:bookmarkStart w:id="8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(https://osf.io/z37kn).</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(Section 5.2), construct-validity restriction of cDAI (Section 4.4), drop-Frontier-led ICRV framing (Section 4.3), and a fifth disclosed pre-registration deviation (Section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(https://osf.io/z37kn).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2026-06-02T19:44:49Z</dcterms:created>
  <dcterms:modified xsi:type="dcterms:W3CDTF">2026-06-02T19:44:49Z</dcterms:modified>
</cp:coreProperties>
</file>

<file path=docProps/custom.xml><?xml version="1.0" encoding="utf-8"?>
<Properties xmlns="http://schemas.openxmlformats.org/officeDocument/2006/custom-properties" xmlns:vt="http://schemas.openxmlformats.org/officeDocument/2006/docPropsVTypes"/>
</file>