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 nhóm II/VI gắn cờ coverage (2/6, 2/8) với giá trị bản khóa 7-Pacific lưu trong ghi chú.</w:t>
      </w:r>
      <w:r>
        <w:t xml:space="preserve"> </w:t>
      </w:r>
      <w:r>
        <w:rPr>
          <w:bCs/>
          <w:b/>
        </w:rPr>
        <w:t xml:space="preserve">Các bảng còn lại</w:t>
      </w:r>
      <w:r>
        <w:t xml:space="preserve"> </w:t>
      </w:r>
      <w:r>
        <w:t xml:space="preserve">(2.3.3.1 phân tán năng suất, 2.3.6.x temporal/tham nhũng chi tiết, 2.3.7.1 tiểu cảnh, 2.3.8.x tương quan) vẫn theo bản khóa mô tả (101.185) chờ mở rộng pipeline. Phạm vi chính (40 nước) và Oman ở Nhóm II được đồng bộ ở đợt re-lock headline.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nhóm II/VI gắn cờ coverage (2/6, 2/8 — chờ raw GCC + Pacific). Các bảng sd năng suất và tương quan vẫn theo bản khóa mô tả (101.185).</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9,4</w:t>
            </w:r>
          </w:p>
        </w:tc>
        <w:tc>
          <w:tcPr/>
          <w:p>
            <w:pPr>
              <w:pStyle w:val="Compact"/>
              <w:jc w:val="left"/>
            </w:pPr>
            <w:r>
              <w:t xml:space="preserve">23,1</w:t>
            </w:r>
          </w:p>
        </w:tc>
        <w:tc>
          <w:tcPr/>
          <w:p>
            <w:pPr>
              <w:pStyle w:val="Compact"/>
              <w:jc w:val="left"/>
            </w:pPr>
            <w:r>
              <w:t xml:space="preserve">4,8</w:t>
            </w:r>
          </w:p>
        </w:tc>
      </w:tr>
      <w:tr>
        <w:tc>
          <w:tcPr/>
          <w:p>
            <w:pPr>
              <w:pStyle w:val="Compact"/>
              <w:jc w:val="left"/>
            </w:pPr>
            <w:r>
              <w:t xml:space="preserve">III — Trung bình cao</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4,3</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10,4</w:t>
            </w:r>
          </w:p>
        </w:tc>
        <w:tc>
          <w:tcPr/>
          <w:p>
            <w:pPr>
              <w:pStyle w:val="Compact"/>
              <w:jc w:val="left"/>
            </w:pPr>
            <w:r>
              <w:t xml:space="preserve">17,4</w:t>
            </w:r>
          </w:p>
        </w:tc>
        <w:tc>
          <w:tcPr/>
          <w:p>
            <w:pPr>
              <w:pStyle w:val="Compact"/>
              <w:jc w:val="left"/>
            </w:pPr>
            <w:r>
              <w:t xml:space="preserve">4,8</w:t>
            </w:r>
          </w:p>
        </w:tc>
      </w:tr>
      <w:tr>
        <w:tc>
          <w:tcPr/>
          <w:p>
            <w:pPr>
              <w:pStyle w:val="Compact"/>
              <w:jc w:val="left"/>
            </w:pPr>
            <w:r>
              <w:t xml:space="preserve">VI — SIDS²</w:t>
            </w:r>
          </w:p>
        </w:tc>
        <w:tc>
          <w:tcPr/>
          <w:p>
            <w:pPr>
              <w:pStyle w:val="Compact"/>
              <w:jc w:val="left"/>
            </w:pPr>
            <w:r>
              <w:t xml:space="preserve">6,9</w:t>
            </w:r>
          </w:p>
        </w:tc>
        <w:tc>
          <w:tcPr/>
          <w:p>
            <w:pPr>
              <w:pStyle w:val="Compact"/>
              <w:jc w:val="left"/>
            </w:pPr>
            <w:r>
              <w:t xml:space="preserve">10,4</w:t>
            </w:r>
          </w:p>
        </w:tc>
        <w:tc>
          <w:tcPr/>
          <w:p>
            <w:pPr>
              <w:pStyle w:val="Compact"/>
              <w:jc w:val="left"/>
            </w:pPr>
            <w:r>
              <w:t xml:space="preserve">4,2</w:t>
            </w:r>
          </w:p>
        </w:tc>
      </w:tr>
    </w:tbl>
    <w:p>
      <w:pPr>
        <w:pStyle w:val="BodyText"/>
      </w:pPr>
      <w:r>
        <w:rPr>
          <w:iCs/>
          <w:i/>
        </w:rPr>
        <w:t xml:space="preserve">Nguồn: tái tính từ raw WBES trên khung 49 nền (</w:t>
      </w:r>
      <w:r>
        <w:rPr>
          <w:rStyle w:val="VerbatimChar"/>
          <w:iCs/>
          <w:i/>
        </w:rPr>
        <w:t xml:space="preserve">scripts/cd1_descriptives_pipeline.py</w:t>
      </w:r>
      <w:r>
        <w:rPr>
          <w:iCs/>
          <w:i/>
        </w:rPr>
        <w:t xml:space="preserve">). ¹Nhóm II coverage raw 2/6 nền (Bahrain, Brunei) — kiểm chứng bằng master 49-nền: FSTS 3,5%, xuất khẩu 11,1%. ²Nhóm VI coverage raw 2/8 (Timor-Leste, Vanuatu) — master 49-nền (đủ 8 nền, 1.885 DN): FSTS 6,2%, xuất khẩu 13,4%;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53,9</w:t>
            </w:r>
          </w:p>
        </w:tc>
        <w:tc>
          <w:tcPr/>
          <w:p>
            <w:pPr>
              <w:pStyle w:val="Compact"/>
              <w:jc w:val="left"/>
            </w:pPr>
            <w:r>
              <w:t xml:space="preserve">33,6</w:t>
            </w:r>
          </w:p>
        </w:tc>
        <w:tc>
          <w:tcPr/>
          <w:p>
            <w:pPr>
              <w:pStyle w:val="Compact"/>
              <w:jc w:val="left"/>
            </w:pPr>
            <w:r>
              <w:t xml:space="preserve">22,6</w:t>
            </w:r>
          </w:p>
        </w:tc>
        <w:tc>
          <w:tcPr/>
          <w:p>
            <w:pPr>
              <w:pStyle w:val="Compact"/>
              <w:jc w:val="left"/>
            </w:pPr>
            <w:r>
              <w:t xml:space="preserve">42,5</w:t>
            </w:r>
          </w:p>
        </w:tc>
        <w:tc>
          <w:tcPr/>
          <w:p>
            <w:pPr>
              <w:pStyle w:val="Compact"/>
              <w:jc w:val="left"/>
            </w:pPr>
            <w:r>
              <w:t xml:space="preserve">83,3</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35,9</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23,7</w:t>
            </w:r>
          </w:p>
        </w:tc>
        <w:tc>
          <w:tcPr/>
          <w:p>
            <w:pPr>
              <w:pStyle w:val="Compact"/>
              <w:jc w:val="left"/>
            </w:pPr>
            <w:r>
              <w:t xml:space="preserve">16,2</w:t>
            </w:r>
          </w:p>
        </w:tc>
        <w:tc>
          <w:tcPr/>
          <w:p>
            <w:pPr>
              <w:pStyle w:val="Compact"/>
              <w:jc w:val="left"/>
            </w:pPr>
            <w:r>
              <w:t xml:space="preserve">15,8</w:t>
            </w:r>
          </w:p>
        </w:tc>
        <w:tc>
          <w:tcPr/>
          <w:p>
            <w:pPr>
              <w:pStyle w:val="Compact"/>
              <w:jc w:val="left"/>
            </w:pPr>
            <w:r>
              <w:t xml:space="preserve">11,9</w:t>
            </w:r>
          </w:p>
        </w:tc>
        <w:tc>
          <w:tcPr/>
          <w:p>
            <w:pPr>
              <w:pStyle w:val="Compact"/>
              <w:jc w:val="left"/>
            </w:pPr>
            <w:r>
              <w:t xml:space="preserve">39,1</w:t>
            </w:r>
          </w:p>
        </w:tc>
      </w:tr>
      <w:tr>
        <w:tc>
          <w:tcPr/>
          <w:p>
            <w:pPr>
              <w:pStyle w:val="Compact"/>
              <w:jc w:val="left"/>
            </w:pPr>
            <w:r>
              <w:t xml:space="preserve">VI — SIDS²</w:t>
            </w:r>
          </w:p>
        </w:tc>
        <w:tc>
          <w:tcPr/>
          <w:p>
            <w:pPr>
              <w:pStyle w:val="Compact"/>
              <w:jc w:val="left"/>
            </w:pPr>
            <w:r>
              <w:t xml:space="preserve">20,6</w:t>
            </w:r>
          </w:p>
        </w:tc>
        <w:tc>
          <w:tcPr/>
          <w:p>
            <w:pPr>
              <w:pStyle w:val="Compact"/>
              <w:jc w:val="left"/>
            </w:pPr>
            <w:r>
              <w:t xml:space="preserve">15,0</w:t>
            </w:r>
          </w:p>
        </w:tc>
        <w:tc>
          <w:tcPr/>
          <w:p>
            <w:pPr>
              <w:pStyle w:val="Compact"/>
              <w:jc w:val="left"/>
            </w:pPr>
            <w:r>
              <w:rPr>
                <w:bCs/>
                <w:b/>
              </w:rPr>
              <w:t xml:space="preserve">5,7</w:t>
            </w:r>
          </w:p>
        </w:tc>
        <w:tc>
          <w:tcPr/>
          <w:p>
            <w:pPr>
              <w:pStyle w:val="Compact"/>
              <w:jc w:val="left"/>
            </w:pPr>
            <w:r>
              <w:rPr>
                <w:bCs/>
                <w:b/>
              </w:rPr>
              <w:t xml:space="preserve">6,6</w:t>
            </w:r>
          </w:p>
        </w:tc>
        <w:tc>
          <w:tcPr/>
          <w:p>
            <w:pPr>
              <w:pStyle w:val="Compact"/>
              <w:jc w:val="left"/>
            </w:pPr>
            <w:r>
              <w:rPr>
                <w:bCs/>
                <w:b/>
              </w:rPr>
              <w:t xml:space="preserve">28,9</w:t>
            </w:r>
          </w:p>
        </w:tc>
      </w:tr>
    </w:tbl>
    <w:p>
      <w:pPr>
        <w:pStyle w:val="BodyText"/>
      </w:pPr>
      <w:r>
        <w:rPr>
          <w:iCs/>
          <w:i/>
        </w:rPr>
        <w:t xml:space="preserve">Nguồn: tái tính từ raw WBES, khung 49 nền (h1/h5/h8/b8/c22b;</w:t>
      </w:r>
      <w:r>
        <w:rPr>
          <w:iCs/>
          <w:i/>
        </w:rPr>
        <w:t xml:space="preserve"> </w:t>
      </w:r>
      <w:r>
        <w:rPr>
          <w:iCs/>
          <w:i/>
        </w:rPr>
        <w:t xml:space="preserve">“</w:t>
      </w:r>
      <w:r>
        <w:rPr>
          <w:iCs/>
          <w:i/>
        </w:rPr>
        <w:t xml:space="preserve">Quy trình mới</w:t>
      </w:r>
      <w:r>
        <w:rPr>
          <w:iCs/>
          <w:i/>
        </w:rPr>
        <w:t xml:space="preserve">”</w:t>
      </w:r>
      <w:r>
        <w:rPr>
          <w:iCs/>
          <w:i/>
        </w:rPr>
        <w:t xml:space="preserve"> </w:t>
      </w:r>
      <w:r>
        <w:rPr>
          <w:iCs/>
          <w:i/>
        </w:rPr>
        <w:t xml:space="preserve">theo định nghĩa h5 chuẩn — hẹp hơn bản khóa cũ). ¹Nhóm II raw 2/6 nền — innovation cao bất thường là artifact coverage (Bahrain+Brunei), không đại diện GCC; master 49-nền (đủ 6 nền GCC): website 49,7%. ²Nhóm VI raw 2/8 nền — master 49-nền (đủ 8 nền): website 45,6%; bản khóa mô tả 7-Pacific trước đây ghi nhận sản phẩm mới 41,5% và website 58,9% (pattern</w:t>
      </w:r>
      <w:r>
        <w:rPr>
          <w:iCs/>
          <w:i/>
        </w:rPr>
        <w:t xml:space="preserve"> </w:t>
      </w:r>
      <w:r>
        <w:rPr>
          <w:iCs/>
          <w:i/>
        </w:rPr>
        <w:t xml:space="preserve">“</w:t>
      </w:r>
      <w:r>
        <w:rPr>
          <w:iCs/>
          <w:i/>
        </w:rPr>
        <w:t xml:space="preserve">thích nghi và nhảy vọt số</w:t>
      </w:r>
      <w:r>
        <w:rPr>
          <w:iCs/>
          <w:i/>
        </w:rPr>
        <w:t xml:space="preserve">”</w:t>
      </w:r>
      <w:r>
        <w:rPr>
          <w:iCs/>
          <w:i/>
        </w:rPr>
        <w:t xml:space="preserve">) — cần đủ raw 8 nền để phân xử.</w:t>
      </w:r>
    </w:p>
    <w:p>
      <w:pPr>
        <w:pStyle w:val="BodyText"/>
      </w:pPr>
      <w:r>
        <w:t xml:space="preserve">Theo bản khóa mô tả 7-Pacific, SIDS thể hiện pattern</w:t>
      </w:r>
      <w:r>
        <w:t xml:space="preserve"> </w:t>
      </w:r>
      <w:r>
        <w:rPr>
          <w:bCs/>
          <w:b/>
        </w:rPr>
        <w:t xml:space="preserve">thích nghi và nhảy vọt số</w:t>
      </w:r>
      <w:r>
        <w:t xml:space="preserve"> </w:t>
      </w:r>
      <w:r>
        <w:t xml:space="preserve">đáng chú ý: tỷ lệ đổi mới sản phẩm cao (41,5%) phản ánh đổi mới bằng nguồn lực hạn chế — sáng tạo không chính thức để bù đắp cho thiếu hụt nguồn lực; website 58,9% vượt nhóm Đang nổi dù GNI thấp hơn đáng kể (pipeline raw hiện mới phủ 2/8 nền Nhóm VI nên chưa phân xử được pattern này — xem ghi chú Bảng 2.3.4.1). Gradient năng lực theo pipeline 49-nền rất rõ: R&amp;D giảm từ 20,5% (Nhóm I) xuống 5,7% (Nhóm VI); ISO 35,0%→6,6%; website 61,7%→28,9%.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78,0</w:t>
            </w:r>
          </w:p>
        </w:tc>
        <w:tc>
          <w:tcPr/>
          <w:p>
            <w:pPr>
              <w:pStyle w:val="Compact"/>
              <w:jc w:val="left"/>
            </w:pPr>
            <w:r>
              <w:t xml:space="preserve">23,1</w:t>
            </w:r>
          </w:p>
        </w:tc>
        <w:tc>
          <w:tcPr/>
          <w:p>
            <w:pPr>
              <w:pStyle w:val="Compact"/>
              <w:jc w:val="left"/>
            </w:pPr>
            <w:r>
              <w:t xml:space="preserve">23,2</w:t>
            </w:r>
          </w:p>
        </w:tc>
      </w:tr>
      <w:tr>
        <w:tc>
          <w:tcPr/>
          <w:p>
            <w:pPr>
              <w:pStyle w:val="Compact"/>
              <w:jc w:val="left"/>
            </w:pPr>
            <w:r>
              <w:t xml:space="preserve">III — Trung bình cao</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86,2</w:t>
            </w:r>
          </w:p>
        </w:tc>
        <w:tc>
          <w:tcPr/>
          <w:p>
            <w:pPr>
              <w:pStyle w:val="Compact"/>
              <w:jc w:val="left"/>
            </w:pPr>
            <w:r>
              <w:t xml:space="preserve">17,4</w:t>
            </w:r>
          </w:p>
        </w:tc>
        <w:tc>
          <w:tcPr/>
          <w:p>
            <w:pPr>
              <w:pStyle w:val="Compact"/>
              <w:jc w:val="left"/>
            </w:pPr>
            <w:r>
              <w:t xml:space="preserve">7,4</w:t>
            </w:r>
          </w:p>
        </w:tc>
      </w:tr>
      <w:tr>
        <w:tc>
          <w:tcPr/>
          <w:p>
            <w:pPr>
              <w:pStyle w:val="Compact"/>
              <w:jc w:val="left"/>
            </w:pPr>
            <w:r>
              <w:t xml:space="preserve">VI — SIDS²</w:t>
            </w:r>
          </w:p>
        </w:tc>
        <w:tc>
          <w:tcPr/>
          <w:p>
            <w:pPr>
              <w:pStyle w:val="Compact"/>
              <w:jc w:val="left"/>
            </w:pPr>
            <w:r>
              <w:rPr>
                <w:bCs/>
                <w:b/>
              </w:rPr>
              <w:t xml:space="preserve">96,7</w:t>
            </w:r>
          </w:p>
        </w:tc>
        <w:tc>
          <w:tcPr/>
          <w:p>
            <w:pPr>
              <w:pStyle w:val="Compact"/>
              <w:jc w:val="left"/>
            </w:pPr>
            <w:r>
              <w:t xml:space="preserve">10,4</w:t>
            </w:r>
          </w:p>
        </w:tc>
        <w:tc>
          <w:tcPr/>
          <w:p>
            <w:pPr>
              <w:pStyle w:val="Compact"/>
              <w:jc w:val="left"/>
            </w:pPr>
            <w:r>
              <w:rPr>
                <w:bCs/>
                <w:b/>
              </w:rPr>
              <w:t xml:space="preserve">16,4</w:t>
            </w:r>
          </w:p>
        </w:tc>
      </w:tr>
    </w:tbl>
    <w:p>
      <w:pPr>
        <w:pStyle w:val="BodyText"/>
      </w:pPr>
      <w:r>
        <w:rPr>
          <w:iCs/>
          <w:i/>
        </w:rPr>
        <w:t xml:space="preserve">Nguồn: tái tính từ raw WBES, khung 49 nền (SME = &lt;100 lao động thường xuyên l1; FDI = sở hữu nước ngoài b2b ≥10%). ¹Nhóm II raw 2/6 nền; master 49-nền (đủ 6 GCC): SME 65,7%, xuất khẩu 11,1%. ²Nhóm VI raw 2/8 nền; master 49-nền (đủ 8 nền): SME 91,0%, xuất khẩu 13,4%; bản khóa mô tả 7-Pacific: SME 88,5%, FDI 23,5%.</w:t>
      </w:r>
    </w:p>
    <w:p>
      <w:pPr>
        <w:pStyle w:val="BodyText"/>
      </w:pPr>
      <w:r>
        <w:rPr>
          <w:iCs/>
          <w:i/>
        </w:rPr>
        <w:t xml:space="preserve">Hình 2.3.5.1. Stacked bar chart: Nhóm VI (SIDS) có tỷ lệ SME cao nhất (96,7% theo pipeline; 88,5% theo bản khóa 7-Pacific), Nhóm V kế tiếp (86,2%), Nhóm IV thấp nhất (74,0%).</w:t>
      </w:r>
    </w:p>
    <w:p>
      <w:pPr>
        <w:pStyle w:val="BodyText"/>
      </w:pPr>
      <w:r>
        <w:t xml:space="preserve">Tỷ lệ FDI có dạng chữ U với cực tiểu ở Nhóm IV — Chuyển đổi TB-thấp (3,1%). SIDS có FDI cao (16,4% pipeline; 23,5% bản khóa 7-Pacific)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2026-06-11T16:12:42Z</dcterms:created>
  <dcterms:modified xsi:type="dcterms:W3CDTF">2026-06-11T16:12:42Z</dcterms:modified>
</cp:coreProperties>
</file>

<file path=docProps/custom.xml><?xml version="1.0" encoding="utf-8"?>
<Properties xmlns="http://schemas.openxmlformats.org/officeDocument/2006/custom-properties" xmlns:vt="http://schemas.openxmlformats.org/officeDocument/2006/docPropsVTypes"/>
</file>