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 / Management International Review (MIR)</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data-and-methods"/>
    <w:p>
      <w:pPr>
        <w:pStyle w:val="Heading2"/>
      </w:pPr>
      <w:r>
        <w:t xml:space="preserve">3. Data and Methods</w:t>
      </w:r>
    </w:p>
    <w:bookmarkStart w:id="29"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SD(FSTS) + mean(FSTS).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results"/>
    <w:p>
      <w:pPr>
        <w:pStyle w:val="Heading2"/>
      </w:pPr>
      <w:r>
        <w:t xml:space="preserve">4. Results</w:t>
      </w:r>
    </w:p>
    <w:bookmarkStart w:id="34"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The Lind–Mehlum test confirms concavity (joint p &lt; .001) with a turning point at</w:t>
      </w:r>
      <w:r>
        <w:t xml:space="preserve"> </w:t>
      </w:r>
      <w:r>
        <w:rPr>
          <w:bCs/>
          <w:b/>
        </w:rPr>
        <w:t xml:space="preserve">FSTS = 36.4%</w:t>
      </w:r>
      <w:r>
        <w:t xml:space="preserve"> </w:t>
      </w:r>
      <w:r>
        <w:t xml:space="preserve">of sales from exports.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+0.155, p &lt; .001), consistent with approximately a 17% performance premium for digitally active firms (exp(0.155) − 1 ≈ 17%). Strikingly, both DAI interaction terms are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is marginally significant in M11 (β = −0.019, p = .053,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full-three-way-moderation-h7-p7"/>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significant (p = .012), supporting regime-contingent digital effects. The three-way FSTS curve-reshaping via DAI×ICRV does not reach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discussion"/>
    <w:p>
      <w:pPr>
        <w:pStyle w:val="Heading2"/>
      </w:pPr>
      <w:r>
        <w:t xml:space="preserve">5. Discussion</w:t>
      </w:r>
    </w:p>
    <w:bookmarkStart w:id="42"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managerial-heterogeneity"/>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bookmarkEnd w:id="45"/>
    <w:bookmarkStart w:id="46"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conclusions"/>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 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49"/>
    <w:bookmarkStart w:id="50"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0"/>
    <w:bookmarkStart w:id="51"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2026-05-11T07:12:28Z</dcterms:created>
  <dcterms:modified xsi:type="dcterms:W3CDTF">2026-05-11T07:12:28Z</dcterms:modified>
</cp:coreProperties>
</file>

<file path=docProps/custom.xml><?xml version="1.0" encoding="utf-8"?>
<Properties xmlns="http://schemas.openxmlformats.org/officeDocument/2006/custom-properties" xmlns:vt="http://schemas.openxmlformats.org/officeDocument/2006/docPropsVTypes"/>
</file>