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Prepared for: Asia Pacific Journal of Management (APJM, Springer)</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perspectives connect the three new moderators to established I→P predictions. The</w:t>
      </w:r>
      <w:r>
        <w:t xml:space="preserve"> </w:t>
      </w:r>
      <w:r>
        <w:rPr>
          <w:bCs/>
          <w:b/>
        </w:rPr>
        <w:t xml:space="preserve">resource-based view</w:t>
      </w:r>
      <w:r>
        <w:t xml:space="preserve"> </w:t>
      </w:r>
      <w:r>
        <w:t xml:space="preserve">(Barney, 1991; Wernerfelt, 1984) implies that firms with stronger home-country resource endowments, including access to national digital infrastructure, earn higher returns from international expansion; a richer national digital environment (cDAI) lowers the per-unit cost of deploying firm capabilities abroad.</w:t>
      </w:r>
      <w:r>
        <w:t xml:space="preserve"> </w:t>
      </w:r>
      <w:r>
        <w:rPr>
          <w:bCs/>
          <w:b/>
        </w:rPr>
        <w:t xml:space="preserve">Institutional theory</w:t>
      </w:r>
      <w:r>
        <w:t xml:space="preserve"> </w:t>
      </w:r>
      <w:r>
        <w:t xml:space="preserve">(North, 1990; Scott, 1995) treats institutional quality, rule of law, contract enforcement, IP protection, as the determinant of cross-border coordination costs, yielding the prediction that the I→P effect declines as institutional quality falls.</w:t>
      </w:r>
      <w:r>
        <w:t xml:space="preserve"> </w:t>
      </w:r>
      <w:r>
        <w:rPr>
          <w:bCs/>
          <w:b/>
        </w:rPr>
        <w:t xml:space="preserve">Organizational learning theory</w:t>
      </w:r>
      <w:r>
        <w:t xml:space="preserve"> </w:t>
      </w:r>
      <w:r>
        <w:t xml:space="preserve">(Johanson &amp; Vahlne, 1977, 2009) holds that digital platforms compress the experiential learning curve once they reach maturity (the DPL Follow phase).</w:t>
      </w:r>
      <w:r>
        <w:t xml:space="preserve"> </w:t>
      </w:r>
      <w:r>
        <w:rPr>
          <w:bCs/>
          <w:b/>
        </w:rPr>
        <w:t xml:space="preserve">Coordination cost theory</w:t>
      </w:r>
      <w:r>
        <w:t xml:space="preserve"> </w:t>
      </w:r>
      <w:r>
        <w:t xml:space="preserve">(Hitt et al., 1997; Lu &amp; Beamish, 2004) explains the modal inverted-U; mature national digital infrastructure attenuates the right-side decline through communication compression, transaction-cost reduction, and information-asymmetry compression. Finally, the</w:t>
      </w:r>
      <w:r>
        <w:t xml:space="preserve"> </w:t>
      </w:r>
      <w:r>
        <w:rPr>
          <w:bCs/>
          <w:b/>
        </w:rPr>
        <w:t xml:space="preserve">foundational digital adoption framework</w:t>
      </w:r>
      <w:r>
        <w:t xml:space="preserve"> </w:t>
      </w:r>
      <w:r>
        <w:t xml:space="preserve">(Verhoef et al., 2021; Stallkamp &amp; Schotter, 2021) distinguishes Tier-1/Tier-2 adoption, which functions as shared platform infrastructure, from proprietary capability; aggregated to the country level, it defines cDAI.</w:t>
      </w:r>
    </w:p>
    <w:p>
      <w:pPr>
        <w:pStyle w:val="BodyText"/>
      </w:pPr>
      <w:r>
        <w:t xml:space="preserve">Throughout, cDAI (country-level) is analytically distinct from firm-level digital adoption (DAI) and technological capability (TCI), which the companion primary studies (P3–P8) treat as separate within-study constructs. At meta-analytic resolution only cDAI is extractable as a study-level moderator; the claims below are between-study moderation claims at the country level, not within-firm capability-bundle claims.</w:t>
      </w:r>
    </w:p>
    <w:bookmarkEnd w:id="22"/>
    <w:bookmarkStart w:id="23" w:name="Xcf2a2351c020ca4b0c31002fd6a9bd1b3ab11d2"/>
    <w:p>
      <w:pPr>
        <w:pStyle w:val="Heading3"/>
      </w:pPr>
      <w:r>
        <w:t xml:space="preserve">2.2 Capability–Institution Mismatch Theory and the ICRV gradient (H1)</w:t>
      </w:r>
    </w:p>
    <w:p>
      <w:pPr>
        <w:pStyle w:val="FirstParagraph"/>
      </w:pPr>
      <w:r>
        <w:t xml:space="preserve">We propose</w:t>
      </w:r>
      <w:r>
        <w:t xml:space="preserve"> </w:t>
      </w:r>
      <w:r>
        <w:rPr>
          <w:iCs/>
          <w:i/>
        </w:rPr>
        <w:t xml:space="preserve">Capability–Institution Mismatch Theory</w:t>
      </w:r>
      <w:r>
        <w:t xml:space="preserve"> </w:t>
      </w:r>
      <w:r>
        <w:t xml:space="preserve">(CIMT): the productivity return to international expansion depends on the degree to which home-country institutions let firm capabilities be deployed productively abroad. Three mechanisms operate. A</w:t>
      </w:r>
      <w:r>
        <w:t xml:space="preserve"> </w:t>
      </w:r>
      <w:r>
        <w:rPr>
          <w:iCs/>
          <w:i/>
        </w:rPr>
        <w:t xml:space="preserve">rent-protection</w:t>
      </w:r>
      <w:r>
        <w:t xml:space="preserve"> </w:t>
      </w:r>
      <w:r>
        <w:t xml:space="preserve">mechanism (Kogut &amp; Zander, 1993; Zaheer, 1995): strong IP protection and contract enforcement (ICRV Regime I) let firms retain rents across markets, raising the average effect. A</w:t>
      </w:r>
      <w:r>
        <w:t xml:space="preserve"> </w:t>
      </w:r>
      <w:r>
        <w:rPr>
          <w:iCs/>
          <w:i/>
        </w:rPr>
        <w:t xml:space="preserve">liability-of-foreignness attenuation</w:t>
      </w:r>
      <w:r>
        <w:t xml:space="preserve"> </w:t>
      </w:r>
      <w:r>
        <w:t xml:space="preserve">mechanism (Peng et al., 2008; Zaheer, 1995): transparent regulation and low corruption reduce LOF, enlarging captured gains. An</w:t>
      </w:r>
      <w:r>
        <w:t xml:space="preserve"> </w:t>
      </w:r>
      <w:r>
        <w:rPr>
          <w:iCs/>
          <w:i/>
        </w:rPr>
        <w:t xml:space="preserve">institutional-void amplification</w:t>
      </w:r>
      <w:r>
        <w:t xml:space="preserve"> </w:t>
      </w:r>
      <w:r>
        <w:t xml:space="preserve">mechanism (Khanna &amp; Palepu, 2010): as institutions weaken, substitute-governance costs accumulate, depressing the effect toward zero. CIMT therefore predicts between-regime heterogeneity, largest at the institutional frontier. Prior meta-analyses lacked a taxonomy fine enough to test this; Marano et al. (2016) used a coarse six-category scheme. The ICRV 5-regime taxonomy, anchored in World Bank WGI Rule of Law (2023) and applied to the full k = 238 corpus (Singapore WGI +1.84 to Pakistan −0.55, Iran −0.74), provides the first such test.</w:t>
      </w:r>
    </w:p>
    <w:p>
      <w:pPr>
        <w:pStyle w:val="BodyText"/>
      </w:pPr>
      <w:r>
        <w:rPr>
          <w:bCs/>
          <w:b/>
        </w:rPr>
        <w:t xml:space="preserve">Hypothesis 1 (ICRV between-regime heterogeneity):</w:t>
      </w:r>
      <w:r>
        <w:t xml:space="preserve"> </w:t>
      </w:r>
      <w:r>
        <w:t xml:space="preserve">Pooled I→P effects vary systematically across ICRV regimes, with Advanced-regime studies expected to show the largest average effects (Khanna &amp; Palepu, 2010; North, 1990; Zaheer, 1995). Formally, the between-regime Q_M test is significant (</w:t>
      </w:r>
      <w:r>
        <w:rPr>
          <w:iCs/>
          <w:i/>
        </w:rPr>
        <w:t xml:space="preserve">p</w:t>
      </w:r>
      <w:r>
        <w:t xml:space="preserve"> </w:t>
      </w:r>
      <w:r>
        <w:t xml:space="preserve">&lt; .05) and the ICRV-I point estimate exceeds those for Emerging (ICRV-III) and Mixed (MX).</w:t>
      </w:r>
    </w:p>
    <w:p>
      <w:pPr>
        <w:pStyle w:val="BodyText"/>
      </w:pPr>
      <w:r>
        <w:rPr>
          <w:iCs/>
          <w:i/>
        </w:rPr>
        <w:t xml:space="preserve">Exploratory Proposition E1a:</w:t>
      </w:r>
      <w:r>
        <w:t xml:space="preserve"> </w:t>
      </w:r>
      <w:r>
        <w:t xml:space="preserve">Advanced-regime (ICRV-I) studies show the largest pooled effect (direction confirmatory; magnitude not pre-specified).</w:t>
      </w:r>
      <w:r>
        <w:t xml:space="preserve"> </w:t>
      </w:r>
      <w:r>
        <w:rPr>
          <w:iCs/>
          <w:i/>
        </w:rPr>
        <w:t xml:space="preserve">Exploratory Proposition E1b:</w:t>
      </w:r>
      <w:r>
        <w:t xml:space="preserve"> </w:t>
      </w:r>
      <w:r>
        <w:t xml:space="preserve">Frontier-regime (ICRV-FR) studies show the smallest, potentially null/negative, effect; treated as exploratory because current Frontier k = 3 is below the k ≥ 10 needed for stable moderation (Valentine et al., 2010).</w:t>
      </w:r>
    </w:p>
    <w:bookmarkEnd w:id="23"/>
    <w:bookmarkStart w:id="24" w:name="X56bcf813f2a95d583c2633c34dc43ef38ccc7de"/>
    <w:p>
      <w:pPr>
        <w:pStyle w:val="Heading3"/>
      </w:pPr>
      <w:r>
        <w:t xml:space="preserve">2.3 Digital Paradox Lifecycle (H2)</w:t>
      </w:r>
    </w:p>
    <w:p>
      <w:pPr>
        <w:pStyle w:val="FirstParagraph"/>
      </w:pPr>
      <w:r>
        <w:t xml:space="preserve">The Digital Paradox Lifecycle (DPL) is a temporal moderator grounded in Brynjolfsson et al.'s (2021) productivity J-curve and David's (1990) dynamo analogy: general-purpose technologies require years of complementary investment before productivity gains materialize. Three phases characterize digital internationalization:</w:t>
      </w:r>
      <w:r>
        <w:t xml:space="preserve"> </w:t>
      </w:r>
      <w:r>
        <w:rPr>
          <w:bCs/>
          <w:b/>
        </w:rPr>
        <w:t xml:space="preserve">Precede</w:t>
      </w:r>
      <w:r>
        <w:t xml:space="preserve"> </w:t>
      </w:r>
      <w:r>
        <w:t xml:space="preserve">(data predominantly pre-2009), low digital penetration, traditional coordination-cost dynamics and the inverted-U dominate;</w:t>
      </w:r>
      <w:r>
        <w:t xml:space="preserve"> </w:t>
      </w:r>
      <w:r>
        <w:rPr>
          <w:bCs/>
          <w:b/>
        </w:rPr>
        <w:t xml:space="preserve">Span</w:t>
      </w:r>
      <w:r>
        <w:t xml:space="preserve"> </w:t>
      </w:r>
      <w:r>
        <w:t xml:space="preserve">(2005–2014), transitional and heterogeneous;</w:t>
      </w:r>
      <w:r>
        <w:t xml:space="preserve"> </w:t>
      </w:r>
      <w:r>
        <w:rPr>
          <w:bCs/>
          <w:b/>
        </w:rPr>
        <w:t xml:space="preserve">Follow</w:t>
      </w:r>
      <w:r>
        <w:t xml:space="preserve"> </w:t>
      </w:r>
      <w:r>
        <w:t xml:space="preserve">(post-2014), digital platforms reach maturity and compress coordination costs, so effects should be largest. The 2009 inflection is anchored empirically in the 2007–2009 smartphone/mobile-internet diffusion, the 2008–2011 rise of Asia-Pacific B2B e-commerce (Alibaba International, Lazada, Tokopedia), and post-2009 SME digital adoption; the Asia-Pacific region is 52% of the corpus.</w:t>
      </w:r>
    </w:p>
    <w:p>
      <w:pPr>
        <w:pStyle w:val="BodyText"/>
      </w:pPr>
      <w:r>
        <w:rPr>
          <w:bCs/>
          <w:b/>
        </w:rPr>
        <w:t xml:space="preserve">Hypothesis 2 (DPL phase):</w:t>
      </w:r>
      <w:r>
        <w:t xml:space="preserve"> </w:t>
      </w:r>
      <w:r>
        <w:t xml:space="preserve">Studies on post-2014 data (Follow) show larger pooled I→P effects than pre-2009 (Precede) studies, with Span intermediate (Brynjolfsson et al., 2021; David, 1990); the between-phase Q_M test is expected significant (</w:t>
      </w:r>
      <w:r>
        <w:rPr>
          <w:iCs/>
          <w:i/>
        </w:rPr>
        <w:t xml:space="preserve">p</w:t>
      </w:r>
      <w:r>
        <w:t xml:space="preserve"> </w:t>
      </w:r>
      <w:r>
        <w:t xml:space="preserve">&lt; .05). Detection is bounded by within-phase k (below ~30 per phase the test is underpowered).</w:t>
      </w:r>
    </w:p>
    <w:bookmarkEnd w:id="24"/>
    <w:bookmarkStart w:id="25" w:name="X7396c84a58a901f6382de3a73ce5704f8cd234e"/>
    <w:p>
      <w:pPr>
        <w:pStyle w:val="Heading3"/>
      </w:pPr>
      <w:r>
        <w:t xml:space="preserve">2.4 cDAI as amplifier (H3)</w:t>
      </w:r>
    </w:p>
    <w:p>
      <w:pPr>
        <w:pStyle w:val="FirstParagraph"/>
      </w:pPr>
      <w:r>
        <w:t xml:space="preserve">National digital adoption (cDAI) is an ecosystem property, broadband, electronic payments, digital identity, regulatory support, that exists independently of any firm's choice and varies between studies. It is measured on a 0–1 scale from the World Bank Digital Adoption Index (2016; Sahay et al., 2020), with the ITU Digital Development Index (rescaled) as substitute; country-year assignment follows each study's median data year. The amplification operates through the coordination-platform effect (Stallkamp &amp; Schotter, 2021): where Tier-1/Tier-2 tools are diffused, the per-unit cost of cross-border transactions falls, especially for higher-intensity internationalizers (Bharadwaj et al., 2013; Verhoef et al., 2021). Bustamante et al. (2022) provide the closest prior cross-country evidence; we extend it meta-analytically and bound it by DPL phase.</w:t>
      </w:r>
    </w:p>
    <w:p>
      <w:pPr>
        <w:pStyle w:val="BodyText"/>
      </w:pPr>
      <w:r>
        <w:rPr>
          <w:bCs/>
          <w:b/>
        </w:rPr>
        <w:t xml:space="preserve">Hypothesis 3 (cDAI amplification):</w:t>
      </w:r>
      <w:r>
        <w:t xml:space="preserve"> </w:t>
      </w:r>
      <w:r>
        <w:t xml:space="preserve">Studies from high-cDAI contexts show larger pooled I→P effects than low-cDAI studies (between-group Q_M significant,</w:t>
      </w:r>
      <w:r>
        <w:t xml:space="preserve"> </w:t>
      </w:r>
      <w:r>
        <w:rPr>
          <w:iCs/>
          <w:i/>
        </w:rPr>
        <w:t xml:space="preserve">p</w:t>
      </w:r>
      <w:r>
        <w:t xml:space="preserve"> </w:t>
      </w:r>
      <w:r>
        <w:t xml:space="preserve">&lt; .05), operationalized as a Low/Medium/High comparison; the effect is expected to be concentrated in Follow-phase studies.</w:t>
      </w:r>
    </w:p>
    <w:bookmarkEnd w:id="25"/>
    <w:bookmarkStart w:id="26" w:name="Xd6077087b9573096b494e1050255764306afad2"/>
    <w:p>
      <w:pPr>
        <w:pStyle w:val="Heading3"/>
      </w:pPr>
      <w:r>
        <w:t xml:space="preserve">2.5 Publication bias as a formal null (H4)</w:t>
      </w:r>
    </w:p>
    <w:p>
      <w:pPr>
        <w:pStyle w:val="FirstParagraph"/>
      </w:pPr>
      <w:r>
        <w:t xml:space="preserve">Given selective reporting in IB meta-analyses (Borenstein et al., 2021; Dickersin, 1990), we test publication bias formally.</w:t>
      </w:r>
      <w:r>
        <w:t xml:space="preserve"> </w:t>
      </w:r>
      <w:r>
        <w:rPr>
          <w:bCs/>
          <w:b/>
        </w:rPr>
        <w:t xml:space="preserve">Hypothesis 4:</w:t>
      </w:r>
      <w:r>
        <w:t xml:space="preserve"> </w:t>
      </w:r>
      <w:r>
        <w:t xml:space="preserve">Selective reporting inflates the raw pooled effect. (H4a) Funnel asymmetry tests (Egger, Begg) are expected significant; (H4b) trim-and-fill (Duval &amp; Tweedie, 2000) imputes left-side studies and yields a smaller but still positive adjusted estimate; (H4c) Orwin's (1983) fail-safe N exceeds the threshold needed to render the effect negligible.</w:t>
      </w:r>
    </w:p>
    <w:bookmarkEnd w:id="26"/>
    <w:bookmarkStart w:id="27" w:name="X9f459728ae2c4e39aee69d49761868d88bce138"/>
    <w:p>
      <w:pPr>
        <w:pStyle w:val="Heading3"/>
      </w:pPr>
      <w:r>
        <w:t xml:space="preserve">2.6 Conceptual model</w:t>
      </w:r>
    </w:p>
    <w:p>
      <w:pPr>
        <w:pStyle w:val="FirstParagraph"/>
      </w:pPr>
      <w:r>
        <w:rPr>
          <w:iCs/>
          <w:i/>
        </w:rPr>
        <w:t xml:space="preserve">Figure 1</w:t>
      </w:r>
      <w:r>
        <w:t xml:space="preserve"> </w:t>
      </w:r>
      <w:r>
        <w:t xml:space="preserve">presents the three-level MARA with ICRV (H1), cDAI (H3), and DPL (H2) as study-level moderators of the baseline I→P pooled effect, with publication bias (H4) assessed at the synthesis level. The model nests K = 288 effects within k = 238 studies (σ²_within = 0.00878, I²₍₂₎ = 54.1%) within between-study heterogeneity (σ²_between = 0.00136, I²₍₃₎ = 8.4%); total I² = 62.5%.</w:t>
      </w:r>
    </w:p>
    <w:bookmarkEnd w:id="27"/>
    <w:bookmarkEnd w:id="28"/>
    <w:bookmarkStart w:id="35" w:name="Xeae2dc85413e447d2c08d145b986cffc1f454f7"/>
    <w:p>
      <w:pPr>
        <w:pStyle w:val="Heading2"/>
      </w:pPr>
      <w:r>
        <w:t xml:space="preserve">3. Method</w:t>
      </w:r>
    </w:p>
    <w:p>
      <w:pPr>
        <w:pStyle w:val="FirstParagraph"/>
      </w:pPr>
      <w:r>
        <w:t xml:space="preserve">The approach follows the APA Meta-Analysis Reporting Standards (Cooper, 2010) and PRISMA 2020 (Page et al., 2021); the analysis plan was registered on OSF as a transparency registration (the working corpus had already been assembled). Three-level MARA was chosen over single-level random effects because the corpus contains multiple effects per study, violating independence (Cheung, 2014; Van den Noortgate et al., 2013); the model decomposes total heterogeneity into within-study (σ²₍₂₎) and between-study (σ²₍₃₎) components.</w:t>
      </w:r>
    </w:p>
    <w:bookmarkStart w:id="29" w:name="X1802a217dd512d878ac4ac3d31ded1d752133f7"/>
    <w:p>
      <w:pPr>
        <w:pStyle w:val="Heading3"/>
      </w:pPr>
      <w:r>
        <w:t xml:space="preserve">3.1 Search strategy</w:t>
      </w:r>
    </w:p>
    <w:p>
      <w:pPr>
        <w:pStyle w:val="FirstParagraph"/>
      </w:pPr>
      <w:r>
        <w:t xml:space="preserve">The primary search covered Web of Science (SSCI, SCI-E, ESCI) and Scopus, the most comprehensive databases for IB research (Kraus et al., 2022), supplemented by ABI/INFORM, Business Source Complete, ScienceDirect, SpringerLink, and Emerald Insight, plus backward and forward citation tracking from five anchor meta-analyses (Bausch &amp; Krist, 2007; Kirca et al., 2012; Marano et al., 2016; Schwens et al., 2018; Arte &amp; Larimo, 2022). Topic terms combined internationalization measures (internationalization/internationalisation, multinationality, degree of internationalization, international/geographic diversification, foreign sales/FSTS, foreign assets/FATA, export intensity, foreign market entry, foreign subsidiaries) with performance measures (firm/financial/business performance, ROA, ROE, ROS, Tobin's Q, profitability, labor/total-factor productivity, efficiency) and an analysis term (correlation, regression, coefficient, effect size). The Scopus equivalent recalled 29/30 known-item papers (97%). Temporal coverage was January 1977–March 2026 (Rugman, 1976; Vernon, 1971).</w:t>
      </w:r>
    </w:p>
    <w:bookmarkEnd w:id="29"/>
    <w:bookmarkStart w:id="30" w:name="X249b1c8ec7bd151bfdc081a3a6d9cad52df428d"/>
    <w:p>
      <w:pPr>
        <w:pStyle w:val="Heading3"/>
      </w:pPr>
      <w:r>
        <w:t xml:space="preserve">3.2 Eligibility and selection</w:t>
      </w:r>
    </w:p>
    <w:p>
      <w:pPr>
        <w:pStyle w:val="FirstParagraph"/>
      </w:pPr>
      <w:r>
        <w:t xml:space="preserve">Two screeners applied criteria in two stages (title/abstract, then full text), with a third reviewer adjudicating. Included: private-sector firms (government equity ≤ 50%; financial sector excluded) with internationalization measured by FSTS, entropy, foreign-market count, transnationality, or FDI ratio, and performance measured by accounting (ROA/ROE/ROS), market (Tobin's Q, returns), or productivity (labor productivity, TFP) indicators, reporting an extractable effect (r; β convertible via Peterson &amp; Brown, 2005; t or F with df). The main analysis was restricted to peer-reviewed journal articles and in-press articles with DOI; dissertations, theses, working/conference papers, book chapters, and reports were excluded to hold peer-review standards constant (grey literature logged in the PRISMA flow only). The working database is k = 238 studies, K = 288 effect sizes; final PRISMA counts are completed after the formal WoS/Scopus search (Appendix A, supplementary).</w:t>
      </w:r>
    </w:p>
    <w:bookmarkEnd w:id="30"/>
    <w:bookmarkStart w:id="31" w:name="X911b85b7d60b4631a74a44b8e34828711e4cba4"/>
    <w:p>
      <w:pPr>
        <w:pStyle w:val="Heading3"/>
      </w:pPr>
      <w:r>
        <w:t xml:space="preserve">3.3 Extraction and reliability</w:t>
      </w:r>
    </w:p>
    <w:p>
      <w:pPr>
        <w:pStyle w:val="FirstParagraph"/>
      </w:pPr>
      <w:r>
        <w:t xml:space="preserve">Parameters (N, focal r or convertible statistic, data-year range, country/region, DOI and performance operationalization, moderator features) were extracted using a standardized form. When r was not reported, conversions were applied in precision order: r = √[t²/(t²+df)] (Cohen, 1988); r_partial = β × 0.98 (Peterson &amp; Brown, 2005); r = √[F/(F+df₂)] with df₁ = 1 (Rosenthal, 1994). For multiple estimates per study, distinct subsamples were coded as independent effects, and for multiple specifications on the same sample the most fully controlled model was retained. Inter-coder reliability used a three-stage design (calibration on 10 studies; independent coding of a 20% stratified subsample; PI adjudication), with Cohen's κ (target ≥ 0.70; Landis &amp; Koch, 1977) for categorical moderators and ICC(2,1) (≥ 0.80) for continuous cDAI. Consistent with prior I→P meta-analyses (Bausch &amp; Krist, 2007; Marano et al., 2016), no study-level risk-of-bias instrument was applied; the salient threats, publication bias, omitted-variable bias, and measurement heterogeneity, are addressed at the synthesis level.</w:t>
      </w:r>
    </w:p>
    <w:bookmarkEnd w:id="31"/>
    <w:bookmarkStart w:id="32" w:name="Xc8829ca4ed1c67a784f7cb6bae0c2ce6990503a"/>
    <w:p>
      <w:pPr>
        <w:pStyle w:val="Heading3"/>
      </w:pPr>
      <w:r>
        <w:t xml:space="preserve">3.4 Moderators</w:t>
      </w:r>
    </w:p>
    <w:p>
      <w:pPr>
        <w:pStyle w:val="FirstParagraph"/>
      </w:pPr>
      <w:r>
        <w:t xml:space="preserve">Seven moderators were coded: four standard (country of origin; industry sector; DOI operationalization; performance operationalization) and three novel.</w:t>
      </w:r>
      <w:r>
        <w:t xml:space="preserve"> </w:t>
      </w:r>
      <w:r>
        <w:rPr>
          <w:iCs/>
          <w:i/>
        </w:rPr>
        <w:t xml:space="preserve">ICRV regime</w:t>
      </w:r>
      <w:r>
        <w:t xml:space="preserve"> </w:t>
      </w:r>
      <w:r>
        <w:t xml:space="preserve">uses World Bank WGI Rule of Law (2023): I Advanced-Innovation (WGI &gt; +0.80), II Upper-Middle (0–+0.80), III Emerging (−0.50–0), FR Frontier/SIDS (≤ −0.50 or small island state), MX multi-country pooled (no modal regime ≥ 60%).</w:t>
      </w:r>
      <w:r>
        <w:t xml:space="preserve"> </w:t>
      </w:r>
      <w:r>
        <w:rPr>
          <w:iCs/>
          <w:i/>
        </w:rPr>
        <w:t xml:space="preserve">cDAI</w:t>
      </w:r>
      <w:r>
        <w:t xml:space="preserve"> </w:t>
      </w:r>
      <w:r>
        <w:t xml:space="preserve">is the 0–1 World Bank Digital Adoption Index (2016) or rescaled ITU index, by median data year.</w:t>
      </w:r>
      <w:r>
        <w:t xml:space="preserve"> </w:t>
      </w:r>
      <w:r>
        <w:rPr>
          <w:iCs/>
          <w:i/>
        </w:rPr>
        <w:t xml:space="preserve">DPL phase</w:t>
      </w:r>
      <w:r>
        <w:t xml:space="preserve"> </w:t>
      </w:r>
      <w:r>
        <w:t xml:space="preserve">is Precede (median year &lt; 2009), Span (2005–2014 or unclassifiable), or Follow (median year ≥ 2015).</w:t>
      </w:r>
    </w:p>
    <w:bookmarkEnd w:id="32"/>
    <w:bookmarkStart w:id="33" w:name="Xf12b82e02b6b6d5b336e6597aa75baa0b8bb247"/>
    <w:p>
      <w:pPr>
        <w:pStyle w:val="Heading3"/>
      </w:pPr>
      <w:r>
        <w:t xml:space="preserve">3.5 Three-level MARA</w:t>
      </w:r>
    </w:p>
    <w:p>
      <w:pPr>
        <w:pStyle w:val="FirstParagraph"/>
      </w:pPr>
      <w:r>
        <w:t xml:space="preserve">The model decomposes effect r_ij (effect i in study j) into sampling error, within-study, and between-study components:</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sSub>
                <m:e>
                  <m:r>
                    <m:t>v</m:t>
                  </m:r>
                </m:e>
                <m:sub>
                  <m:r>
                    <m:t>i</m:t>
                  </m:r>
                  <m:r>
                    <m:t>j</m:t>
                  </m:r>
                </m:sub>
              </m:sSub>
            </m:e>
          </m:d>
          <m:r>
            <m:rPr>
              <m:sty m:val="p"/>
            </m:rPr>
            <m:t>,</m:t>
          </m:r>
          <m:r>
            <m:t> </m:t>
          </m:r>
          <m:sSub>
            <m:e>
              <m:r>
                <m:t>v</m:t>
              </m:r>
            </m:e>
            <m:sub>
              <m:r>
                <m:t>i</m:t>
              </m:r>
              <m:r>
                <m:t>j</m:t>
              </m:r>
            </m:sub>
          </m:sSub>
          <m:r>
            <m:rPr>
              <m:sty m:val="p"/>
            </m:rPr>
            <m:t>≈</m:t>
          </m:r>
          <m:r>
            <m:t>1</m:t>
          </m:r>
          <m:r>
            <m:rPr>
              <m:sty m:val="p"/>
            </m:rPr>
            <m:t>/</m:t>
          </m:r>
          <m:d>
            <m:dPr>
              <m:begChr m:val="("/>
              <m:endChr m:val=")"/>
              <m:sepChr m:val=""/>
              <m:grow/>
            </m:dPr>
            <m:e>
              <m:sSub>
                <m:e>
                  <m:r>
                    <m:t>N</m:t>
                  </m:r>
                </m:e>
                <m:sub>
                  <m:r>
                    <m:t>i</m:t>
                  </m:r>
                  <m:r>
                    <m:t>j</m:t>
                  </m:r>
                </m:sub>
              </m:sSub>
              <m:r>
                <m:rPr>
                  <m:sty m:val="p"/>
                </m:rPr>
                <m:t>−</m:t>
              </m:r>
              <m:r>
                <m:t>3</m:t>
              </m:r>
            </m:e>
          </m:d>
        </m:oMath>
      </m:oMathPara>
    </w:p>
    <w:p>
      <w:pPr>
        <w:pStyle w:val="FirstParagraph"/>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m:oMathPara>
    </w:p>
    <w:p>
      <w:pPr>
        <w:pStyle w:val="FirstParagraph"/>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holds the study-level moderators (ICRV dummies, cDAI, DPL dummies) plus the four standard controls. Parameters are estimated by REML via</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a compound-symmetric variance structure for within-study effects; REML is preferred for unbiased variance components at moderate k (Raudenbush &amp; Bryk, 2002). All r are Fisher-z transformed before analysis and back-transformed for reporting (Hedges &amp; Olkin, 1985). Level-specific I² is computed per Cheung (2014). Categorical moderators use the Q_M omnibus test (Holm–Bonferroni for pairwise regime comparisons); continuous cDAI uses a two-sided Wald z-test.</w:t>
      </w:r>
    </w:p>
    <w:bookmarkEnd w:id="33"/>
    <w:bookmarkStart w:id="34" w:name="X607f682684a07c46baaa64679fe4ae5dcc53720"/>
    <w:p>
      <w:pPr>
        <w:pStyle w:val="Heading3"/>
      </w:pPr>
      <w:r>
        <w:t xml:space="preserve">3.6 Publication bias and robustness</w:t>
      </w:r>
    </w:p>
    <w:p>
      <w:pPr>
        <w:pStyle w:val="FirstParagraph"/>
      </w:pPr>
      <w:r>
        <w:t xml:space="preserve">Publication bias was assessed with Egger's regression (Egger et al., 1997), Begg and Mazumdar's (1994) rank correlation, Duval and Tweedie's (2000) trim-and-fill, Orwin's (1983) fail-safe N, and PET-PEESE meta-regression (Stanley &amp; Doucouliagos, 2014). Five pre-specified robustness checks follow: (1) two-level vs. three-level comparison (Δr &gt; 0.02 flags nesting bias); (2) leave-one-out influence (Cook's distance &gt; 4/k); (3) FSTS-only restriction; (4) ICRV reclassified on the WGI composite governance index; (5) post-2000 temporal restriction to test vintage effects.</w:t>
      </w:r>
    </w:p>
    <w:bookmarkEnd w:id="34"/>
    <w:bookmarkEnd w:id="35"/>
    <w:bookmarkStart w:id="43" w:name="X121719332867ee227f0a04b486098cee978c6e6"/>
    <w:p>
      <w:pPr>
        <w:pStyle w:val="Heading2"/>
      </w:pPr>
      <w:r>
        <w:t xml:space="preserve">4. Results</w:t>
      </w:r>
    </w:p>
    <w:bookmarkStart w:id="36"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36"/>
    <w:bookmarkStart w:id="37"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37"/>
    <w:bookmarkStart w:id="38"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38"/>
    <w:bookmarkStart w:id="39"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39"/>
    <w:bookmarkStart w:id="40"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0"/>
    <w:bookmarkStart w:id="4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1"/>
    <w:bookmarkStart w:id="4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2"/>
    <w:bookmarkEnd w:id="43"/>
    <w:bookmarkStart w:id="48" w:name="X735612638e4e736e4693e459c258977262c0dfc"/>
    <w:p>
      <w:pPr>
        <w:pStyle w:val="Heading2"/>
      </w:pPr>
      <w:r>
        <w:t xml:space="preserve">5. Discussion</w:t>
      </w:r>
    </w:p>
    <w:bookmarkStart w:id="4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4"/>
    <w:bookmarkStart w:id="4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5"/>
    <w:bookmarkStart w:id="4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46"/>
    <w:bookmarkStart w:id="4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47"/>
    <w:bookmarkEnd w:id="48"/>
    <w:bookmarkStart w:id="49"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238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49"/>
    <w:bookmarkStart w:id="50"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1" w:name="competing-interests"/>
    <w:p>
      <w:pPr>
        <w:pStyle w:val="Heading2"/>
      </w:pPr>
      <w:r>
        <w:t xml:space="preserve">Competing Interests</w:t>
      </w:r>
    </w:p>
    <w:p>
      <w:pPr>
        <w:pStyle w:val="FirstParagraph"/>
      </w:pPr>
      <w:r>
        <w:t xml:space="preserve">The authors declare no conflict of interest.</w:t>
      </w:r>
    </w:p>
    <w:bookmarkEnd w:id="51"/>
    <w:bookmarkStart w:id="5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2"/>
    <w:bookmarkStart w:id="53"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3"/>
    <w:bookmarkStart w:id="57"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4">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5">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6">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p>
      <w:pPr>
        <w:pStyle w:val="BodyText"/>
      </w:pPr>
      <w:r>
        <w:rPr>
          <w:iCs/>
          <w:i/>
        </w:rPr>
        <w:t xml:space="preserve">Appendices A–C (PRISMA flow, coding protocol, MetaEssentials/</w:t>
      </w:r>
      <w:r>
        <w:rPr>
          <w:rStyle w:val="VerbatimChar"/>
          <w:iCs/>
          <w:i/>
        </w:rPr>
        <w:t xml:space="preserve">metafor</w:t>
      </w:r>
      <w:r>
        <w:rPr>
          <w:iCs/>
          <w:i/>
        </w:rPr>
        <w:t xml:space="preserve"> </w:t>
      </w:r>
      <w:r>
        <w:rPr>
          <w:iCs/>
          <w:i/>
        </w:rPr>
        <w:t xml:space="preserve">consistency check) are provided as online supplementary material.</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136/bmj.n71" TargetMode="External" /><Relationship Type="http://schemas.openxmlformats.org/officeDocument/2006/relationships/hyperlink" Id="rId54" Target="https://doi.org/10.5772/intechopen.1011012" TargetMode="External" /><Relationship Type="http://schemas.openxmlformats.org/officeDocument/2006/relationships/hyperlink" Id="rId56"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2026-06-08T10:10:43Z</dcterms:created>
  <dcterms:modified xsi:type="dcterms:W3CDTF">2026-06-08T10:10:43Z</dcterms:modified>
</cp:coreProperties>
</file>

<file path=docProps/custom.xml><?xml version="1.0" encoding="utf-8"?>
<Properties xmlns="http://schemas.openxmlformats.org/officeDocument/2006/custom-properties" xmlns:vt="http://schemas.openxmlformats.org/officeDocument/2006/docPropsVTypes"/>
</file>