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International Business Review (IBR,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237 studies with</w:t>
      </w:r>
      <w:r>
        <w:t xml:space="preserve"> </w:t>
      </w:r>
      <w:r>
        <w:rPr>
          <w:iCs/>
          <w:i/>
        </w:rPr>
        <w:t xml:space="preserve">K</w:t>
      </w:r>
      <w:r>
        <w:t xml:space="preserve"> </w:t>
      </w:r>
      <w:r>
        <w:t xml:space="preserve">= 287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The analysis plan is registered on OSF (transparency registration);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237</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237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237,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237,</w:t>
      </w:r>
      <w:r>
        <w:t xml:space="preserve"> </w:t>
      </w:r>
      <w:r>
        <w:rPr>
          <w:iCs/>
          <w:i/>
        </w:rPr>
        <w:t xml:space="preserve">K</w:t>
      </w:r>
      <w:r>
        <w:t xml:space="preserve"> </w:t>
      </w:r>
      <w:r>
        <w:t xml:space="preserve">= 287)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237 corpus. The resource-bundling</w:t>
      </w:r>
      <w:r>
        <w:t xml:space="preserve"> </w:t>
      </w:r>
      <w:r>
        <w:t xml:space="preserve">prediction for P6 therefore concerns whether a richer national digital</w:t>
      </w:r>
      <w:r>
        <w:t xml:space="preserve"> </w:t>
      </w:r>
      <w:r>
        <w:t xml:space="preserve">environment raises the aggregate I→P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 "rules of the game" that govern transaction</w:t>
      </w:r>
      <w:r>
        <w:t xml:space="preserve"> </w:t>
      </w:r>
      <w:r>
        <w:t xml:space="preserve">costs. In the I→P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I→P effect should decline monotonically from</w:t>
      </w:r>
      <w:r>
        <w:t xml:space="preserve"> </w:t>
      </w:r>
      <w:r>
        <w:t xml:space="preserve">Advanced-Innovation (Regime I) to Frontier (Regime V)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I→P</w:t>
      </w:r>
      <w:r>
        <w:t xml:space="preserve"> </w:t>
      </w:r>
      <w:r>
        <w:t xml:space="preserve">effect across the studies that draw on it, a between-study moderation</w:t>
      </w:r>
      <w:r>
        <w:t xml:space="preserve"> </w:t>
      </w:r>
      <w:r>
        <w:t xml:space="preserve">claim, not a within-study mediation claim.</w:t>
      </w:r>
    </w:p>
    <w:bookmarkEnd w:id="22"/>
    <w:bookmarkStart w:id="23"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 → III → SIDS/V), these</w:t>
      </w:r>
      <w:r>
        <w:t xml:space="preserve"> </w:t>
      </w:r>
      <w:r>
        <w:t xml:space="preserve">substitute governance costs accumulate, progressively depressing the I→P</w:t>
      </w:r>
      <w:r>
        <w:t xml:space="preserve"> </w:t>
      </w:r>
      <w:r>
        <w:t xml:space="preserve">effect toward zero and potentially negative territory.</w:t>
      </w:r>
    </w:p>
    <w:p>
      <w:pPr>
        <w:pStyle w:val="BodyText"/>
      </w:pPr>
      <w:r>
        <w:t xml:space="preserve">CIMT predicts between-regime heterogeneity in I→P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237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X2deb80d12906b7a6f29f11e064c8a8329815dad"/>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237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I→P because B2B digital trade infrastructure had not yet achieved</w:t>
      </w:r>
      <w:r>
        <w:t xml:space="preserve"> </w:t>
      </w:r>
      <w:r>
        <w:t xml:space="preserve">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 000</w:t>
      </w:r>
      <w:r>
        <w:t xml:space="preserve"> </w:t>
      </w:r>
      <w:r>
        <w:t xml:space="preserve">studies required to reduce the pooled effect to a negligible level,</w:t>
      </w:r>
      <w:r>
        <w:t xml:space="preserve"> </w:t>
      </w:r>
      <w:r>
        <w:t xml:space="preserve">confirming that the positive I→P effect is not an artifact of</w:t>
      </w:r>
      <w:r>
        <w:t xml:space="preserve"> </w:t>
      </w:r>
      <w:r>
        <w:t xml:space="preserve">publication bias alone.</w:t>
      </w:r>
    </w:p>
    <w:bookmarkEnd w:id="26"/>
    <w:bookmarkStart w:id="27" w:name="X9f459728ae2c4e39aee69d49761868d88bce138"/>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I→P pooled effect, k = 237 studies from 49 economies, K = 287</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1.34 (p = .513),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287 effects within k = 237 studies (σ²_within = 0.00878, I²_(2) =</w:t>
      </w:r>
      <w:r>
        <w:t xml:space="preserve"> </w:t>
      </w:r>
      <w:r>
        <w:t xml:space="preserve">54.1%) within between-study heterogeneity (σ²_between = 0.00136, I²_(3)</w:t>
      </w:r>
      <w:r>
        <w:t xml:space="preserve"> </w:t>
      </w:r>
      <w:r>
        <w:t xml:space="preserve">= 8.4%); total I² = 62.5%. Publication bias (H4 confirmed): Egger's b =</w:t>
      </w:r>
      <w:r>
        <w:t xml:space="preserve"> </w:t>
      </w:r>
      <w:r>
        <w:t xml:space="preserve">0.487 (p = .052), Begg's τ = −0.132 (p = .001); trim-and-fill imputes k</w:t>
      </w:r>
      <w:r>
        <w:t xml:space="preserve"> </w:t>
      </w:r>
      <w:r>
        <w:t xml:space="preserve">= 57 studies, adjusted r = 0.035; fail-safe N = 44, 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International</w:t>
      </w:r>
      <w:r>
        <w:rPr>
          <w:iCs/>
          <w:i/>
        </w:rPr>
        <w:t xml:space="preserve"> </w:t>
      </w:r>
      <w:r>
        <w:rPr>
          <w:iCs/>
          <w:i/>
        </w:rPr>
        <w:t xml:space="preserve">Business Review</w:t>
      </w:r>
      <w:r>
        <w:t xml:space="preserve"> </w:t>
      </w:r>
      <w:r>
        <w:t xml:space="preserve">(IBR, Elsevier, IF ≈ 5.5).</w: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The analysis plan was registered on the Open Science Framework (OSF) as a transparency registration (the working corpus had already been assembled at the time of registration);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w:t>
      </w:r>
      <w:r>
        <w:t xml:space="preserve"> </w:t>
      </w:r>
      <w:r>
        <w:t xml:space="preserve">Science (WoS Core Collection: SSCI, SCI-E, ESCI) and Scopus, the two</w:t>
      </w:r>
      <w:r>
        <w:t xml:space="preserve"> </w:t>
      </w:r>
      <w:r>
        <w:t xml:space="preserve">most comprehensive multi-disciplinary databases for peer-reviewed</w:t>
      </w:r>
      <w:r>
        <w:t xml:space="preserve"> </w:t>
      </w:r>
      <w:r>
        <w:t xml:space="preserve">international business research (Kraus et al., 2022).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is registered on OSF (DOI: [insert OSF DOI at submission]). Because the corpus had already been assembled, this is a transparency registration of the analysis plan rather than a data-blind pre-registration; the protocol document is available from the corresponding</w:t>
      </w:r>
      <w:r>
        <w:t xml:space="preserve"> </w:t>
      </w:r>
      <w:r>
        <w:t xml:space="preserve">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w:t>
      </w:r>
      <w:r>
        <w:t xml:space="preserve"> </w:t>
      </w:r>
      <w:r>
        <w:t xml:space="preserve">stages: (1) title and abstract screening; (2) full-text assessment.</w:t>
      </w:r>
      <w:r>
        <w:t xml:space="preserve"> </w:t>
      </w:r>
      <w:r>
        <w:t xml:space="preserve">Disagreements at both stages were resolved by a third reviewer following</w:t>
      </w:r>
      <w:r>
        <w:t xml:space="preserve"> </w:t>
      </w:r>
      <w:r>
        <w:t xml:space="preserve">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Records identified from electronic databases</w:t>
      </w:r>
      <w:r>
        <w:t xml:space="preserve"> </w:t>
      </w:r>
      <w:r>
        <w:t xml:space="preserve">(WoS + Scopus): [</w:t>
      </w:r>
      <w:r>
        <w:rPr>
          <w:iCs/>
          <w:i/>
        </w:rPr>
        <w:t xml:space="preserve">n</w:t>
      </w:r>
      <w:r>
        <w:t xml:space="preserve"> </w:t>
      </w:r>
      <w:r>
        <w:t xml:space="preserve">= TBD] → After automated deduplication: [</w:t>
      </w:r>
      <w:r>
        <w:rPr>
          <w:iCs/>
          <w:i/>
        </w:rPr>
        <w:t xml:space="preserve">n</w:t>
      </w:r>
      <w:r>
        <w:t xml:space="preserve"> </w:t>
      </w:r>
      <w:r>
        <w:t xml:space="preserve">=</w:t>
      </w:r>
      <w:r>
        <w:t xml:space="preserve"> </w:t>
      </w:r>
      <w:r>
        <w:t xml:space="preserve">TBD] → Title/abstract screen (two independent coders): [</w:t>
      </w:r>
      <w:r>
        <w:rPr>
          <w:iCs/>
          <w:i/>
        </w:rPr>
        <w:t xml:space="preserve">n</w:t>
      </w:r>
      <w:r>
        <w:t xml:space="preserve"> </w:t>
      </w:r>
      <w:r>
        <w:t xml:space="preserve">= TBD]</w:t>
      </w:r>
      <w:r>
        <w:t xml:space="preserve"> </w:t>
      </w:r>
      <w:r>
        <w:t xml:space="preserve">retained → Full-text eligibility assessment: [</w:t>
      </w:r>
      <w:r>
        <w:rPr>
          <w:iCs/>
          <w:i/>
        </w:rPr>
        <w:t xml:space="preserve">n</w:t>
      </w:r>
      <w:r>
        <w:t xml:space="preserve"> </w:t>
      </w:r>
      <w:r>
        <w:t xml:space="preserve">= TBD] assessed →</w:t>
      </w:r>
      <w:r>
        <w:t xml:space="preserve"> </w:t>
      </w:r>
      <w:r>
        <w:t xml:space="preserve">Effect size extractable and meeting all eligibility criteria: [</w:t>
      </w:r>
      <w:r>
        <w:rPr>
          <w:iCs/>
          <w:i/>
        </w:rPr>
        <w:t xml:space="preserve">k</w:t>
      </w:r>
      <w:r>
        <w:t xml:space="preserve"> </w:t>
      </w:r>
      <w:r>
        <w:t xml:space="preserve">=</w:t>
      </w:r>
      <w:r>
        <w:t xml:space="preserve"> </w:t>
      </w:r>
      <w:r>
        <w:t xml:space="preserve">238 studies;</w:t>
      </w:r>
      <w:r>
        <w:t xml:space="preserve"> </w:t>
      </w:r>
      <w:r>
        <w:rPr>
          <w:iCs/>
          <w:i/>
        </w:rPr>
        <w:t xml:space="preserve">K</w:t>
      </w:r>
      <w:r>
        <w:t xml:space="preserve"> </w:t>
      </w:r>
      <w:r>
        <w:t xml:space="preserve">= 288 effect sizes]. Detailed exclusion reasons at</w:t>
      </w:r>
      <w:r>
        <w:t xml:space="preserve"> </w:t>
      </w:r>
      <w:r>
        <w:t xml:space="preserve">each screening stage are reported in Appendix A (PRISMA 2020 flow</w:t>
      </w:r>
      <w:r>
        <w:t xml:space="preserve"> </w:t>
      </w:r>
      <w:r>
        <w:t xml:space="preserve">diagram). The current working database (</w:t>
      </w:r>
      <w:r>
        <w:rPr>
          <w:iCs/>
          <w:i/>
        </w:rPr>
        <w:t xml:space="preserve">k</w:t>
      </w:r>
      <w:r>
        <w:t xml:space="preserve"> </w:t>
      </w:r>
      <w:r>
        <w:t xml:space="preserve">= 237 coded studies;</w:t>
      </w:r>
      <w:r>
        <w:t xml:space="preserve"> </w:t>
      </w:r>
      <w:r>
        <w:rPr>
          <w:iCs/>
          <w:i/>
        </w:rPr>
        <w:t xml:space="preserve">K</w:t>
      </w:r>
      <w:r>
        <w:t xml:space="preserve"> </w:t>
      </w:r>
      <w:r>
        <w:t xml:space="preserve">=</w:t>
      </w:r>
      <w:r>
        <w:t xml:space="preserve"> </w:t>
      </w:r>
      <w:r>
        <w:t xml:space="preserve">287 effect sizes) was assembled from backward citation screening and</w:t>
      </w:r>
      <w:r>
        <w:t xml:space="preserve"> </w:t>
      </w:r>
      <w:r>
        <w:t xml:space="preserve">hand-search prior to the formal database search; all counts will be</w:t>
      </w:r>
      <w:r>
        <w:t xml:space="preserve"> </w:t>
      </w:r>
      <w:r>
        <w:t xml:space="preserve">updated to confirmed figures after the formal WoS/Scopus search is</w:t>
      </w:r>
      <w:r>
        <w:t xml:space="preserve"> </w:t>
      </w:r>
      <w:r>
        <w:t xml:space="preserve">completed.</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from the full text of</w:t>
      </w:r>
      <w:r>
        <w:t xml:space="preserve"> </w:t>
      </w:r>
      <w:r>
        <w:t xml:space="preserve">each eligible study by the primary coder (PI: Đỗ Thùy Hương),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"substantial agreement" 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§4.1); all targets were met prior to commencing coding of the remaining</w:t>
      </w:r>
      <w:r>
        <w:t xml:space="preserve"> </w:t>
      </w:r>
      <w:r>
        <w:t xml:space="preserve">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 "pooled" with ICRV regime assigned to the modal country if</w:t>
      </w:r>
      <w:r>
        <w:t xml:space="preserve"> </w:t>
      </w:r>
      <w:r>
        <w:t xml:space="preserve">one country contributes ≥ 60% of the sample, otherwise coded as</w:t>
      </w:r>
      <w:r>
        <w:t xml:space="preserve"> </w:t>
      </w:r>
      <w:r>
        <w:t xml:space="preserve">"cross-regime"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Six-code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 "Precede": data collection predominantly prior</w:t>
      </w:r>
      <w:r>
        <w:t xml:space="preserve"> </w:t>
      </w:r>
      <w:r>
        <w:t xml:space="preserve">to 2009 (median data year &lt; 2009); "Span": data collection spans</w:t>
      </w:r>
      <w:r>
        <w:t xml:space="preserve"> </w:t>
      </w:r>
      <w:r>
        <w:t xml:space="preserve">2005–2014 or cannot be classified as predominantly Precede or Follow;</w:t>
      </w:r>
      <w:r>
        <w:t xml:space="preserve"> </w:t>
      </w:r>
      <w:r>
        <w:t xml:space="preserve">"Follow": data collection predominantly post-2014 (median data year ≥</w:t>
      </w:r>
      <w:r>
        <w:t xml:space="preserve"> </w:t>
      </w:r>
      <w:r>
        <w:t xml:space="preserve">2015). Studies where data years cannot be determined from the paper are</w:t>
      </w:r>
      <w:r>
        <w:t xml:space="preserve"> </w:t>
      </w:r>
      <w:r>
        <w:t xml:space="preserve">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w:t>
      </w:r>
      <w:r>
        <w:t xml:space="preserve"> </w:t>
      </w:r>
      <w:r>
        <w:t xml:space="preserve">V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Xe36430cf7d8e0a8c6df93020e9507d5e203e939"/>
    <w:p>
      <w:pPr>
        <w:pStyle w:val="Heading3"/>
      </w:pPr>
      <w:r>
        <w:t xml:space="preserve">3.7 Robustness Checks</w:t>
      </w:r>
    </w:p>
    <w:p>
      <w:pPr>
        <w:pStyle w:val="FirstParagraph"/>
      </w:pPr>
      <w:r>
        <w:t xml:space="preserve">The following pre-specified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237 studies (coded),</w:t>
      </w:r>
      <w:r>
        <w:t xml:space="preserve"> </w:t>
      </w:r>
      <w:r>
        <w:rPr>
          <w:iCs/>
          <w:i/>
        </w:rPr>
        <w:t xml:space="preserve">K</w:t>
      </w:r>
      <w:r>
        <w:t xml:space="preserve"> </w:t>
      </w:r>
      <w:r>
        <w:t xml:space="preserve">= 287 effect sizes (working database,</w:t>
      </w:r>
      <w:r>
        <w:t xml:space="preserve"> </w:t>
      </w:r>
      <w:r>
        <w:t xml:space="preserve">pre-formal-search).</w:t>
      </w:r>
    </w:p>
    <w:p>
      <w:pPr>
        <w:pStyle w:val="BodyText"/>
      </w:pPr>
      <w:r>
        <w:rPr>
          <w:bCs/>
          <w:b/>
        </w:rPr>
        <w:t xml:space="preserve">Table 3.1, Inter-coder reliability statistics</w:t>
      </w:r>
      <w:r>
        <w:t xml:space="preserve"> </w:t>
      </w:r>
      <w:r>
        <w:rPr>
          <w:iCs/>
          <w:i/>
        </w:rPr>
        <w:t xml:space="preserve">(20% double-coded</w:t>
      </w:r>
      <w:r>
        <w:rPr>
          <w:iCs/>
          <w:i/>
        </w:rPr>
        <w:t xml:space="preserve"> </w:t>
      </w:r>
      <w:r>
        <w:rPr>
          <w:iCs/>
          <w:i/>
        </w:rPr>
        <w:t xml:space="preserve">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w:t>
      </w:r>
      <w:r>
        <w:t xml:space="preserve"> </w:t>
      </w:r>
      <w:r>
        <w:t xml:space="preserve">categorical moderators and ICC(2, 1) ≥ 0.80 for cDAI. Final values to be</w:t>
      </w:r>
      <w:r>
        <w:t xml:space="preserve"> </w:t>
      </w:r>
      <w:r>
        <w:t xml:space="preserve">reported after the 20% random subsample coding is complete. Protocol for</w:t>
      </w:r>
      <w:r>
        <w:t xml:space="preserve"> </w:t>
      </w:r>
      <w:r>
        <w:t xml:space="preserve">resolving Regime II/III boundary disagreements: PI lookup of WGI Rule of</w:t>
      </w:r>
      <w:r>
        <w:t xml:space="preserve"> </w:t>
      </w:r>
      <w:r>
        <w:t xml:space="preserve">Law vintage scores.</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rPr>
        <w:t xml:space="preserve">K = 287 effect sizes, k = 237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287</w:t>
            </w:r>
          </w:p>
        </w:tc>
        <w:tc>
          <w:tcPr/>
          <w:p>
            <w:pPr>
              <w:pStyle w:val="Compact"/>
              <w:jc w:val="left"/>
            </w:pPr>
            <w:r>
              <w:rPr>
                <w:bCs/>
                <w:b/>
              </w:rPr>
              <w:t xml:space="preserve">237</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w:t>
      </w:r>
      <w:r>
        <w:t xml:space="preserve"> </w:t>
      </w:r>
      <w:r>
        <w:t xml:space="preserve">K=287 rows, k=237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cDAI and DPL counts are pre-formal-search; final values are pending</w:t>
      </w:r>
      <w:r>
        <w:t xml:space="preserve"> </w:t>
      </w:r>
      <w:r>
        <w:t xml:space="preserve">formal WoS/Scopus search and complete coding. Study (</w:t>
      </w:r>
      <w:r>
        <w:rPr>
          <w:iCs/>
          <w:i/>
        </w:rPr>
        <w:t xml:space="preserve">k</w:t>
      </w:r>
      <w:r>
        <w:t xml:space="preserve">) counts by</w:t>
      </w:r>
      <w:r>
        <w:t xml:space="preserve"> </w:t>
      </w:r>
      <w:r>
        <w:t xml:space="preserve">cDAI/DPL are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237 studies, K = 287</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 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k=237/K=287)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(k=90,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237 sample. A larger sample with better resolution across</w:t>
      </w:r>
      <w:r>
        <w:t xml:space="preserve"> </w:t>
      </w:r>
      <w:r>
        <w:t xml:space="preserve">the cDAI spectrum is required to test the CDCM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237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 782, far exceeding the</w:t>
      </w:r>
      <w:r>
        <w:t xml:space="preserve"> </w:t>
      </w:r>
      <w:r>
        <w:t xml:space="preserve">criterion of 5</w:t>
      </w:r>
      <w:r>
        <w:rPr>
          <w:iCs/>
          <w:i/>
        </w:rPr>
        <w:t xml:space="preserve">k</w:t>
      </w:r>
      <w:r>
        <w:t xml:space="preserve"> </w:t>
      </w:r>
      <w:r>
        <w:t xml:space="preserve">+ 10 = 1, 195; even under extreme publication</w:t>
      </w:r>
      <w:r>
        <w:t xml:space="preserve"> </w:t>
      </w:r>
      <w:r>
        <w:t xml:space="preserve">suppression assumptions, a trivially small effect would require 44, 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287</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0/287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237,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237 studies from 49 economies</w:t>
      </w:r>
      <w:r>
        <w:t xml:space="preserve"> </w:t>
      </w:r>
      <w:r>
        <w:t xml:space="preserve">(</w:t>
      </w:r>
      <w:r>
        <w:rPr>
          <w:iCs/>
          <w:i/>
        </w:rPr>
        <w:t xml:space="preserve">K</w:t>
      </w:r>
      <w:r>
        <w:t xml:space="preserve"> </w:t>
      </w:r>
      <w:r>
        <w:t xml:space="preserve">= 287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237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current working database. Future formal-search</w:t>
      </w:r>
      <w:r>
        <w:t xml:space="preserve"> </w:t>
      </w:r>
      <w:r>
        <w:t xml:space="preserve">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studies from 49 economies (</w:t>
      </w:r>
      <w:r>
        <w:rPr>
          <w:iCs/>
          <w:i/>
        </w:rPr>
        <w:t xml:space="preserve">K</w:t>
      </w:r>
      <w:r>
        <w:t xml:space="preserve"> </w:t>
      </w:r>
      <w:r>
        <w:t xml:space="preserve">= 287</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237,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current</w:t>
      </w:r>
      <w:r>
        <w:t xml:space="preserve"> </w:t>
      </w:r>
      <w:r>
        <w:rPr>
          <w:iCs/>
          <w:i/>
        </w:rPr>
        <w:t xml:space="preserve">k</w:t>
      </w:r>
      <w:r>
        <w:t xml:space="preserve"> </w:t>
      </w:r>
      <w:r>
        <w:t xml:space="preserve">= 237 working database;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inter-coder reliability was assessed on a 20%</w:t>
      </w:r>
      <w:r>
        <w:t xml:space="preserve"> </w:t>
      </w:r>
      <w:r>
        <w:t xml:space="preserve">double-coded subsample (</w:t>
      </w:r>
      <w:r>
        <w:rPr>
          <w:iCs/>
          <w:i/>
        </w:rPr>
        <w:t xml:space="preserve">k</w:t>
      </w:r>
      <w:r>
        <w:t xml:space="preserve"> </w:t>
      </w:r>
      <w:r>
        <w:t xml:space="preserve">= 47 studies); single-coder extraction for</w:t>
      </w:r>
      <w:r>
        <w:t xml:space="preserve"> </w:t>
      </w:r>
      <w:r>
        <w:t xml:space="preserve">the remaining 80% cannot be validated without full dual-coding.</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7"/>
    <w:bookmarkStart w:id="61"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9">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0">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1"/>
    <w:bookmarkStart w:id="62" w:name="appendix-a-prisma-2020-flow-diagram"/>
    <w:p>
      <w:pPr>
        <w:pStyle w:val="Heading2"/>
      </w:pPr>
      <w:r>
        <w:t xml:space="preserve">Appendix A, PRISMA 2020 Flow Diagram</w:t>
      </w:r>
    </w:p>
    <w:p>
      <w:pPr>
        <w:pStyle w:val="BlockText"/>
      </w:pPr>
      <w:r>
        <w:rPr>
          <w:bCs/>
          <w:b/>
        </w:rPr>
        <w:t xml:space="preserve">⚠️ All counts marked [TBD] will be confirmed after formal WoS +</w:t>
      </w:r>
      <w:r>
        <w:rPr>
          <w:bCs/>
          <w:b/>
        </w:rPr>
        <w:t xml:space="preserve"> </w:t>
      </w:r>
      <w:r>
        <w:rPr>
          <w:bCs/>
          <w:b/>
        </w:rPr>
        <w:t xml:space="preserve">Scopus search.</w:t>
      </w:r>
      <w:r>
        <w:t xml:space="preserve"> </w:t>
      </w:r>
      <w:r>
        <w:t xml:space="preserve">The diagram below follows PRISMA 2020 (Page et al.,</w:t>
      </w:r>
      <w:r>
        <w:t xml:space="preserve"> </w:t>
      </w:r>
      <w:r>
        <w:t xml:space="preserve">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238</w:t>
      </w:r>
      <w:r>
        <w:br/>
      </w:r>
      <w:r>
        <w:rPr>
          <w:rStyle w:val="VerbatimChar"/>
        </w:rPr>
        <w:t xml:space="preserve">Effect sizes coded: K = 288</w:t>
      </w:r>
      <w:r>
        <w:br/>
      </w:r>
      <w:r>
        <w:rPr>
          <w:rStyle w:val="VerbatimChar"/>
        </w:rPr>
        <w:t xml:space="preserve">  (Current working database prior to formal search: k = 237, K = 287)</w:t>
      </w:r>
    </w:p>
    <w:p>
      <w:pPr>
        <w:pStyle w:val="FirstParagraph"/>
      </w:pPr>
      <w:r>
        <w:rPr>
          <w:iCs/>
          <w:i/>
        </w:rPr>
        <w:t xml:space="preserve">The PRISMA checklist (Page et al., 2021) is available from the</w:t>
      </w:r>
      <w:r>
        <w:rPr>
          <w:iCs/>
          <w:i/>
        </w:rPr>
        <w:t xml:space="preserve"> </w:t>
      </w:r>
      <w:r>
        <w:rPr>
          <w:iCs/>
          <w:i/>
        </w:rPr>
        <w:t xml:space="preserve">corresponding author.</w:t>
      </w:r>
    </w:p>
    <w:bookmarkEnd w:id="62"/>
    <w:bookmarkStart w:id="63"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3"/>
    <w:bookmarkStart w:id="64"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k=237)</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237</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287</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w:t>
      </w:r>
      <w:r>
        <w:t xml:space="preserve"> </w:t>
      </w:r>
      <w:r>
        <w:t xml:space="preserve">reflects the expanded</w:t>
      </w:r>
      <w:r>
        <w:t xml:space="preserve"> </w:t>
      </w:r>
      <w:r>
        <w:rPr>
          <w:iCs/>
          <w:i/>
        </w:rPr>
        <w:t xml:space="preserve">k</w:t>
      </w:r>
      <w:r>
        <w:t xml:space="preserve"> </w:t>
      </w:r>
      <w:r>
        <w:t xml:space="preserve">= 237 sample and the three-level structure</w:t>
      </w:r>
      <w:r>
        <w:t xml:space="preserve"> </w:t>
      </w:r>
      <w:r>
        <w:t xml:space="preserve">that partitions variance across levels correctly. The narrower 95% CI</w:t>
      </w:r>
      <w:r>
        <w:t xml:space="preserve"> </w:t>
      </w:r>
      <w:r>
        <w:t xml:space="preserve">reflects the precision gain from 237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 900 words</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2026-06-08T10:10:42Z</dcterms:created>
  <dcterms:modified xsi:type="dcterms:W3CDTF">2026-06-08T10:10:42Z</dcterms:modified>
</cp:coreProperties>
</file>

<file path=docProps/custom.xml><?xml version="1.0" encoding="utf-8"?>
<Properties xmlns="http://schemas.openxmlformats.org/officeDocument/2006/custom-properties" xmlns:vt="http://schemas.openxmlformats.org/officeDocument/2006/docPropsVTypes"/>
</file>