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237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237,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237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237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237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237 studies from 49 economies, K = 287</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287 effects within k = 237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w:t>
      </w:r>
      <w:r>
        <w:t xml:space="preserve"> </w:t>
      </w:r>
      <w:r>
        <w:t xml:space="preserve">Science (WoS Core Collection: SSCI, SCI-E, ESCI) and Scopus, the two</w:t>
      </w:r>
      <w:r>
        <w:t xml:space="preserve"> </w:t>
      </w:r>
      <w:r>
        <w:t xml:space="preserve">most comprehensive multi-disciplinary databases for peer-reviewed</w:t>
      </w:r>
      <w:r>
        <w:t xml:space="preserve"> </w:t>
      </w:r>
      <w:r>
        <w:t xml:space="preserve">international business research (Kraus et al., 2022).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Records identified from electronic databases</w:t>
      </w:r>
      <w:r>
        <w:t xml:space="preserve"> </w:t>
      </w:r>
      <w:r>
        <w:t xml:space="preserve">(WoS + Scopus): [</w:t>
      </w:r>
      <w:r>
        <w:rPr>
          <w:iCs/>
          <w:i/>
        </w:rPr>
        <w:t xml:space="preserve">n</w:t>
      </w:r>
      <w:r>
        <w:t xml:space="preserve"> </w:t>
      </w:r>
      <w:r>
        <w:t xml:space="preserve">= TBD] → After automated deduplication: [</w:t>
      </w:r>
      <w:r>
        <w:rPr>
          <w:iCs/>
          <w:i/>
        </w:rPr>
        <w:t xml:space="preserve">n</w:t>
      </w:r>
      <w:r>
        <w:t xml:space="preserve"> </w:t>
      </w:r>
      <w:r>
        <w:t xml:space="preserve">=</w:t>
      </w:r>
      <w:r>
        <w:t xml:space="preserve"> </w:t>
      </w:r>
      <w:r>
        <w:t xml:space="preserve">TBD] → Title/abstract screen (two independent coders): [</w:t>
      </w:r>
      <w:r>
        <w:rPr>
          <w:iCs/>
          <w:i/>
        </w:rPr>
        <w:t xml:space="preserve">n</w:t>
      </w:r>
      <w:r>
        <w:t xml:space="preserve"> </w:t>
      </w:r>
      <w:r>
        <w:t xml:space="preserve">= TBD]</w:t>
      </w:r>
      <w:r>
        <w:t xml:space="preserve"> </w:t>
      </w:r>
      <w:r>
        <w:t xml:space="preserve">retained → Full-text eligibility assessment: [</w:t>
      </w:r>
      <w:r>
        <w:rPr>
          <w:iCs/>
          <w:i/>
        </w:rPr>
        <w:t xml:space="preserve">n</w:t>
      </w:r>
      <w:r>
        <w:t xml:space="preserve"> </w:t>
      </w:r>
      <w:r>
        <w:t xml:space="preserve">= TBD] assessed →</w:t>
      </w:r>
      <w:r>
        <w:t xml:space="preserve"> </w:t>
      </w:r>
      <w:r>
        <w:t xml:space="preserve">Effect size extractable and meeting all eligibility criteria: [</w:t>
      </w:r>
      <w:r>
        <w:rPr>
          <w:iCs/>
          <w:i/>
        </w:rPr>
        <w:t xml:space="preserve">k</w:t>
      </w:r>
      <w:r>
        <w:t xml:space="preserve"> </w:t>
      </w:r>
      <w:r>
        <w:t xml:space="preserve">=</w:t>
      </w:r>
      <w:r>
        <w:t xml:space="preserve"> </w:t>
      </w:r>
      <w:r>
        <w:t xml:space="preserve">238 studies;</w:t>
      </w:r>
      <w:r>
        <w:t xml:space="preserve"> </w:t>
      </w:r>
      <w:r>
        <w:rPr>
          <w:iCs/>
          <w:i/>
        </w:rPr>
        <w:t xml:space="preserve">K</w:t>
      </w:r>
      <w:r>
        <w:t xml:space="preserve"> </w:t>
      </w:r>
      <w:r>
        <w:t xml:space="preserve">= 288 effect sizes]. Detailed exclusion reasons at</w:t>
      </w:r>
      <w:r>
        <w:t xml:space="preserve"> </w:t>
      </w:r>
      <w:r>
        <w:t xml:space="preserve">each screening stage are reported in Appendix A (PRISMA 2020 flow</w:t>
      </w:r>
      <w:r>
        <w:t xml:space="preserve"> </w:t>
      </w:r>
      <w:r>
        <w:t xml:space="preserve">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w:t>
      </w:r>
      <w:r>
        <w:t xml:space="preserve"> </w:t>
      </w:r>
      <w:r>
        <w:t xml:space="preserve">287 effect sizes) was assembled from backward citation screening and</w:t>
      </w:r>
      <w:r>
        <w:t xml:space="preserve"> </w:t>
      </w:r>
      <w:r>
        <w:t xml:space="preserve">hand-search prior to the formal database search; all counts will be</w:t>
      </w:r>
      <w:r>
        <w:t xml:space="preserve"> </w:t>
      </w:r>
      <w:r>
        <w:t xml:space="preserve">updated to confirmed figures after the formal WoS/Scopus search is</w:t>
      </w:r>
      <w:r>
        <w:t xml:space="preserve"> </w:t>
      </w:r>
      <w:r>
        <w:t xml:space="preserve">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(PI: Đỗ Thùy Hương),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237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237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237 studies from 49 economies</w:t>
      </w:r>
      <w:r>
        <w:t xml:space="preserve"> </w:t>
      </w:r>
      <w:r>
        <w:t xml:space="preserve">(</w:t>
      </w:r>
      <w:r>
        <w:rPr>
          <w:iCs/>
          <w:i/>
        </w:rPr>
        <w:t xml:space="preserve">K</w:t>
      </w:r>
      <w:r>
        <w:t xml:space="preserve"> </w:t>
      </w:r>
      <w:r>
        <w:t xml:space="preserve">= 287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237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studies from 49 economies (</w:t>
      </w:r>
      <w:r>
        <w:rPr>
          <w:iCs/>
          <w:i/>
        </w:rPr>
        <w:t xml:space="preserve">K</w:t>
      </w:r>
      <w:r>
        <w:t xml:space="preserve"> </w:t>
      </w:r>
      <w:r>
        <w:t xml:space="preserve">= 287</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237,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appendix-a-prisma-2020-flow-diagram"/>
    <w:p>
      <w:pPr>
        <w:pStyle w:val="Heading2"/>
      </w:pPr>
      <w:r>
        <w:t xml:space="preserve">Appendix A, PRISMA 2020 Flow Diagram</w:t>
      </w:r>
    </w:p>
    <w:p>
      <w:pPr>
        <w:pStyle w:val="BlockText"/>
      </w:pPr>
      <w:r>
        <w:rPr>
          <w:bCs/>
          <w:b/>
        </w:rPr>
        <w:t xml:space="preserve">⚠️ All counts marked [TBD] will be confirmed after formal WoS +</w:t>
      </w:r>
      <w:r>
        <w:rPr>
          <w:bCs/>
          <w:b/>
        </w:rPr>
        <w:t xml:space="preserve"> </w:t>
      </w:r>
      <w:r>
        <w:rPr>
          <w:bCs/>
          <w:b/>
        </w:rPr>
        <w:t xml:space="preserve">Scopus search.</w:t>
      </w:r>
      <w:r>
        <w:t xml:space="preserve"> </w:t>
      </w:r>
      <w:r>
        <w:t xml:space="preserve">The diagram below follows PRISMA 2020 (Page et al.,</w:t>
      </w:r>
      <w:r>
        <w:t xml:space="preserve"> </w:t>
      </w:r>
      <w:r>
        <w:t xml:space="preserve">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w:t>
      </w:r>
      <w:r>
        <w:rPr>
          <w:iCs/>
          <w:i/>
        </w:rPr>
        <w:t xml:space="preserve"> </w:t>
      </w:r>
      <w:r>
        <w:rPr>
          <w:iCs/>
          <w:i/>
        </w:rPr>
        <w:t xml:space="preserve">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237 sample and the three-level structure</w:t>
      </w:r>
      <w:r>
        <w:t xml:space="preserve"> </w:t>
      </w:r>
      <w:r>
        <w:t xml:space="preserve">that partitions variance across levels correctly. The narrower 95% CI</w:t>
      </w:r>
      <w:r>
        <w:t xml:space="preserve"> </w:t>
      </w:r>
      <w:r>
        <w:t xml:space="preserve">reflects the precision gain from 237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2026-06-08T10:10:43Z</dcterms:created>
  <dcterms:modified xsi:type="dcterms:W3CDTF">2026-06-08T10:10:43Z</dcterms:modified>
</cp:coreProperties>
</file>

<file path=docProps/custom.xml><?xml version="1.0" encoding="utf-8"?>
<Properties xmlns="http://schemas.openxmlformats.org/officeDocument/2006/custom-properties" xmlns:vt="http://schemas.openxmlformats.org/officeDocument/2006/docPropsVTypes"/>
</file>