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chương-3-phương-pháp-nghiên-cứu"/>
    <w:p>
      <w:pPr>
        <w:pStyle w:val="Heading1"/>
      </w:pPr>
      <w:r>
        <w:t xml:space="preserve">CHƯƠNG 3: PHƯƠNG PHÁP NGHIÊN CỨU</w:t>
      </w:r>
    </w:p>
    <w:p>
      <w:r>
        <w:pict>
          <v:rect style="width:0;height:1.5pt" o:hralign="center" o:hrstd="t" o:hr="t"/>
        </w:pict>
      </w:r>
    </w:p>
    <w:bookmarkStart w:id="22" w:name="X5941ec2c11a959ab436d2688aecb01c885af8d5"/>
    <w:p>
      <w:pPr>
        <w:pStyle w:val="Heading2"/>
      </w:pPr>
      <w:r>
        <w:t xml:space="preserve">3.1 Thiết kế nghiên cứu tổng thể</w:t>
      </w:r>
    </w:p>
    <w:bookmarkStart w:id="20" w:name="X0ad18f2ea0f327e90ab493b140585d0f339e352"/>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literature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47 nền kinh tế</w:t>
      </w:r>
      <w:r>
        <w:t xml:space="preserve"> </w:t>
      </w:r>
      <w:r>
        <w:t xml:space="preserve">là thiết kế hiếm gặp; đa số các luận án IB chỉ làm một trong hai phase. Quy mô 47 nước/101.185 doanh nghiệp là phạm vi địa lý lớn nhất từng có cho khu vực, mở rộng từ pool 17 nước trong Đỗ và Phan (2026 — VEFR).</w:t>
      </w:r>
    </w:p>
    <w:bookmarkEnd w:id="20"/>
    <w:bookmarkStart w:id="21" w:name="Xfd5ae7e7a2cc0c8be87a7a0d68c06af783c9b59"/>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47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1"/>
    <w:bookmarkEnd w:id="22"/>
    <w:bookmarkStart w:id="26" w:name="Xba2b2f63509bf3587653379b96fe905a4c38721"/>
    <w:p>
      <w:pPr>
        <w:pStyle w:val="Heading2"/>
      </w:pPr>
      <w:r>
        <w:t xml:space="preserve">3.2 Phase 1 — Meta-analysis 1982–2026</w:t>
      </w:r>
    </w:p>
    <w:bookmarkStart w:id="23" w:name="X6548c445f253576ab77db0afe7759a99accc5ae"/>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3"/>
    <w:bookmarkStart w:id="24" w:name="X4cc0e11cc2b0a899e7494b6932e6c46974fcac7"/>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1"/>
        </w:numPr>
        <w:pStyle w:val="Compact"/>
      </w:pPr>
      <w:r>
        <w:rPr>
          <w:bCs/>
          <w:b/>
        </w:rPr>
        <w:t xml:space="preserve">Mục tiêu pool</w:t>
      </w:r>
      <w:r>
        <w:t xml:space="preserve">: ~172 effect-size units, tăng so với 200 effect sizes / 113 nghiên cứu trong bản nền.</w:t>
      </w:r>
    </w:p>
    <w:p>
      <w:pPr>
        <w:numPr>
          <w:ilvl w:val="0"/>
          <w:numId w:val="1001"/>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Đỗ và Phan (2026 — VEFR).</w:t>
      </w:r>
    </w:p>
    <w:bookmarkEnd w:id="24"/>
    <w:bookmarkStart w:id="25" w:name="Xae02c1433054ac6c9ee47047d46e66bd13cdc6b"/>
    <w:p>
      <w:pPr>
        <w:pStyle w:val="Heading3"/>
      </w:pPr>
      <w:r>
        <w:t xml:space="preserve">3.2.3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5"/>
    <w:bookmarkEnd w:id="26"/>
    <w:bookmarkStart w:id="32" w:name="X2c6e58f89857f64ac5f06ae1a6ddd1deb030675"/>
    <w:p>
      <w:pPr>
        <w:pStyle w:val="Heading2"/>
      </w:pPr>
      <w:r>
        <w:t xml:space="preserve">3.3 Phase 2 — Phân tích thực nghiệm đa quốc gia</w:t>
      </w:r>
    </w:p>
    <w:bookmarkStart w:id="27" w:name="Xf7fc23c09ac90b299b0f14681e1df5ca5c5e569"/>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47 nền kinh tế châu Á và Pacific</w:t>
      </w:r>
      <w:r>
        <w:t xml:space="preserve"> </w:t>
      </w:r>
      <w:r>
        <w:t xml:space="preserve">trong giai đoạn</w:t>
      </w:r>
      <w:r>
        <w:t xml:space="preserve"> </w:t>
      </w:r>
      <w:r>
        <w:rPr>
          <w:bCs/>
          <w:b/>
        </w:rPr>
        <w:t xml:space="preserve">2009–2025</w:t>
      </w:r>
      <w:r>
        <w:t xml:space="preserve"> </w:t>
      </w:r>
      <w:r>
        <w:t xml:space="preserve">(101.185 doanh nghiệp · 108 cặp quốc gia × năm ·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(Đỗ &amp; Phan, 2026 — VEFR).</w:t>
      </w:r>
    </w:p>
    <w:p>
      <w:pPr>
        <w:pStyle w:val="BodyText"/>
      </w:pPr>
      <w:r>
        <w:rPr>
          <w:bCs/>
          <w:b/>
        </w:rPr>
        <w:t xml:space="preserve">Đóng góp mới</w:t>
      </w:r>
      <w:r>
        <w:t xml:space="preserve">: mở rộng quy mô từ 17 sang</w:t>
      </w:r>
      <w:r>
        <w:t xml:space="preserve"> </w:t>
      </w:r>
      <w:r>
        <w:rPr>
          <w:bCs/>
          <w:b/>
        </w:rPr>
        <w:t xml:space="preserve">47 nền kinh tế châu Á và Pacific</w:t>
      </w:r>
      <w:r>
        <w:t xml:space="preserve">, với 6 sub-regime ICRV (Advanced innovation-driven, Advanced resource-driven, Upper-middle, Emerging, Frontier, Pacific SIDS). Quy mô này là lớn nhất cho khu vực trong literature internationalization–performance, gồm cả boundary case Pacific SIDS (9 nước, n=1.469 (mẫu phân tích sau lọc missing)) cho phép kiểm định forced internationalization penalty (Đỗ &amp; Phan, 2026 — P8 manuscript).</w:t>
      </w:r>
    </w:p>
    <w:bookmarkEnd w:id="27"/>
    <w:bookmarkStart w:id="28" w:name="X2013f18ac82d23d08403a6b9339b953a5fef2fa"/>
    <w:p>
      <w:pPr>
        <w:pStyle w:val="Heading3"/>
      </w:pPr>
      <w:r>
        <w:t xml:space="preserve">3.3.2 Đo lường biến phụ thuộc —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(Đỗ &amp; Phan, 2026 — VEFR).</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8"/>
    <w:bookmarkStart w:id="29" w:name="X40a8e724c89b196c45c024f01b1458111f91588"/>
    <w:p>
      <w:pPr>
        <w:pStyle w:val="Heading3"/>
      </w:pPr>
      <w:r>
        <w:t xml:space="preserve">3.3.3 Đo lường biến độc lập —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Đỗ và Phan (2026 — JFAR) xác nhận có ý nghĩa thống kê ở Trung Quốc với turning point ~47,8% FSTS, làm baseline cho việc kiểm định mở rộng trong luận án.</w:t>
      </w:r>
    </w:p>
    <w:bookmarkEnd w:id="29"/>
    <w:bookmarkStart w:id="30" w:name="Xa7342efa9e4440bffeb50b266b6e2d5207de558"/>
    <w:p>
      <w:pPr>
        <w:pStyle w:val="Heading3"/>
      </w:pPr>
      <w:r>
        <w:t xml:space="preserve">3.3.4 Đo lường biến điều tiết</w:t>
      </w:r>
    </w:p>
    <w:p>
      <w:pPr>
        <w:pStyle w:val="FirstParagraph"/>
      </w:pPr>
      <w:r>
        <w:rPr>
          <w:bCs/>
          <w:b/>
        </w:rPr>
        <w:t xml:space="preserve">a) Digital constructs (TCI và DAI)</w:t>
      </w:r>
    </w:p>
    <w:p>
      <w:pPr>
        <w:pStyle w:val="BodyText"/>
      </w:pPr>
      <w:r>
        <w:t xml:space="preserve">Luận án phân biệt rõ hai construct:</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 "digital shield effect" được Đỗ và Phan (2026 — VEFR)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47 nền kinh tế châu Á và Pacific, với pipeline hòa hợp 3 thế hệ schema. Phân tách TCI và DAI theo (i) Bharadwaj et al. (2013) — IT capability vs digital business strategy có nomological nets khác nhau; (ii) phân tầng 3 cấp của Verhoef et al. (2021) —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 đảm bảo TCI và DAI là hai composite độc lập.</w:t>
      </w:r>
    </w:p>
    <w:p>
      <w:pPr>
        <w:pStyle w:val="BodyText"/>
      </w:pPr>
      <w:r>
        <w:rPr>
          <w:bCs/>
          <w:b/>
        </w:rPr>
        <w:t xml:space="preserve">b) Biến thể chế</w:t>
      </w:r>
    </w:p>
    <w:p>
      <w:pPr>
        <w:pStyle w:val="BodyText"/>
      </w:pPr>
      <w:r>
        <w:rPr>
          <w:bCs/>
          <w:b/>
        </w:rPr>
        <w:t xml:space="preserve">Biến chính</w:t>
      </w:r>
      <w:r>
        <w:t xml:space="preserve">: business obstacle index (tổng hợp từ các câu hỏi WBES về obstacles), country-level governance proxies (WGI Rule of Law,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p>
      <w:pPr>
        <w:pStyle w:val="BodyText"/>
      </w:pPr>
      <w:r>
        <w:rPr>
          <w:bCs/>
          <w:b/>
        </w:rPr>
        <w:t xml:space="preserve">c) Đặc điểm nhà quản trị cấp cao</w:t>
      </w:r>
    </w:p>
    <w:p>
      <w:pPr>
        <w:pStyle w:val="BodyText"/>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0"/>
    <w:bookmarkStart w:id="31" w:name="X242c994c02f3871ea8359747a875373a8cd3eca"/>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1"/>
    <w:bookmarkEnd w:id="32"/>
    <w:bookmarkStart w:id="44" w:name="Xd77d50b091b2ed22b6b5e4ab46917b297ec7074"/>
    <w:p>
      <w:pPr>
        <w:pStyle w:val="Heading2"/>
      </w:pPr>
      <w:r>
        <w:t xml:space="preserve">3.4 Mô hình phân tích</w:t>
      </w:r>
    </w:p>
    <w:bookmarkStart w:id="33" w:name="Xd5826715f3ece4e9c39fdb63b501527e807067b"/>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3"/>
    <w:bookmarkStart w:id="34" w:name="X91b9254fb543667278f4d6a826ba3dee0d78b94"/>
    <w:p>
      <w:pPr>
        <w:pStyle w:val="Heading3"/>
      </w:pPr>
      <w:r>
        <w:t xml:space="preserve">3.4.2 Mô hình empirical —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4"/>
    <w:bookmarkStart w:id="35" w:name="Xd036ade5cbc6fe7e16e65a122bd3e74624d8208"/>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w:t>
      </w:r>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Đỗ và Phan (2026 — JFAR)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5"/>
    <w:bookmarkStart w:id="36" w:name="X1770fb5e1eb3ddd0dda21d7e660ee6e6f352fa1"/>
    <w:p>
      <w:pPr>
        <w:pStyle w:val="Heading3"/>
      </w:pPr>
      <w:r>
        <w:t xml:space="preserve">3.4.4 Mô hình moderation (H2–H6)</w:t>
      </w:r>
    </w:p>
    <w:p>
      <w:pPr>
        <w:pStyle w:val="FirstParagraph"/>
      </w:pPr>
      <w:r>
        <w:t xml:space="preserve">**Two-way interaction (H2, H3)</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p>
      <w:pPr>
        <w:pStyle w:val="BodyText"/>
      </w:pPr>
      <w:r>
        <w:t xml:space="preserve">**Three-way interaction (synthesis)</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47 nước chưa được kiểm định trước đây.</w:t>
      </w:r>
    </w:p>
    <w:bookmarkEnd w:id="36"/>
    <w:bookmarkStart w:id="37" w:name="Xaf6b17085c51fbfd36dab2a1029a4e6f9b0638d"/>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Đỗ và Phan (2026 — JFAR)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37"/>
    <w:bookmarkStart w:id="38" w:name="Xe9c37da457fcc384a1a2e7197bb3bb5235b6f8f"/>
    <w:p>
      <w:pPr>
        <w:pStyle w:val="Heading3"/>
      </w:pPr>
      <w:r>
        <w:t xml:space="preserve">3.4.5.1 Mô hình cụ thể —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rPr>
          <w:bCs/>
          <w:b/>
        </w:rPr>
        <w:t xml:space="preserve">CDDXK_c²_it</w:t>
      </w:r>
      <w:r>
        <w:t xml:space="preserve"> </w:t>
      </w:r>
      <w:r>
        <w:t xml:space="preserve">= FSTS_c²_it: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 Quốc tế hoá phi tuyến (kiểm định H1 —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 Nghiên cứu 3 (Việt Nam):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38"/>
    <w:bookmarkStart w:id="39" w:name="Xc82b1aa0784a668aba43881d1c592a6ad08e5ee"/>
    <w:p>
      <w:pPr>
        <w:pStyle w:val="Heading3"/>
      </w:pPr>
      <w:r>
        <w:t xml:space="preserve">3.4.5.2 Mô hình cụ thể —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CDDXK_c² là bình phương</w:t>
      </w:r>
    </w:p>
    <w:p>
      <w:pPr>
        <w:numPr>
          <w:ilvl w:val="0"/>
          <w:numId w:val="1004"/>
        </w:numPr>
        <w:pStyle w:val="Compact"/>
      </w:pPr>
      <w:r>
        <w:rPr>
          <w:bCs/>
          <w:b/>
        </w:rPr>
        <w:t xml:space="preserve">NLCN_z_i</w:t>
      </w:r>
      <w:r>
        <w:t xml:space="preserve"> </w:t>
      </w:r>
      <w:r>
        <w:t xml:space="preserve">= TCI_z_i: năng lực công nghệ —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w:t>
      </w:r>
      <w:r>
        <w:t xml:space="preserve">— z-std của trung bình(c22b₀₁, k33₀₁, k38₀₁); khác P3 ở chỗ bao gồm e-payment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sector fixed effects (ISIC 1-chữ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 không bác bỏ tuyến tính trong phạm vi dữ liệu quan sát; đây là kết quả thông tin tích cực theo khung bão hòa (saturation framework)</w:t>
      </w:r>
    </w:p>
    <w:p>
      <w:pPr>
        <w:pStyle w:val="BlockText"/>
      </w:pPr>
      <w:r>
        <w:t xml:space="preserve">M3 (+ NLCN —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 Nghiên cứu 4 (Singapore):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39"/>
    <w:bookmarkStart w:id="40" w:name="Xd7af671c66f92fda4c51769a4f141e153734d80"/>
    <w:p>
      <w:pPr>
        <w:pStyle w:val="Heading3"/>
      </w:pPr>
      <w:r>
        <w:t xml:space="preserve">3.4.5.3 Mô hình cụ thể —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 "panel core" được sử dụng cho cluster-robust SE).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 chỉ c22b₀₁ (Tier-1 mỏng, single-item binary)</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 kiểm định H1):</w:t>
      </w:r>
      <w:r>
        <w:t xml:space="preserve"> </w:t>
      </w:r>
      <w:r>
        <w:t xml:space="preserve">lnNSLD_it = α + β₁ CDDXK_c_it + β₂ CDDXK_c²_it + γ·X_it + δ_s + λ_t + ε_it</w:t>
      </w:r>
      <w:r>
        <w:t xml:space="preserve"> </w:t>
      </w:r>
      <w:r>
        <w:t xml:space="preserve">H1: β₁ &gt; 0, β₂ &lt; 0; TP* = −β₁/(2β₂) — điểm uốn 49,4% (2012) và 47,2% (2024)</w:t>
      </w:r>
      <w:r>
        <w:t xml:space="preserve"> </w:t>
      </w:r>
      <w:r>
        <w:t xml:space="preserve">Kiểm định ổn định cấu trúc: Paternoster (1998) z-test: z(FSTS) = +0,82 (p = 0,412); z(FSTS²) = −0,61 (p = 0,545) → không bác bỏ bình đẳng hệ số giữa hai sóng</w:t>
      </w:r>
    </w:p>
    <w:p>
      <w:pPr>
        <w:pStyle w:val="BlockText"/>
      </w:pPr>
      <w:r>
        <w:t xml:space="preserve">M3 (+ NLCN trực tiếp — H2 level-shift):</w:t>
      </w:r>
      <w:r>
        <w:t xml:space="preserve"> </w:t>
      </w:r>
      <w:r>
        <w:t xml:space="preserve">lnNSLD_it = α + β₁ CDDXK_c + β₂ CDDXK_c² + β₃ NLCN_z + γ·X + δ_s + λ_t + ε</w:t>
      </w:r>
      <w:r>
        <w:t xml:space="preserve"> </w:t>
      </w:r>
      <w:r>
        <w:t xml:space="preserve">Kết quả: β₃ = +0,28 (2012, p &lt; 0,001), +0,43 (2024, p &lt; 0,001) — TCI là "bộ tăng mức" (level-shifter),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 tương tự cho β₂ (FSTS²)</w:t>
      </w:r>
    </w:p>
    <w:p>
      <w:pPr>
        <w:pStyle w:val="BlockText"/>
      </w:pPr>
      <w:r>
        <w:t xml:space="preserve">M6 (Điều tiết ba chiều —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 H4b (null capability-curvature moderation) được chấp nhận</w:t>
      </w:r>
    </w:p>
    <w:p>
      <w:pPr>
        <w:pStyle w:val="FirstParagraph"/>
      </w:pPr>
      <w:r>
        <w:rPr>
          <w:bCs/>
          <w:b/>
        </w:rPr>
        <w:t xml:space="preserve">Bảng định nghĩa biến — Nghiên cứu 5 (Trung Quốc):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("panel core") tạo thêm nhận dạng biến thiên trong mẫu trong khi clustered SE theo idstd xử lý tương quan nội nhóm. DAI Trung Quốc chỉ là Tier-1 đơn biến — không đủ để kiểm định CDCM; hàm ý chính sách và lý thuyết khác với P4 Singapore (Tier-1+2).</w:t>
      </w:r>
    </w:p>
    <w:p>
      <w:r>
        <w:pict>
          <v:rect style="width:0;height:1.5pt" o:hralign="center" o:hrstd="t" o:hr="t"/>
        </w:pict>
      </w:r>
    </w:p>
    <w:bookmarkEnd w:id="40"/>
    <w:bookmarkStart w:id="42" w:name="Xd325577eb4b3aeedca208ff99575fa4709eddc8"/>
    <w:p>
      <w:pPr>
        <w:pStyle w:val="Heading3"/>
      </w:pPr>
      <w:r>
        <w:t xml:space="preserve">3.4.5.4 Mô hình cụ thể —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6"/>
        </w:numPr>
        <w:pStyle w:val="Compact"/>
      </w:pPr>
      <w:r>
        <w:rPr>
          <w:bCs/>
          <w:b/>
        </w:rPr>
        <w:t xml:space="preserve">lnNSLD_it</w:t>
      </w:r>
      <w:r>
        <w:t xml:space="preserve">: ln(năng suất lao động) = ln(doanh thu / lao động thường trực) — biến phụ thuộc</w:t>
      </w:r>
    </w:p>
    <w:p>
      <w:pPr>
        <w:numPr>
          <w:ilvl w:val="0"/>
          <w:numId w:val="1006"/>
        </w:numPr>
        <w:pStyle w:val="Compact"/>
      </w:pPr>
      <w:r>
        <w:rPr>
          <w:bCs/>
          <w:b/>
        </w:rPr>
        <w:t xml:space="preserve">CDDXK_c_it</w:t>
      </w:r>
      <w:r>
        <w:t xml:space="preserve">: cường độ xuất khẩu mean-centred — FSTS_c = (d3c/100) − mean_pool(FSTS)</w:t>
      </w:r>
    </w:p>
    <w:p>
      <w:pPr>
        <w:numPr>
          <w:ilvl w:val="0"/>
          <w:numId w:val="1006"/>
        </w:numPr>
        <w:pStyle w:val="Compact"/>
      </w:pPr>
      <w:r>
        <w:rPr>
          <w:bCs/>
          <w:b/>
        </w:rPr>
        <w:t xml:space="preserve">CDDXK_c²_it</w:t>
      </w:r>
      <w:r>
        <w:t xml:space="preserve">: CDDXK_c bình phương — kiểm định phi tuyến</w:t>
      </w:r>
    </w:p>
    <w:p>
      <w:pPr>
        <w:numPr>
          <w:ilvl w:val="0"/>
          <w:numId w:val="1006"/>
        </w:numPr>
        <w:pStyle w:val="Compact"/>
      </w:pPr>
      <w:r>
        <w:rPr>
          <w:bCs/>
          <w:b/>
        </w:rPr>
        <w:t xml:space="preserve">NLCN_z_it</w:t>
      </w:r>
      <w:r>
        <w:t xml:space="preserve">: năng lực công nghệ z-standardised — TCI_z = z-std(b8, e6)</w:t>
      </w:r>
    </w:p>
    <w:p>
      <w:pPr>
        <w:numPr>
          <w:ilvl w:val="0"/>
          <w:numId w:val="1006"/>
        </w:numPr>
        <w:pStyle w:val="Compact"/>
      </w:pPr>
      <w:r>
        <w:rPr>
          <w:bCs/>
          <w:b/>
        </w:rPr>
        <w:t xml:space="preserve">CSS_z_it</w:t>
      </w:r>
      <w:r>
        <w:t xml:space="preserve">: chỉ số số hoá z-standardised — DAI_z = z-std(website + e-pay,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top manager là nữ (binary, b7a/b6a)</w:t>
      </w:r>
    </w:p>
    <w:p>
      <w:pPr>
        <w:numPr>
          <w:ilvl w:val="0"/>
          <w:numId w:val="1006"/>
        </w:numPr>
        <w:pStyle w:val="Compact"/>
      </w:pPr>
      <w:r>
        <w:rPr>
          <w:bCs/>
          <w:b/>
        </w:rPr>
        <w:t xml:space="preserve">ICRV_j</w:t>
      </w:r>
      <w:r>
        <w:t xml:space="preserve">: phân loại chế độ thể chế ICRV (integer 1–6, Advanced→SIDS)</w:t>
      </w:r>
    </w:p>
    <w:p>
      <w:pPr>
        <w:numPr>
          <w:ilvl w:val="0"/>
          <w:numId w:val="1006"/>
        </w:numPr>
        <w:pStyle w:val="Compact"/>
      </w:pPr>
      <w:r>
        <w:rPr>
          <w:bCs/>
          <w:b/>
        </w:rPr>
        <w:t xml:space="preserve">lnLD_it</w:t>
      </w:r>
      <w:r>
        <w:t xml:space="preserve">: ln(lao động thường trực) —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 Nghiên cứu 7 (đa quốc gia)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 38.342 (M3, thêm kiểm soát) → 29.840 (M11, thêm manager + ICRV + three-way). DAI P7 là Tier 1+2 khi k33 có mặt, Tier-1 only khi thiếu —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41" w:name="X4a5526e778224b6984af319ac51111aa01114f7"/>
    <w:p>
      <w:pPr>
        <w:pStyle w:val="Heading4"/>
      </w:pPr>
      <w:r>
        <w:t xml:space="preserve">3.4.5.5 Mô hình cụ thể — Nghiên cứu 8: Pacific SIDS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Pacific SIDS</w:t>
      </w:r>
      <w:r>
        <w:t xml:space="preserve"> </w:t>
      </w:r>
      <w:r>
        <w:t xml:space="preserve">(Fiji, Papua New Guinea, Samoa, Solomon Islands, Timor-Leste, Tonga, Vanuatu, và các đảo nhỏ khác) từ các sóng WBES 2009–2025. Đây là nhóm thể chế ICRV Nhóm VI — cấp thấp nhất trong phân loại 6 chế độ —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 FIP)</w:t>
      </w:r>
      <w:r>
        <w:t xml:space="preserve"> </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 KHÔNG gọi là "năng lực số hoá động".</w:t>
      </w:r>
    </w:p>
    <w:p>
      <w:pPr>
        <w:pStyle w:val="BodyText"/>
      </w:pPr>
      <w:r>
        <w:rPr>
          <w:bCs/>
          <w:b/>
        </w:rPr>
        <w:t xml:space="preserve">Chuỗi mô hình M0–M3 (P8):</w:t>
      </w:r>
    </w:p>
    <w:p>
      <w:pPr>
        <w:pStyle w:val="BodyText"/>
      </w:pPr>
      <w:r>
        <w:t xml:space="preserve">M0 —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 (robustness checks):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Year FE only (không country FE)</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Exporters-only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specification xác nhận FIP không phải do selection bias hay outlier.</w:t>
      </w:r>
    </w:p>
    <w:p>
      <w:pPr>
        <w:pStyle w:val="BodyText"/>
      </w:pPr>
      <w:r>
        <w:rPr>
          <w:bCs/>
          <w:b/>
        </w:rPr>
        <w:t xml:space="preserve">Bảng định nghĩa biến — Nghiên cứu 8 (Pacific SIDS)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 WBES không thu thập thang đo đầy đủ cho số hoá động tại SIDS.</w:t>
      </w:r>
    </w:p>
    <w:p>
      <w:r>
        <w:pict>
          <v:rect style="width:0;height:1.5pt" o:hralign="center" o:hrstd="t" o:hr="t"/>
        </w:pict>
      </w:r>
    </w:p>
    <w:bookmarkEnd w:id="41"/>
    <w:bookmarkEnd w:id="42"/>
    <w:bookmarkStart w:id="43" w:name="Xcb5234575391557b76fcccc317c70eb26569684"/>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43"/>
    <w:bookmarkEnd w:id="44"/>
    <w:bookmarkStart w:id="50" w:name="X8be9b8b49491f51852c13794a1720d171ee5535"/>
    <w:p>
      <w:pPr>
        <w:pStyle w:val="Heading2"/>
      </w:pPr>
      <w:r>
        <w:t xml:space="preserve">3.5 Kiểm định độ vững</w:t>
      </w:r>
    </w:p>
    <w:bookmarkStart w:id="45" w:name="Xa00f076f3963b547ab7d43d6f55fd4f3a5113c5"/>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7"/>
        </w:numPr>
        <w:pStyle w:val="Compact"/>
      </w:pPr>
      <w:r>
        <w:t xml:space="preserve">Biến độc lập: thay FSTS bằng export status (binary), foreign sales count.</w:t>
      </w:r>
    </w:p>
    <w:p>
      <w:pPr>
        <w:numPr>
          <w:ilvl w:val="0"/>
          <w:numId w:val="1007"/>
        </w:numPr>
        <w:pStyle w:val="Compact"/>
      </w:pPr>
      <w:r>
        <w:t xml:space="preserve">Biến moderator: thay DAI_thin bằng DAI_rich (cho subset 2024+).</w:t>
      </w:r>
    </w:p>
    <w:bookmarkEnd w:id="45"/>
    <w:bookmarkStart w:id="46" w:name="Xac2ebbdc11b48daafdee8742a5cbdf7e2e607ee"/>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46"/>
    <w:bookmarkStart w:id="47" w:name="X7f474d927517549e35ccb278e2098f6d3b759d4"/>
    <w:p>
      <w:pPr>
        <w:pStyle w:val="Heading3"/>
      </w:pPr>
      <w:r>
        <w:t xml:space="preserve">3.5.3 Outliers</w:t>
      </w:r>
    </w:p>
    <w:p>
      <w:pPr>
        <w:pStyle w:val="FirstParagraph"/>
      </w:pPr>
      <w:r>
        <w:t xml:space="preserve">Winsorization 1% và 5% đối với labor productivity và employment, áp dụng trong từng country-year.</w:t>
      </w:r>
    </w:p>
    <w:bookmarkEnd w:id="47"/>
    <w:bookmarkStart w:id="48" w:name="X2da9a9ba2cec2086c1dda0df0458753db93e2e3"/>
    <w:p>
      <w:pPr>
        <w:pStyle w:val="Heading3"/>
      </w:pPr>
      <w:r>
        <w:t xml:space="preserve">3.5.4 Multicollinearity và heteroscedasticity</w:t>
      </w:r>
    </w:p>
    <w:p>
      <w:pPr>
        <w:numPr>
          <w:ilvl w:val="0"/>
          <w:numId w:val="1008"/>
        </w:numPr>
        <w:pStyle w:val="Compact"/>
      </w:pPr>
      <w:r>
        <w:t xml:space="preserve">VIF cho tất cả mô hình; ngưỡng VIF &lt; 5 (Hair et al., 2019).</w:t>
      </w:r>
    </w:p>
    <w:p>
      <w:pPr>
        <w:numPr>
          <w:ilvl w:val="0"/>
          <w:numId w:val="1008"/>
        </w:numPr>
        <w:pStyle w:val="Compact"/>
      </w:pPr>
      <w:r>
        <w:t xml:space="preserve">Breusch–Pagan test (Breusch &amp; Pagan, 1979).</w:t>
      </w:r>
    </w:p>
    <w:bookmarkEnd w:id="48"/>
    <w:bookmarkStart w:id="49" w:name="Xece3d027367fef795bcf55aad7417945cf4f49c"/>
    <w:p>
      <w:pPr>
        <w:pStyle w:val="Heading3"/>
      </w:pPr>
      <w:r>
        <w:t xml:space="preserve">3.5.5 Sensitivity analysis cho meta-analysis</w:t>
      </w:r>
    </w:p>
    <w:p>
      <w:pPr>
        <w:numPr>
          <w:ilvl w:val="0"/>
          <w:numId w:val="1009"/>
        </w:numPr>
        <w:pStyle w:val="Compact"/>
      </w:pPr>
      <w:r>
        <w:t xml:space="preserve">Leave-one-out: loại từng nghiên cứu và tái tính pooled effect.</w:t>
      </w:r>
    </w:p>
    <w:p>
      <w:pPr>
        <w:numPr>
          <w:ilvl w:val="0"/>
          <w:numId w:val="1009"/>
        </w:numPr>
        <w:pStyle w:val="Compact"/>
      </w:pPr>
      <w:r>
        <w:t xml:space="preserve">Trim-and-fill (Duval &amp; Tweedie, 2000) cho publication bias.</w:t>
      </w:r>
    </w:p>
    <w:bookmarkEnd w:id="49"/>
    <w:bookmarkEnd w:id="50"/>
    <w:bookmarkStart w:id="51" w:name="Xda9461543ca17f4fffc4dad7e6165fee80c6b0c"/>
    <w:p>
      <w:pPr>
        <w:pStyle w:val="Heading2"/>
      </w:pPr>
      <w:r>
        <w:t xml:space="preserve">3.6 Tóm tắt phương pháp: Kế thừa và đóng góp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Đỗ &amp; Phan (2026 — VEFR) — 17 nước châu Á mới nổi</w:t>
            </w:r>
          </w:p>
        </w:tc>
        <w:tc>
          <w:tcPr/>
          <w:p>
            <w:pPr>
              <w:pStyle w:val="Compact"/>
              <w:jc w:val="left"/>
            </w:pPr>
            <w:r>
              <w:t xml:space="preserve">Mở rộng từ 17 →</w:t>
            </w:r>
            <w:r>
              <w:t xml:space="preserve"> </w:t>
            </w:r>
            <w:r>
              <w:rPr>
                <w:bCs/>
                <w:b/>
              </w:rPr>
              <w:t xml:space="preserve">47 nước</w:t>
            </w:r>
            <w:r>
              <w:t xml:space="preserve"> </w:t>
            </w:r>
            <w:r>
              <w:t xml:space="preserve">với 101.185 doanh nghiệp · 107 country-years</w:t>
            </w:r>
          </w:p>
        </w:tc>
      </w:tr>
      <w:tr>
        <w:tc>
          <w:tcPr/>
          <w:p>
            <w:pPr>
              <w:pStyle w:val="Compact"/>
              <w:jc w:val="left"/>
            </w:pPr>
            <w:r>
              <w:t xml:space="preserve">Labor productivity DV</w:t>
            </w:r>
          </w:p>
        </w:tc>
        <w:tc>
          <w:tcPr/>
          <w:p>
            <w:pPr>
              <w:pStyle w:val="Compact"/>
              <w:jc w:val="left"/>
            </w:pPr>
            <w:r>
              <w:t xml:space="preserve">Bloom et al. (2012); Hsieh &amp; Klenow (2009); Đỗ &amp; Phan (2026 — VEFR)</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Đỗ &amp; Phan (2026 — JFAR)</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(Đỗ &amp; Phan, 2026 — VEFR)</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Đỗ &amp; Phan (2026 — JFAR)</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1"/>
    <w:bookmarkStart w:id="52" w:name="X8731c6039be62b4d182e17d98ac2bec3a898506"/>
    <w:p>
      <w:pPr>
        <w:pStyle w:val="Heading2"/>
      </w:pPr>
      <w:r>
        <w:t xml:space="preserve">3.7 Đạo đức nghiên cứu</w:t>
      </w:r>
    </w:p>
    <w:p>
      <w:pPr>
        <w:pStyle w:val="FirstParagraph"/>
      </w:pPr>
      <w:r>
        <w:t xml:space="preserve">Luận án sử dụng dữ liệu thứ cấp từ WBES —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2"/>
    <w:bookmarkEnd w:id="5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2026-05-15T13:45:07Z</dcterms:created>
  <dcterms:modified xsi:type="dcterms:W3CDTF">2026-05-15T13:45:07Z</dcterms:modified>
</cp:coreProperties>
</file>

<file path=docProps/custom.xml><?xml version="1.0" encoding="utf-8"?>
<Properties xmlns="http://schemas.openxmlformats.org/officeDocument/2006/custom-properties" xmlns:vt="http://schemas.openxmlformats.org/officeDocument/2006/docPropsVTypes"/>
</file>