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Management International Review</w:t>
      </w:r>
      <w:r>
        <w:t xml:space="preserve"> </w:t>
      </w:r>
      <w:r>
        <w:t xml:space="preserve">Springer</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Technological Capability, Digital Adoption, and the Internationalisation–Performance Relationship: A Firm-Level Study of Singapore</w:t>
      </w:r>
      <w:r>
        <w:rPr>
          <w:bCs/>
          <w:b/>
        </w:rPr>
        <w:t xml:space="preserve">”</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Management International Review</w:t>
      </w:r>
      <w:r>
        <w:t xml:space="preserve"> </w:t>
      </w:r>
      <w:r>
        <w:t xml:space="preserve">(MIR). The manuscript presents an empirical study of the internationalisation–performance (I–P) relationship using World Bank Enterprise Survey microdata for Singapore (2023; N = 414), positioned as an analytically informative boundary-case test at the advanced-economy ceiling of the institutional spectrum.</w:t>
      </w:r>
    </w:p>
    <w:p>
      <w:pPr>
        <w:pStyle w:val="BodyText"/>
      </w:pPr>
      <w:r>
        <w:rPr>
          <w:bCs/>
          <w:b/>
        </w:rPr>
        <w:t xml:space="preserve">Relevance to MIR</w:t>
      </w:r>
    </w:p>
    <w:p>
      <w:pPr>
        <w:pStyle w:val="BodyText"/>
      </w:pPr>
      <w:r>
        <w:t xml:space="preserve">The study speaks directly to MIR’s interest in international business theory across diverse institutional settings. Singapore is an ideal stress-test setting for the I–P relationship because near-universal digital diffusion — what the paper terms the</w:t>
      </w:r>
      <w:r>
        <w:t xml:space="preserve"> </w:t>
      </w:r>
      <w:r>
        <w:rPr>
          <w:iCs/>
          <w:i/>
        </w:rPr>
        <w:t xml:space="preserve">digital saturation paradox</w:t>
      </w:r>
      <w:r>
        <w:t xml:space="preserve"> </w:t>
      </w:r>
      <w:r>
        <w:t xml:space="preserve">— removes the uniform-premium effect of foundational digital adoption and leaves only the export-contingent signal legible. This configuration provides a theoretical complement to I–P studies in emerging-economy settings and advances MIR’s sustained focus on how institutional and digital environments condition the returns to internationalisation.</w:t>
      </w:r>
    </w:p>
    <w:p>
      <w:pPr>
        <w:pStyle w:val="BodyText"/>
      </w:pPr>
      <w:r>
        <w:rPr>
          <w:bCs/>
          <w:b/>
        </w:rPr>
        <w:t xml:space="preserve">Key Contributions</w:t>
      </w:r>
    </w:p>
    <w:p>
      <w:pPr>
        <w:pStyle w:val="BodyText"/>
      </w:pPr>
      <w:r>
        <w:t xml:space="preserve">First, within the observed export-intensity range, the I–P relationship in Singapore is better characterised as predominantly positive with mild quadratic curvature than as a formally identified inverted-U. The fitted quadratic implies a turning point in the upper tail (~88% export intensity), but that point falls in a sparsely populated region of the data — consistent with theoretical expectations that advanced-economy digital infrastructure attenuates the coordination-cost mechanism underlying the classic inverted-U until very high levels of export intensity.</w:t>
      </w:r>
    </w:p>
    <w:p>
      <w:pPr>
        <w:pStyle w:val="BodyText"/>
      </w:pPr>
      <w:r>
        <w:t xml:space="preserve">Second, the study introduces the concept of a</w:t>
      </w:r>
      <w:r>
        <w:t xml:space="preserve"> </w:t>
      </w:r>
      <w:r>
        <w:rPr>
          <w:iCs/>
          <w:i/>
        </w:rPr>
        <w:t xml:space="preserve">digital saturation paradox</w:t>
      </w:r>
      <w:r>
        <w:t xml:space="preserve">: in an environment where Tier 1–2 digital interfaces (websites, electronic payment systems) are already widely diffused, foundational digital adoption functions as a hygiene factor for domestic operations rather than a differentiating asset. DAI’s productivity association becomes measurable primarily in the high-export tail (β₅ for FSTS²×DAI = +3.119, p = .005), suggesting that digital adoption operates as a contingent scaling resource rather than a uniform productivity premium.</w:t>
      </w:r>
    </w:p>
    <w:p>
      <w:pPr>
        <w:pStyle w:val="BodyText"/>
      </w:pPr>
      <w:r>
        <w:t xml:space="preserve">Third, the study provides the clearest empirical separation to date between Technological Capability Index (TCI; quality certification, R&amp;D, product innovation, foreign-licensed technology) and Digital Adoption Index (DAI; website presence, electronic payment) as non-overlapping constructs in a WBES-based I–P study — a design feature that directly operationalises the Conditional Digital Capability Moderation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6,500 words</w:t>
      </w:r>
    </w:p>
    <w:p>
      <w:pPr>
        <w:numPr>
          <w:ilvl w:val="0"/>
          <w:numId w:val="1001"/>
        </w:numPr>
        <w:pStyle w:val="Compact"/>
      </w:pPr>
      <w:r>
        <w:t xml:space="preserve">Keywords: internationalisation–performance relationship; digital adoption; technological capability; export intensity; labour productivity; Singapore</w:t>
      </w:r>
    </w:p>
    <w:p>
      <w:pPr>
        <w:numPr>
          <w:ilvl w:val="0"/>
          <w:numId w:val="1001"/>
        </w:numPr>
        <w:pStyle w:val="Compact"/>
      </w:pPr>
      <w:r>
        <w:t xml:space="preserve">JEL classification: F23, O33, L25, O53</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Vĩnh Long University of Technology Education (VLUTE), Vietnam</w:t>
      </w:r>
      <w:r>
        <w:t xml:space="preserve"> </w:t>
      </w:r>
      <w:r>
        <w:t xml:space="preserve">Email: huongdt@vlute.edu.vn |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 patu@ctu.edu.vn |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2026-05-10T14:49:17Z</dcterms:created>
  <dcterms:modified xsi:type="dcterms:W3CDTF">2026-05-10T14:49:17Z</dcterms:modified>
</cp:coreProperties>
</file>

<file path=docProps/custom.xml><?xml version="1.0" encoding="utf-8"?>
<Properties xmlns="http://schemas.openxmlformats.org/officeDocument/2006/custom-properties" xmlns:vt="http://schemas.openxmlformats.org/officeDocument/2006/docPropsVTypes"/>
</file>