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540836a8513ba9de5814d94e6c774912d657db6"/>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digital-paradox-lifecycle-h2"/>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cdai-as-amplifier-h3"/>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publication-bias-as-a-formal-null-h4"/>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conceptual-model"/>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method"/>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search-strategy"/>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eligibility-and-selection"/>
    <w:p>
      <w:pPr>
        <w:pStyle w:val="Heading3"/>
      </w:pPr>
      <w:r>
        <w:t xml:space="preserve">3.2 Eligibility and selection</w:t>
      </w:r>
    </w:p>
    <w:p>
      <w:pPr>
        <w:pStyle w:val="FirstParagraph"/>
      </w:pPr>
      <w:r>
        <w:t xml:space="preserve">The two authors independently applied criteria in two stages (title/abstract, then full text), resolving disagreements by discussion.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w:t>
      </w:r>
      <w:r>
        <w:t xml:space="preserve"> </w:t>
      </w:r>
      <w:r>
        <w:t xml:space="preserve">“</w:t>
      </w:r>
      <w:r>
        <w:t xml:space="preserve">studies identified via other methods</w:t>
      </w:r>
      <w:r>
        <w:t xml:space="preserve">”</w:t>
      </w:r>
      <w:r>
        <w:t xml:space="preserve"> </w:t>
      </w:r>
      <w:r>
        <w:t xml:space="preserve">variant (Appendix A, supplementary).</w:t>
      </w:r>
    </w:p>
    <w:bookmarkEnd w:id="30"/>
    <w:bookmarkStart w:id="31" w:name="extraction-and-reliability"/>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(the simplified form of Peterson &amp; Brown’s (2005) estimator 0.98β + 0.05λ; identical for negative β and conservative for positive β);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moderators"/>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three-level-mara"/>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publication-bias-and-robustness"/>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results"/>
    <w:p>
      <w:pPr>
        <w:pStyle w:val="Heading2"/>
      </w:pPr>
      <w:r>
        <w:t xml:space="preserve">4. Results</w:t>
      </w:r>
    </w:p>
    <w:bookmarkStart w:id="36"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5"/>
    <w:bookmarkStart w:id="46"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2026-06-10T13:18:36Z</dcterms:created>
  <dcterms:modified xsi:type="dcterms:W3CDTF">2026-06-10T13:18:36Z</dcterms:modified>
</cp:coreProperties>
</file>

<file path=docProps/custom.xml><?xml version="1.0" encoding="utf-8"?>
<Properties xmlns="http://schemas.openxmlformats.org/officeDocument/2006/custom-properties" xmlns:vt="http://schemas.openxmlformats.org/officeDocument/2006/docPropsVTypes"/>
</file>