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0c6e4d0da10b64d0e26e4f46cdf4d61de6495dd"/>
    <w:p>
      <w:pPr>
        <w:pStyle w:val="Heading1"/>
      </w:pPr>
      <w:r>
        <w:t xml:space="preserve">Does Country Context Shape the Internationalization–Performance Link? A Three-Level Meta-Analytic Investigation of Digital Adoption, Institutional Regimes, and the Digital Paradox Lifecycle</w:t>
      </w:r>
    </w:p>
    <w:p>
      <w:pPr>
        <w:pStyle w:val="FirstParagraph"/>
      </w:pPr>
      <w:r>
        <w:rPr>
          <w:iCs/>
          <w:i/>
        </w:rPr>
        <w:t xml:space="preserve">Manuscript prepared for: Journal of International Management (JIM, Elsevier,</w:t>
      </w:r>
      <w:r>
        <w:rPr>
          <w:iCs/>
          <w:i/>
        </w:rPr>
        <w:t xml:space="preserve"> </w:t>
      </w:r>
      <w:r>
        <w:rPr>
          <w:iCs/>
          <w:i/>
        </w:rPr>
        <w:t xml:space="preserve">IF ≈ 5.5, ABS-3)</w:t>
      </w:r>
      <w:r>
        <w:t xml:space="preserve"> </w:t>
      </w:r>
      <w:r>
        <w:rPr>
          <w:iCs/>
          <w:i/>
        </w:rPr>
        <w:t xml:space="preserve">Version 1.0, May 2026 (target journal submission: Q4</w:t>
      </w:r>
      <w:r>
        <w:rPr>
          <w:iCs/>
          <w:i/>
        </w:rPr>
        <w:t xml:space="preserve"> </w:t>
      </w:r>
      <w:r>
        <w:rPr>
          <w:iCs/>
          <w:i/>
        </w:rPr>
        <w:t xml:space="preserve">2026)</w:t>
      </w:r>
    </w:p>
    <w:bookmarkStart w:id="20" w:name="abstract"/>
    <w:p>
      <w:pPr>
        <w:pStyle w:val="Heading2"/>
      </w:pPr>
      <w:r>
        <w:t xml:space="preserve">Abstract</w:t>
      </w:r>
    </w:p>
    <w:p>
      <w:pPr>
        <w:pStyle w:val="FirstParagraph"/>
      </w:pPr>
      <w:r>
        <w:t xml:space="preserve">We conduct a three-level meta-analytic regression analysis (MARA) examining whether country-level digital adoption (cDAI), institutional context regime (ICRV), and Digital Paradox Lifecycle (DPL) phase moderate the internationalization–performance (I→P) relationship, testing three theoretically motivated moderators that prior meta-analyses have not examined. A systematic search following PRISMA 2020 protocols on Web of Science and Scopus (1977–2026) identifies</w:t>
      </w:r>
      <w:r>
        <w:t xml:space="preserve"> </w:t>
      </w:r>
      <w:r>
        <w:rPr>
          <w:iCs/>
          <w:i/>
        </w:rPr>
        <w:t xml:space="preserve">k</w:t>
      </w:r>
      <w:r>
        <w:t xml:space="preserve"> </w:t>
      </w:r>
      <w:r>
        <w:t xml:space="preserve">= 238 studies with</w:t>
      </w:r>
      <w:r>
        <w:t xml:space="preserve"> </w:t>
      </w:r>
      <w:r>
        <w:rPr>
          <w:iCs/>
          <w:i/>
        </w:rPr>
        <w:t xml:space="preserve">K</w:t>
      </w:r>
      <w:r>
        <w:t xml:space="preserve"> </w:t>
      </w:r>
      <w:r>
        <w:t xml:space="preserve">= 288 effect sizes. The three-level MARA (Cheung, 2014; Van den Noortgate et al., 2013) decomposes heterogeneity into within-study and between-study components using</w:t>
      </w:r>
      <w:r>
        <w:t xml:space="preserve"> </w:t>
      </w:r>
      <w:r>
        <w:rPr>
          <w:rStyle w:val="VerbatimChar"/>
        </w:rPr>
        <w:t xml:space="preserve">metafor</w:t>
      </w:r>
      <w:r>
        <w:t xml:space="preserve"> </w:t>
      </w:r>
      <w:r>
        <w:t xml:space="preserve">in R, with the analysis plan registered on OSF (transparency registration) and inter-coder reliability κ ≥ 0.70 on a 20% double-coded subsample. The baseline pooled effect is</w:t>
      </w:r>
      <w:r>
        <w:t xml:space="preserve"> </w:t>
      </w:r>
      <w:r>
        <w:rPr>
          <w:iCs/>
          <w:i/>
        </w:rPr>
        <w:t xml:space="preserve">r</w:t>
      </w:r>
      <w:r>
        <w:t xml:space="preserve"> </w:t>
      </w:r>
      <w:r>
        <w:t xml:space="preserve">= 0.074 (95% CI [0.060, 0.088],</w:t>
      </w:r>
      <w:r>
        <w:t xml:space="preserve"> </w:t>
      </w:r>
      <w:r>
        <w:rPr>
          <w:iCs/>
          <w:i/>
        </w:rPr>
        <w:t xml:space="preserve">p</w:t>
      </w:r>
      <w:r>
        <w:t xml:space="preserve"> </w:t>
      </w:r>
      <w:r>
        <w:t xml:space="preserve">&lt; .001) with</w:t>
      </w:r>
      <w:r>
        <w:t xml:space="preserve"> </w:t>
      </w:r>
      <w:r>
        <w:rPr>
          <w:iCs/>
          <w:i/>
        </w:rPr>
        <w:t xml:space="preserve">I</w:t>
      </w:r>
      <w:r>
        <w:t xml:space="preserve">² = 62.5% (within-study 54.1%; between-study 8.4%), replicating and extending prior baselines. The three hypothesized moderators show limited support: ICRV regime differences are statistically significant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but driven by an anomalous Frontier-group estimate (</w:t>
      </w:r>
      <w:r>
        <w:rPr>
          <w:iCs/>
          <w:i/>
        </w:rPr>
        <w:t xml:space="preserve">k</w:t>
      </w:r>
      <w:r>
        <w:t xml:space="preserve"> </w:t>
      </w:r>
      <w:r>
        <w:t xml:space="preserve">= 3 studies,</w:t>
      </w:r>
      <w:r>
        <w:t xml:space="preserve"> </w:t>
      </w:r>
      <w:r>
        <w:rPr>
          <w:iCs/>
          <w:i/>
        </w:rPr>
        <w:t xml:space="preserve">r̄</w:t>
      </w:r>
      <w:r>
        <w:t xml:space="preserve"> </w:t>
      </w:r>
      <w:r>
        <w:t xml:space="preserve">= 0.35) rather than a monotone institutional gradient, whereas cDAI (</w:t>
      </w:r>
      <w:r>
        <w:rPr>
          <w:iCs/>
          <w:i/>
        </w:rPr>
        <w:t xml:space="preserve">Q</w:t>
      </w:r>
      <w:r>
        <w:t xml:space="preserve">_M = 1.34,</w:t>
      </w:r>
      <w:r>
        <w:t xml:space="preserve"> </w:t>
      </w:r>
      <w:r>
        <w:rPr>
          <w:iCs/>
          <w:i/>
        </w:rPr>
        <w:t xml:space="preserve">p</w:t>
      </w:r>
      <w:r>
        <w:t xml:space="preserve"> </w:t>
      </w:r>
      <w:r>
        <w:t xml:space="preserve">= .513) and DPL phase (</w:t>
      </w:r>
      <w:r>
        <w:rPr>
          <w:iCs/>
          <w:i/>
        </w:rPr>
        <w:t xml:space="preserve">Q</w:t>
      </w:r>
      <w:r>
        <w:t xml:space="preserve">_M = 0.62,</w:t>
      </w:r>
      <w:r>
        <w:t xml:space="preserve"> </w:t>
      </w:r>
      <w:r>
        <w:rPr>
          <w:iCs/>
          <w:i/>
        </w:rPr>
        <w:t xml:space="preserve">p</w:t>
      </w:r>
      <w:r>
        <w:t xml:space="preserve"> </w:t>
      </w:r>
      <w:r>
        <w:t xml:space="preserve">= .734) are non-significant. Substantial publication bias is detected: trim-and-fill imputes</w:t>
      </w:r>
      <w:r>
        <w:t xml:space="preserve"> </w:t>
      </w:r>
      <w:r>
        <w:rPr>
          <w:iCs/>
          <w:i/>
        </w:rPr>
        <w:t xml:space="preserve">k</w:t>
      </w:r>
      <w:r>
        <w:t xml:space="preserve"> </w:t>
      </w:r>
      <w:r>
        <w:t xml:space="preserve">= 57 missing studies, reducing the adjusted pooled effect to</w:t>
      </w:r>
      <w:r>
        <w:t xml:space="preserve"> </w:t>
      </w:r>
      <w:r>
        <w:rPr>
          <w:iCs/>
          <w:i/>
        </w:rPr>
        <w:t xml:space="preserve">r</w:t>
      </w:r>
      <w:r>
        <w:t xml:space="preserve"> </w:t>
      </w:r>
      <w:r>
        <w:t xml:space="preserve">= 0.035 (95% CI [0.018, 0.051]), positive but attenuated. This first three-level MARA of I→P, spanning 49 economies, reframes the heterogeneity puzzle: unexplained variance in I→P may reflect publication-side selection more than institutional or digital contingencies, calling for pre-registered replication with larger between-regime samples.</w:t>
      </w:r>
    </w:p>
    <w:p>
      <w:pPr>
        <w:pStyle w:val="BodyText"/>
      </w:pPr>
      <w:r>
        <w:rPr>
          <w:bCs/>
          <w:b/>
        </w:rPr>
        <w:t xml:space="preserve">Keywords:</w:t>
      </w:r>
      <w:r>
        <w:t xml:space="preserve"> </w:t>
      </w:r>
      <w:r>
        <w:t xml:space="preserve">internationalization–performance; meta-analysis;</w:t>
      </w:r>
      <w:r>
        <w:t xml:space="preserve"> </w:t>
      </w:r>
      <w:r>
        <w:t xml:space="preserve">three-level model; digital adoption; institutional context; ICRV;</w:t>
      </w:r>
      <w:r>
        <w:t xml:space="preserve"> </w:t>
      </w:r>
      <w:r>
        <w:t xml:space="preserve">Digital Paradox Lifecycle; global; Asia-Pacific</w:t>
      </w:r>
    </w:p>
    <w:bookmarkEnd w:id="20"/>
    <w:bookmarkStart w:id="21" w:name="introduction"/>
    <w:p>
      <w:pPr>
        <w:pStyle w:val="Heading2"/>
      </w:pPr>
      <w:r>
        <w:t xml:space="preserve">1. Introduction</w:t>
      </w:r>
    </w:p>
    <w:p>
      <w:pPr>
        <w:pStyle w:val="FirstParagraph"/>
      </w:pPr>
      <w:r>
        <w:t xml:space="preserve">Cross-border firm expansion has become one of the defining strategic</w:t>
      </w:r>
      <w:r>
        <w:t xml:space="preserve"> </w:t>
      </w:r>
      <w:r>
        <w:t xml:space="preserve">imperatives of the modern economy. The past three decades have witnessed</w:t>
      </w:r>
      <w:r>
        <w:t xml:space="preserve"> </w:t>
      </w:r>
      <w:r>
        <w:t xml:space="preserve">dramatic growth in outward foreign direct investment, export-oriented</w:t>
      </w:r>
      <w:r>
        <w:t xml:space="preserve"> </w:t>
      </w:r>
      <w:r>
        <w:t xml:space="preserve">production, and global value chain participation, transforming</w:t>
      </w:r>
      <w:r>
        <w:t xml:space="preserve"> </w:t>
      </w:r>
      <w:r>
        <w:t xml:space="preserve">internationalization from a strategy available primarily to large</w:t>
      </w:r>
      <w:r>
        <w:t xml:space="preserve"> </w:t>
      </w:r>
      <w:r>
        <w:t xml:space="preserve">multinationals into a competitive consideration for firms across size</w:t>
      </w:r>
      <w:r>
        <w:t xml:space="preserve"> </w:t>
      </w:r>
      <w:r>
        <w:t xml:space="preserve">classes and geographies (Dunning, 2000; Johanson &amp; Vahlne, 2009;</w:t>
      </w:r>
      <w:r>
        <w:t xml:space="preserve"> </w:t>
      </w:r>
      <w:r>
        <w:t xml:space="preserve">Kafouros et al., 2012). Against this backdrop, the question of whether</w:t>
      </w:r>
      <w:r>
        <w:t xml:space="preserve"> </w:t>
      </w:r>
      <w:r>
        <w:t xml:space="preserve">internationalization improves firm performance is not merely academic;</w:t>
      </w:r>
      <w:r>
        <w:t xml:space="preserve"> </w:t>
      </w:r>
      <w:r>
        <w:t xml:space="preserve">it shapes investment decisions, government export promotion policy, and</w:t>
      </w:r>
      <w:r>
        <w:t xml:space="preserve"> </w:t>
      </w:r>
      <w:r>
        <w:t xml:space="preserve">the strategic priorities of firms navigating an increasingly</w:t>
      </w:r>
      <w:r>
        <w:t xml:space="preserve"> </w:t>
      </w:r>
      <w:r>
        <w:t xml:space="preserve">interconnected global economy (Hitt et al., 2006; Lu &amp; Beamish, 2004).</w:t>
      </w:r>
      <w:r>
        <w:t xml:space="preserve"> </w:t>
      </w:r>
      <w:r>
        <w:t xml:space="preserve">For scholars, however, the record remains stubbornly inconclusive.</w:t>
      </w:r>
    </w:p>
    <w:p>
      <w:pPr>
        <w:pStyle w:val="BodyText"/>
      </w:pPr>
      <w:r>
        <w:t xml:space="preserve">The relationship between a firm’s degree of internationalization and its</w:t>
      </w:r>
      <w:r>
        <w:t xml:space="preserve"> </w:t>
      </w:r>
      <w:r>
        <w:t xml:space="preserve">performance (the</w:t>
      </w:r>
      <w:r>
        <w:t xml:space="preserve"> </w:t>
      </w:r>
      <w:r>
        <w:t xml:space="preserve">“</w:t>
      </w:r>
      <w:r>
        <w:t xml:space="preserve">I→P relationship</w:t>
      </w:r>
      <w:r>
        <w:t xml:space="preserve">”</w:t>
      </w:r>
      <w:r>
        <w:t xml:space="preserve">) is the most meta-analyzed question</w:t>
      </w:r>
      <w:r>
        <w:t xml:space="preserve"> </w:t>
      </w:r>
      <w:r>
        <w:t xml:space="preserve">in international business (IB). Over four decades and six major</w:t>
      </w:r>
      <w:r>
        <w:t xml:space="preserve"> </w:t>
      </w:r>
      <w:r>
        <w:t xml:space="preserve">meta-analyses (Bausch &amp; Krist, 2007; Kirca et al., 2012; Marano et al.,</w:t>
      </w:r>
      <w:r>
        <w:t xml:space="preserve"> </w:t>
      </w:r>
      <w:r>
        <w:t xml:space="preserve">2016; Schwens et al., 2018; Wu et al., 2022; Arte &amp; Larimo, 2022), no</w:t>
      </w:r>
      <w:r>
        <w:t xml:space="preserve"> </w:t>
      </w:r>
      <w:r>
        <w:t xml:space="preserve">consensus has emerged: pooled effects are consistently small and</w:t>
      </w:r>
      <w:r>
        <w:t xml:space="preserve"> </w:t>
      </w:r>
      <w:r>
        <w:t xml:space="preserve">positive, yet</w:t>
      </w:r>
      <w:r>
        <w:t xml:space="preserve"> </w:t>
      </w:r>
      <w:r>
        <w:rPr>
          <w:iCs/>
          <w:i/>
        </w:rPr>
        <w:t xml:space="preserve">I</w:t>
      </w:r>
      <w:r>
        <w:t xml:space="preserve">² regularly exceeds 80%, signaling that context, not a</w:t>
      </w:r>
      <w:r>
        <w:t xml:space="preserve"> </w:t>
      </w:r>
      <w:r>
        <w:t xml:space="preserve">universal mechanism, drives outcomes.</w:t>
      </w:r>
    </w:p>
    <w:p>
      <w:pPr>
        <w:pStyle w:val="BodyText"/>
      </w:pPr>
      <w:r>
        <w:t xml:space="preserve">The present study’s starting point is the ICBEF 2025 baseline analysis</w:t>
      </w:r>
      <w:r>
        <w:t xml:space="preserve"> </w:t>
      </w:r>
      <w:r>
        <w:t xml:space="preserve">(Do &amp; Phan, 2024):</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 .001),</w:t>
      </w:r>
      <w:r>
        <w:t xml:space="preserve"> </w:t>
      </w:r>
      <w:r>
        <w:rPr>
          <w:iCs/>
          <w:i/>
        </w:rPr>
        <w:t xml:space="preserve">I</w:t>
      </w:r>
      <w:r>
        <w:t xml:space="preserve">² = 87.92%. While confirming the positive average effect, this</w:t>
      </w:r>
      <w:r>
        <w:t xml:space="preserve"> </w:t>
      </w:r>
      <w:r>
        <w:t xml:space="preserve">baseline identified that conventional moderators, country of origin,</w:t>
      </w:r>
      <w:r>
        <w:t xml:space="preserve"> </w:t>
      </w:r>
      <w:r>
        <w:t xml:space="preserve">industry, performance measure type, leave approximately 70% of variance</w:t>
      </w:r>
      <w:r>
        <w:t xml:space="preserve"> </w:t>
      </w:r>
      <w:r>
        <w:t xml:space="preserve">unexplained. Three theoretically grounded moderators, absent from all</w:t>
      </w:r>
      <w:r>
        <w:t xml:space="preserve"> </w:t>
      </w:r>
      <w:r>
        <w:t xml:space="preserve">prior meta-analyses, motivate the present extension:</w:t>
      </w:r>
    </w:p>
    <w:p>
      <w:pPr>
        <w:pStyle w:val="BodyText"/>
      </w:pPr>
      <w:r>
        <w:rPr>
          <w:bCs/>
          <w:b/>
        </w:rPr>
        <w:t xml:space="preserve">Gap 1, cDAI.</w:t>
      </w:r>
      <w:r>
        <w:t xml:space="preserve"> </w:t>
      </w:r>
      <w:r>
        <w:t xml:space="preserve">Country-level digital adoption (cDAI) has been</w:t>
      </w:r>
      <w:r>
        <w:t xml:space="preserve"> </w:t>
      </w:r>
      <w:r>
        <w:t xml:space="preserve">proposed as a contextual amplifier of firm-level competitive advantages</w:t>
      </w:r>
      <w:r>
        <w:t xml:space="preserve"> </w:t>
      </w:r>
      <w:r>
        <w:t xml:space="preserve">(Stallkamp &amp; Schotter, 2021; Verhoef et al., 2021), yet no meta-analysis</w:t>
      </w:r>
      <w:r>
        <w:t xml:space="preserve"> </w:t>
      </w:r>
      <w:r>
        <w:t xml:space="preserve">has tested whether the national digital infrastructure environment</w:t>
      </w:r>
      <w:r>
        <w:t xml:space="preserve"> </w:t>
      </w:r>
      <w:r>
        <w:t xml:space="preserve">moderates the I→P link.</w:t>
      </w:r>
    </w:p>
    <w:p>
      <w:pPr>
        <w:pStyle w:val="BodyText"/>
      </w:pPr>
      <w:r>
        <w:rPr>
          <w:bCs/>
          <w:b/>
        </w:rPr>
        <w:t xml:space="preserve">Gap 2, ICRV 5-regime.</w:t>
      </w:r>
      <w:r>
        <w:t xml:space="preserve"> </w:t>
      </w:r>
      <w:r>
        <w:t xml:space="preserve">Marano et al. (2016) established that</w:t>
      </w:r>
      <w:r>
        <w:t xml:space="preserve"> </w:t>
      </w:r>
      <w:r>
        <w:t xml:space="preserve">home-country institutions moderate I→P, but applied a coarse six-group</w:t>
      </w:r>
      <w:r>
        <w:t xml:space="preserve"> </w:t>
      </w:r>
      <w:r>
        <w:t xml:space="preserve">global taxonomy. The global study corpus spans the full institutional</w:t>
      </w:r>
      <w:r>
        <w:t xml:space="preserve"> </w:t>
      </w:r>
      <w:r>
        <w:t xml:space="preserve">spectrum, from Singapore (World Governance Indicators Rule of Law score</w:t>
      </w:r>
      <w:r>
        <w:t xml:space="preserve"> </w:t>
      </w:r>
      <w:r>
        <w:t xml:space="preserve">+1.84) to frontier economies such as Pakistan (WGI −0.55) and Iran (WGI</w:t>
      </w:r>
      <w:r>
        <w:t xml:space="preserve"> </w:t>
      </w:r>
      <w:r>
        <w:t xml:space="preserve">−0.74; World Bank, 2023). An ICRV 5-regime classification capable of</w:t>
      </w:r>
      <w:r>
        <w:t xml:space="preserve"> </w:t>
      </w:r>
      <w:r>
        <w:t xml:space="preserve">resolving this heterogeneity has not been tested meta-analytically on a</w:t>
      </w:r>
      <w:r>
        <w:t xml:space="preserve"> </w:t>
      </w:r>
      <w:r>
        <w:t xml:space="preserve">globally representative I→P corpus.</w:t>
      </w:r>
    </w:p>
    <w:p>
      <w:pPr>
        <w:pStyle w:val="BodyText"/>
      </w:pPr>
      <w:r>
        <w:rPr>
          <w:bCs/>
          <w:b/>
        </w:rPr>
        <w:t xml:space="preserve">Gap 3, DPL phase.</w:t>
      </w:r>
      <w:r>
        <w:t xml:space="preserve"> </w:t>
      </w:r>
      <w:r>
        <w:t xml:space="preserve">Brynjolfsson et al. (2021) identified 2009 as a</w:t>
      </w:r>
      <w:r>
        <w:t xml:space="preserve"> </w:t>
      </w:r>
      <w:r>
        <w:t xml:space="preserve">productivity inflection point in the digital era (the</w:t>
      </w:r>
      <w:r>
        <w:t xml:space="preserve"> </w:t>
      </w:r>
      <w:r>
        <w:t xml:space="preserve">“</w:t>
      </w:r>
      <w:r>
        <w:t xml:space="preserve">dynamo analogy</w:t>
      </w:r>
      <w:r>
        <w:t xml:space="preserve">”</w:t>
      </w:r>
      <w:r>
        <w:t xml:space="preserve"> </w:t>
      </w:r>
      <w:r>
        <w:t xml:space="preserve">for AI: David, 1990). Studies examining data from before, spanning, or</w:t>
      </w:r>
      <w:r>
        <w:t xml:space="preserve"> </w:t>
      </w:r>
      <w:r>
        <w:t xml:space="preserve">after this threshold should yield systematically different I→P effect</w:t>
      </w:r>
      <w:r>
        <w:t xml:space="preserve"> </w:t>
      </w:r>
      <w:r>
        <w:t xml:space="preserve">sizes if digital platforms reshape internationalization economics. This</w:t>
      </w:r>
      <w:r>
        <w:t xml:space="preserve"> </w:t>
      </w:r>
      <w:r>
        <w:t xml:space="preserve">temporal moderator has never been systematically coded in I→P</w:t>
      </w:r>
      <w:r>
        <w:t xml:space="preserve"> </w:t>
      </w:r>
      <w:r>
        <w:t xml:space="preserve">meta-analyses.</w:t>
      </w:r>
    </w:p>
    <w:p>
      <w:pPr>
        <w:pStyle w:val="BodyText"/>
      </w:pPr>
      <w:r>
        <w:t xml:space="preserve">This paper addresses all three gaps through a fresh systematic search</w:t>
      </w:r>
      <w:r>
        <w:t xml:space="preserve"> </w:t>
      </w:r>
      <w:r>
        <w:t xml:space="preserve">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combined</w:t>
      </w:r>
      <w:r>
        <w:t xml:space="preserve"> </w:t>
      </w:r>
      <w:r>
        <w:t xml:space="preserve">with three-level MARA that decomposes heterogeneity beyond what</w:t>
      </w:r>
      <w:r>
        <w:t xml:space="preserve"> </w:t>
      </w:r>
      <w:r>
        <w:t xml:space="preserve">random-effects models allow.</w:t>
      </w:r>
    </w:p>
    <w:p>
      <w:pPr>
        <w:pStyle w:val="BodyText"/>
      </w:pPr>
      <w:r>
        <w:rPr>
          <w:bCs/>
          <w:b/>
        </w:rPr>
        <w:t xml:space="preserve">Contributions.</w:t>
      </w:r>
      <w:r>
        <w:t xml:space="preserve"> </w:t>
      </w:r>
      <w:r>
        <w:t xml:space="preserve">We make three methodological and three theoretical</w:t>
      </w:r>
      <w:r>
        <w:t xml:space="preserve"> </w:t>
      </w:r>
      <w:r>
        <w:t xml:space="preserve">contributions:</w:t>
      </w:r>
      <w:r>
        <w:t xml:space="preserve"> </w:t>
      </w:r>
      <w:r>
        <w:rPr>
          <w:iCs/>
          <w:i/>
        </w:rPr>
        <w:t xml:space="preserve">(Methodological)</w:t>
      </w:r>
      <w:r>
        <w:t xml:space="preserve">: (1) First three-level MARA for the</w:t>
      </w:r>
      <w:r>
        <w:t xml:space="preserve"> </w:t>
      </w:r>
      <w:r>
        <w:t xml:space="preserve">I→P literature; (2) first PRISMA-2020-compliant systematic search with</w:t>
      </w:r>
      <w:r>
        <w:t xml:space="preserve"> </w:t>
      </w:r>
      <w:r>
        <w:t xml:space="preserve">OSF registration for this topic; (3) first application of</w:t>
      </w:r>
      <w:r>
        <w:t xml:space="preserve"> </w:t>
      </w:r>
      <w:r>
        <w:t xml:space="preserve">between-study</w:t>
      </w:r>
      <w:r>
        <w:t xml:space="preserve"> </w:t>
      </w:r>
      <w:r>
        <w:rPr>
          <w:iCs/>
          <w:i/>
        </w:rPr>
        <w:t xml:space="preserve">vs.</w:t>
      </w:r>
      <w:r>
        <w:t xml:space="preserve"> </w:t>
      </w:r>
      <w:r>
        <w:t xml:space="preserve">within-study heterogeneity decomposition to I→P.</w:t>
      </w:r>
      <w:r>
        <w:t xml:space="preserve"> </w:t>
      </w:r>
      <w:r>
        <w:rPr>
          <w:iCs/>
          <w:i/>
        </w:rPr>
        <w:t xml:space="preserve">(Theoretical)</w:t>
      </w:r>
      <w:r>
        <w:t xml:space="preserve">: (4) First meta-analytic test of an ICRV 5-regime</w:t>
      </w:r>
      <w:r>
        <w:t xml:space="preserve"> </w:t>
      </w:r>
      <w:r>
        <w:t xml:space="preserve">framework applied to a globally representative I→P corpus (</w:t>
      </w:r>
      <w:r>
        <w:rPr>
          <w:iCs/>
          <w:i/>
        </w:rPr>
        <w:t xml:space="preserve">k</w:t>
      </w:r>
      <w:r>
        <w:t xml:space="preserve"> </w:t>
      </w:r>
      <w:r>
        <w:t xml:space="preserve">= 238, 49</w:t>
      </w:r>
      <w:r>
        <w:t xml:space="preserve"> </w:t>
      </w:r>
      <w:r>
        <w:t xml:space="preserve">economies); (5) first formal test of cDAI as a national-level</w:t>
      </w:r>
      <w:r>
        <w:t xml:space="preserve"> </w:t>
      </w:r>
      <w:r>
        <w:t xml:space="preserve">digital-infrastructure moderator of I→P; (6) first test of DPL phase as</w:t>
      </w:r>
      <w:r>
        <w:t xml:space="preserve"> </w:t>
      </w:r>
      <w:r>
        <w:t xml:space="preserve">a temporal moderator using three-level MARA. The non-confirmation of</w:t>
      </w:r>
      <w:r>
        <w:t xml:space="preserve"> </w:t>
      </w:r>
      <w:r>
        <w:t xml:space="preserve">E1a/E1b, H2, and H3, and the anomalous ICRV Frontier pattern, are</w:t>
      </w:r>
      <w:r>
        <w:t xml:space="preserve"> </w:t>
      </w:r>
      <w:r>
        <w:t xml:space="preserve">themselves informative findings that bound the conditions under which</w:t>
      </w:r>
      <w:r>
        <w:t xml:space="preserve"> </w:t>
      </w:r>
      <w:r>
        <w:t xml:space="preserve">these moderators could operate.</w:t>
      </w:r>
    </w:p>
    <w:p>
      <w:pPr>
        <w:pStyle w:val="BodyText"/>
      </w:pPr>
      <w:r>
        <w:rPr>
          <w:bCs/>
          <w:b/>
        </w:rPr>
        <w:t xml:space="preserve">Key findings preview.</w:t>
      </w:r>
      <w:r>
        <w:t xml:space="preserve"> </w:t>
      </w:r>
      <w:r>
        <w:t xml:space="preserve">The baseline pooled effect (</w:t>
      </w:r>
      <w:r>
        <w:rPr>
          <w:iCs/>
          <w:i/>
        </w:rPr>
        <w:t xml:space="preserve">r</w:t>
      </w:r>
      <w:r>
        <w:t xml:space="preserve"> </w:t>
      </w:r>
      <w:r>
        <w:t xml:space="preserve">= 0.074,</w:t>
      </w:r>
      <w:r>
        <w:t xml:space="preserve"> </w:t>
      </w:r>
      <w:r>
        <w:rPr>
          <w:iCs/>
          <w:i/>
        </w:rPr>
        <w:t xml:space="preserve">k</w:t>
      </w:r>
      <w:r>
        <w:t xml:space="preserve"> </w:t>
      </w:r>
      <w:r>
        <w:t xml:space="preserve">=</w:t>
      </w:r>
      <w:r>
        <w:t xml:space="preserve"> </w:t>
      </w:r>
      <w:r>
        <w:t xml:space="preserve">238,</w:t>
      </w:r>
      <w:r>
        <w:t xml:space="preserve"> </w:t>
      </w:r>
      <w:r>
        <w:rPr>
          <w:iCs/>
          <w:i/>
        </w:rPr>
        <w:t xml:space="preserve">K</w:t>
      </w:r>
      <w:r>
        <w:t xml:space="preserve"> </w:t>
      </w:r>
      <w:r>
        <w:t xml:space="preserve">= 288) replicates and extends the ICBEF 2025 finding (</w:t>
      </w:r>
      <w:r>
        <w:rPr>
          <w:iCs/>
          <w:i/>
        </w:rPr>
        <w:t xml:space="preserve">r</w:t>
      </w:r>
      <w:r>
        <w:t xml:space="preserve"> </w:t>
      </w:r>
      <w:r>
        <w:t xml:space="preserve">=</w:t>
      </w:r>
      <w:r>
        <w:t xml:space="preserve"> </w:t>
      </w:r>
      <w:r>
        <w:t xml:space="preserve">0.07,</w:t>
      </w:r>
      <w:r>
        <w:t xml:space="preserve"> </w:t>
      </w:r>
      <w:r>
        <w:rPr>
          <w:iCs/>
          <w:i/>
        </w:rPr>
        <w:t xml:space="preserve">k</w:t>
      </w:r>
      <w:r>
        <w:t xml:space="preserve"> </w:t>
      </w:r>
      <w:r>
        <w:t xml:space="preserve">= 113), confirming a small but consistent positive I→P</w:t>
      </w:r>
      <w:r>
        <w:t xml:space="preserve"> </w:t>
      </w:r>
      <w:r>
        <w:t xml:space="preserve">relationship globally. H1 (between-regime Q_M test) is confirmed (</w:t>
      </w:r>
      <w:r>
        <w:rPr>
          <w:iCs/>
          <w:i/>
        </w:rPr>
        <w:t xml:space="preserve">Q</w:t>
      </w:r>
      <w:r>
        <w:t xml:space="preserve">_M</w:t>
      </w:r>
      <w:r>
        <w:t xml:space="preserve"> </w:t>
      </w:r>
      <w:r>
        <w:t xml:space="preserve">= 17.35,</w:t>
      </w:r>
      <w:r>
        <w:t xml:space="preserve"> </w:t>
      </w:r>
      <w:r>
        <w:rPr>
          <w:iCs/>
          <w:i/>
        </w:rPr>
        <w:t xml:space="preserve">p</w:t>
      </w:r>
      <w:r>
        <w:t xml:space="preserve"> </w:t>
      </w:r>
      <w:r>
        <w:t xml:space="preserve">= .002); however, the directional Exploratory Propositions</w:t>
      </w:r>
      <w:r>
        <w:t xml:space="preserve"> </w:t>
      </w:r>
      <w:r>
        <w:t xml:space="preserve">E1a (Advanced largest) and E1b (Frontier smallest) are not statistically</w:t>
      </w:r>
      <w:r>
        <w:t xml:space="preserve"> </w:t>
      </w:r>
      <w:r>
        <w:t xml:space="preserve">confirmed, the Q_M is driven by a</w:t>
      </w:r>
      <w:r>
        <w:t xml:space="preserve"> </w:t>
      </w:r>
      <w:r>
        <w:rPr>
          <w:iCs/>
          <w:i/>
        </w:rPr>
        <w:t xml:space="preserve">k</w:t>
      </w:r>
      <w:r>
        <w:t xml:space="preserve"> </w:t>
      </w:r>
      <w:r>
        <w:t xml:space="preserve">= 3 Frontier-group anomaly rather</w:t>
      </w:r>
      <w:r>
        <w:t xml:space="preserve"> </w:t>
      </w:r>
      <w:r>
        <w:t xml:space="preserve">than a monotone institutional gradient. cDAI (</w:t>
      </w:r>
      <w:r>
        <w:rPr>
          <w:iCs/>
          <w:i/>
        </w:rPr>
        <w:t xml:space="preserve">Q</w:t>
      </w:r>
      <w:r>
        <w:t xml:space="preserve">_M = 1.34,</w:t>
      </w:r>
      <w:r>
        <w:t xml:space="preserve"> </w:t>
      </w:r>
      <w:r>
        <w:rPr>
          <w:iCs/>
          <w:i/>
        </w:rPr>
        <w:t xml:space="preserve">p</w:t>
      </w:r>
      <w:r>
        <w:t xml:space="preserve"> </w:t>
      </w:r>
      <w:r>
        <w:t xml:space="preserve">= .513)</w:t>
      </w:r>
      <w:r>
        <w:t xml:space="preserve"> </w:t>
      </w:r>
      <w:r>
        <w:t xml:space="preserve">and DPL phase (</w:t>
      </w:r>
      <w:r>
        <w:rPr>
          <w:iCs/>
          <w:i/>
        </w:rPr>
        <w:t xml:space="preserve">Q</w:t>
      </w:r>
      <w:r>
        <w:t xml:space="preserve">_M = 0.62,</w:t>
      </w:r>
      <w:r>
        <w:t xml:space="preserve"> </w:t>
      </w:r>
      <w:r>
        <w:rPr>
          <w:iCs/>
          <w:i/>
        </w:rPr>
        <w:t xml:space="preserve">p</w:t>
      </w:r>
      <w:r>
        <w:t xml:space="preserve"> </w:t>
      </w:r>
      <w:r>
        <w:t xml:space="preserve">= .734) are non-significant (H2, H3</w:t>
      </w:r>
      <w:r>
        <w:t xml:space="preserve"> </w:t>
      </w:r>
      <w:r>
        <w:t xml:space="preserve">not supported). The most substantive finding is publication bias (H4</w:t>
      </w:r>
      <w:r>
        <w:t xml:space="preserve"> </w:t>
      </w:r>
      <w:r>
        <w:t xml:space="preserve">confirmed): trim-and-fill imputes</w:t>
      </w:r>
      <w:r>
        <w:t xml:space="preserve"> </w:t>
      </w:r>
      <w:r>
        <w:rPr>
          <w:iCs/>
          <w:i/>
        </w:rPr>
        <w:t xml:space="preserve">k</w:t>
      </w:r>
      <w:r>
        <w:t xml:space="preserve"> </w:t>
      </w:r>
      <w:r>
        <w:t xml:space="preserve">= 57 missing studies, reducing the</w:t>
      </w:r>
      <w:r>
        <w:t xml:space="preserve"> </w:t>
      </w:r>
      <w:r>
        <w:t xml:space="preserve">adjusted estimate to</w:t>
      </w:r>
      <w:r>
        <w:t xml:space="preserve"> </w:t>
      </w:r>
      <w:r>
        <w:rPr>
          <w:iCs/>
          <w:i/>
        </w:rPr>
        <w:t xml:space="preserve">r</w:t>
      </w:r>
      <w:r>
        <w:t xml:space="preserve"> </w:t>
      </w:r>
      <w:r>
        <w:t xml:space="preserve">= 0.035, positive but substantially smaller</w:t>
      </w:r>
      <w:r>
        <w:t xml:space="preserve"> </w:t>
      </w:r>
      <w:r>
        <w:t xml:space="preserve">than the raw pooled effect. The heterogeneity puzzle (</w:t>
      </w:r>
      <w:r>
        <w:rPr>
          <w:iCs/>
          <w:i/>
        </w:rPr>
        <w:t xml:space="preserve">I</w:t>
      </w:r>
      <w:r>
        <w:t xml:space="preserve">² = 62.5%)</w:t>
      </w:r>
      <w:r>
        <w:t xml:space="preserve"> </w:t>
      </w:r>
      <w:r>
        <w:t xml:space="preserve">remains unresolved by the tested moderators, suggesting that future</w:t>
      </w:r>
      <w:r>
        <w:t xml:space="preserve"> </w:t>
      </w:r>
      <w:r>
        <w:t xml:space="preserve">research should test alternative theoretical contingencies or that</w:t>
      </w:r>
      <w:r>
        <w:t xml:space="preserve"> </w:t>
      </w:r>
      <w:r>
        <w:t xml:space="preserve">between-study heterogeneity is predominantly within-paper (Level 2,</w:t>
      </w:r>
      <w:r>
        <w:t xml:space="preserve"> </w:t>
      </w:r>
      <w:r>
        <w:t xml:space="preserve">54.1%) rather than between-country (Level 3, 8.4%).</w:t>
      </w:r>
    </w:p>
    <w:p>
      <w:pPr>
        <w:pStyle w:val="BodyText"/>
      </w:pPr>
      <w:r>
        <w:rPr>
          <w:bCs/>
          <w:b/>
        </w:rPr>
        <w:t xml:space="preserve">Organization.</w:t>
      </w:r>
      <w:r>
        <w:t xml:space="preserve"> </w:t>
      </w:r>
      <w:r>
        <w:t xml:space="preserve">The paper proceeds as follows. Section 2 develops the</w:t>
      </w:r>
      <w:r>
        <w:t xml:space="preserve"> </w:t>
      </w:r>
      <w:r>
        <w:t xml:space="preserve">theoretical framework and hypotheses, grounding each moderator in RBV,</w:t>
      </w:r>
      <w:r>
        <w:t xml:space="preserve"> </w:t>
      </w:r>
      <w:r>
        <w:t xml:space="preserve">institutional theory, organizational learning theory, coordination cost</w:t>
      </w:r>
      <w:r>
        <w:t xml:space="preserve"> </w:t>
      </w:r>
      <w:r>
        <w:t xml:space="preserve">theory, and the Foundational Digital Adoption Framework. Section 3</w:t>
      </w:r>
      <w:r>
        <w:t xml:space="preserve"> </w:t>
      </w:r>
      <w:r>
        <w:t xml:space="preserve">describes the systematic search protocol, coding procedure, and</w:t>
      </w:r>
      <w:r>
        <w:t xml:space="preserve"> </w:t>
      </w:r>
      <w:r>
        <w:t xml:space="preserve">three-level MARA specification. Section 4 presents results, including</w:t>
      </w:r>
      <w:r>
        <w:t xml:space="preserve"> </w:t>
      </w:r>
      <w:r>
        <w:t xml:space="preserve">the baseline model, three moderator analyses, and publication bias</w:t>
      </w:r>
      <w:r>
        <w:t xml:space="preserve"> </w:t>
      </w:r>
      <w:r>
        <w:t xml:space="preserve">diagnostics. Section 5 discusses theoretical and practical implications,</w:t>
      </w:r>
      <w:r>
        <w:t xml:space="preserve"> </w:t>
      </w:r>
      <w:r>
        <w:t xml:space="preserve">and Section 6 concludes with limitations and directions for future</w:t>
      </w:r>
      <w:r>
        <w:t xml:space="preserve"> </w:t>
      </w:r>
      <w:r>
        <w:t xml:space="preserve">research.</w:t>
      </w:r>
    </w:p>
    <w:bookmarkEnd w:id="21"/>
    <w:bookmarkStart w:id="28" w:name="theoretical-framework-and-hypotheses"/>
    <w:p>
      <w:pPr>
        <w:pStyle w:val="Heading2"/>
      </w:pPr>
      <w:r>
        <w:t xml:space="preserve">2. Theoretical Framework and Hypotheses</w:t>
      </w:r>
    </w:p>
    <w:bookmarkStart w:id="22" w:name="foundation-theories"/>
    <w:p>
      <w:pPr>
        <w:pStyle w:val="Heading3"/>
      </w:pPr>
      <w:r>
        <w:t xml:space="preserve">2.1 Foundation Theories</w:t>
      </w:r>
    </w:p>
    <w:p>
      <w:pPr>
        <w:pStyle w:val="FirstParagraph"/>
      </w:pPr>
      <w:r>
        <w:t xml:space="preserve">Five theoretical perspectives ground the moderating hypotheses and</w:t>
      </w:r>
      <w:r>
        <w:t xml:space="preserve"> </w:t>
      </w:r>
      <w:r>
        <w:t xml:space="preserve">connect the three new moderators to established predictions about the</w:t>
      </w:r>
      <w:r>
        <w:t xml:space="preserve"> </w:t>
      </w:r>
      <w:r>
        <w:t xml:space="preserve">I→P relationship.</w:t>
      </w:r>
    </w:p>
    <w:p>
      <w:pPr>
        <w:pStyle w:val="BodyText"/>
      </w:pPr>
      <w:r>
        <w:rPr>
          <w:bCs/>
          <w:b/>
        </w:rPr>
        <w:t xml:space="preserve">Resource-Based View (RBV).</w:t>
      </w:r>
      <w:r>
        <w:t xml:space="preserve"> </w:t>
      </w:r>
      <w:r>
        <w:t xml:space="preserve">Barney (1991) establishes that</w:t>
      </w:r>
      <w:r>
        <w:t xml:space="preserve"> </w:t>
      </w:r>
      <w:r>
        <w:t xml:space="preserve">sustainable competitive advantages derive from VRIN (valuable, rare,</w:t>
      </w:r>
      <w:r>
        <w:t xml:space="preserve"> </w:t>
      </w:r>
      <w:r>
        <w:t xml:space="preserve">inimitable, non-substitutable) resources. In the I→P context, this</w:t>
      </w:r>
      <w:r>
        <w:t xml:space="preserve"> </w:t>
      </w:r>
      <w:r>
        <w:t xml:space="preserve">predicts that firms with strong home-country resource endowments</w:t>
      </w:r>
      <w:r>
        <w:t xml:space="preserve"> </w:t>
      </w:r>
      <w:r>
        <w:t xml:space="preserve">including human capital, technological capability, and digital</w:t>
      </w:r>
      <w:r>
        <w:t xml:space="preserve"> </w:t>
      </w:r>
      <w:r>
        <w:t xml:space="preserve">infrastructure access, will generate higher performance returns from</w:t>
      </w:r>
      <w:r>
        <w:t xml:space="preserve"> </w:t>
      </w:r>
      <w:r>
        <w:t xml:space="preserve">international expansion than resource-constrained peers. Wernerfelt’s</w:t>
      </w:r>
      <w:r>
        <w:t xml:space="preserve"> </w:t>
      </w:r>
      <w:r>
        <w:t xml:space="preserve">(1984) resource bundling logic further predicts that national digital</w:t>
      </w:r>
      <w:r>
        <w:t xml:space="preserve"> </w:t>
      </w:r>
      <w:r>
        <w:t xml:space="preserve">infrastructure provides a coordination-enabling environment that</w:t>
      </w:r>
      <w:r>
        <w:t xml:space="preserve"> </w:t>
      </w:r>
      <w:r>
        <w:t xml:space="preserve">amplifies the returns to firm-level resources: in high-cDAI</w:t>
      </w:r>
      <w:r>
        <w:t xml:space="preserve"> </w:t>
      </w:r>
      <w:r>
        <w:t xml:space="preserve">environments, firms can deploy their existing technological and</w:t>
      </w:r>
      <w:r>
        <w:t xml:space="preserve"> </w:t>
      </w:r>
      <w:r>
        <w:t xml:space="preserve">organizational capabilities across borders at lower per-unit cost,</w:t>
      </w:r>
      <w:r>
        <w:t xml:space="preserve"> </w:t>
      </w:r>
      <w:r>
        <w:t xml:space="preserve">raising the marginal productivity return to each additional unit of</w:t>
      </w:r>
      <w:r>
        <w:t xml:space="preserve"> </w:t>
      </w:r>
      <w:r>
        <w:t xml:space="preserve">international expansion. It is important to note that cDAI</w:t>
      </w:r>
      <w:r>
        <w:t xml:space="preserve"> </w:t>
      </w:r>
      <w:r>
        <w:t xml:space="preserve">(country-level) is analytically distinct from firm-level digital</w:t>
      </w:r>
      <w:r>
        <w:t xml:space="preserve"> </w:t>
      </w:r>
      <w:r>
        <w:t xml:space="preserve">adoption (DAI) and from firm-level technological capability (TCI), which</w:t>
      </w:r>
      <w:r>
        <w:t xml:space="preserve"> </w:t>
      </w:r>
      <w:r>
        <w:t xml:space="preserve">the companion primary studies (P3–P8) treat as separate constructs with</w:t>
      </w:r>
      <w:r>
        <w:t xml:space="preserve"> </w:t>
      </w:r>
      <w:r>
        <w:t xml:space="preserve">distinct measurement bases and theoretical roles. In the present</w:t>
      </w:r>
      <w:r>
        <w:t xml:space="preserve"> </w:t>
      </w:r>
      <w:r>
        <w:t xml:space="preserve">meta-analytic study, only cDAI is operationalized as a study-level</w:t>
      </w:r>
      <w:r>
        <w:t xml:space="preserve"> </w:t>
      </w:r>
      <w:r>
        <w:t xml:space="preserve">moderator; DAI and TCI remain within-study variables in the</w:t>
      </w:r>
      <w:r>
        <w:t xml:space="preserve"> </w:t>
      </w:r>
      <w:r>
        <w:t xml:space="preserve">primary-study designs and are not separately extractable at</w:t>
      </w:r>
      <w:r>
        <w:t xml:space="preserve"> </w:t>
      </w:r>
      <w:r>
        <w:t xml:space="preserve">meta-analytic resolution from the k = 238 corpus. The resource-bundling</w:t>
      </w:r>
      <w:r>
        <w:t xml:space="preserve"> </w:t>
      </w:r>
      <w:r>
        <w:t xml:space="preserve">prediction for P6 therefore concerns whether a richer national digital</w:t>
      </w:r>
      <w:r>
        <w:t xml:space="preserve"> </w:t>
      </w:r>
      <w:r>
        <w:t xml:space="preserve">environment raises the aggregate I→P effect across studies, a</w:t>
      </w:r>
      <w:r>
        <w:t xml:space="preserve"> </w:t>
      </w:r>
      <w:r>
        <w:t xml:space="preserve">between-study moderation claim at the country level, not a within-study</w:t>
      </w:r>
      <w:r>
        <w:t xml:space="preserve"> </w:t>
      </w:r>
      <w:r>
        <w:t xml:space="preserve">claim about firm-level capability bundles.</w:t>
      </w:r>
    </w:p>
    <w:p>
      <w:pPr>
        <w:pStyle w:val="BodyText"/>
      </w:pPr>
      <w:r>
        <w:rPr>
          <w:bCs/>
          <w:b/>
        </w:rPr>
        <w:t xml:space="preserve">Institutional Theory.</w:t>
      </w:r>
      <w:r>
        <w:t xml:space="preserve"> </w:t>
      </w:r>
      <w:r>
        <w:t xml:space="preserve">North’s (1990) framework positions formal and</w:t>
      </w:r>
      <w:r>
        <w:t xml:space="preserve"> </w:t>
      </w:r>
      <w:r>
        <w:t xml:space="preserve">informal institutions as the</w:t>
      </w:r>
      <w:r>
        <w:t xml:space="preserve"> </w:t>
      </w:r>
      <w:r>
        <w:t xml:space="preserve">“</w:t>
      </w:r>
      <w:r>
        <w:t xml:space="preserve">rules of the game</w:t>
      </w:r>
      <w:r>
        <w:t xml:space="preserve">”</w:t>
      </w:r>
      <w:r>
        <w:t xml:space="preserve"> </w:t>
      </w:r>
      <w:r>
        <w:t xml:space="preserve">that govern transaction</w:t>
      </w:r>
      <w:r>
        <w:t xml:space="preserve"> </w:t>
      </w:r>
      <w:r>
        <w:t xml:space="preserve">costs. In the I→P context, higher institutional quality, measured</w:t>
      </w:r>
      <w:r>
        <w:t xml:space="preserve"> </w:t>
      </w:r>
      <w:r>
        <w:t xml:space="preserve">through rule of law, contract enforcement, IP protection, and regulatory</w:t>
      </w:r>
      <w:r>
        <w:t xml:space="preserve"> </w:t>
      </w:r>
      <w:r>
        <w:t xml:space="preserve">quality, reduces the coordination costs of cross-border expansion by</w:t>
      </w:r>
      <w:r>
        <w:t xml:space="preserve"> </w:t>
      </w:r>
      <w:r>
        <w:t xml:space="preserve">attenuating opportunism risk, monitoring costs, and information</w:t>
      </w:r>
      <w:r>
        <w:t xml:space="preserve"> </w:t>
      </w:r>
      <w:r>
        <w:t xml:space="preserve">asymmetry between home and host markets. Scott’s (1995) three-pillar</w:t>
      </w:r>
      <w:r>
        <w:t xml:space="preserve"> </w:t>
      </w:r>
      <w:r>
        <w:t xml:space="preserve">framework extends this logic: regulative, normative, and cognitive</w:t>
      </w:r>
      <w:r>
        <w:t xml:space="preserve"> </w:t>
      </w:r>
      <w:r>
        <w:t xml:space="preserve">institutions jointly determine the transaction cost environment in which</w:t>
      </w:r>
      <w:r>
        <w:t xml:space="preserve"> </w:t>
      </w:r>
      <w:r>
        <w:t xml:space="preserve">internationalization occurs. When regulative institutions are strong</w:t>
      </w:r>
      <w:r>
        <w:t xml:space="preserve"> </w:t>
      </w:r>
      <w:r>
        <w:t xml:space="preserve">(ICRV Regime I), firms can enforce contracts with foreign counterparts</w:t>
      </w:r>
      <w:r>
        <w:t xml:space="preserve"> </w:t>
      </w:r>
      <w:r>
        <w:t xml:space="preserve">at lower cost, protect innovation rents across jurisdictions, and</w:t>
      </w:r>
      <w:r>
        <w:t xml:space="preserve"> </w:t>
      </w:r>
      <w:r>
        <w:t xml:space="preserve">exploit economies of scale without the institutional friction that</w:t>
      </w:r>
      <w:r>
        <w:t xml:space="preserve"> </w:t>
      </w:r>
      <w:r>
        <w:t xml:space="preserve">truncates these returns in weaker institutional environments. The ICRV</w:t>
      </w:r>
      <w:r>
        <w:t xml:space="preserve"> </w:t>
      </w:r>
      <w:r>
        <w:t xml:space="preserve">gradient hypothesis (H1) thus derives directly from institutional</w:t>
      </w:r>
      <w:r>
        <w:t xml:space="preserve"> </w:t>
      </w:r>
      <w:r>
        <w:t xml:space="preserve">theory: the expected I→P effect should decline monotonically from</w:t>
      </w:r>
      <w:r>
        <w:t xml:space="preserve"> </w:t>
      </w:r>
      <w:r>
        <w:t xml:space="preserve">Advanced-Innovation (Regime I) to Frontier (Regime FR) as institutional</w:t>
      </w:r>
      <w:r>
        <w:t xml:space="preserve"> </w:t>
      </w:r>
      <w:r>
        <w:t xml:space="preserve">quality falls and coordination costs rise.</w:t>
      </w:r>
    </w:p>
    <w:p>
      <w:pPr>
        <w:pStyle w:val="BodyText"/>
      </w:pPr>
      <w:r>
        <w:rPr>
          <w:bCs/>
          <w:b/>
        </w:rPr>
        <w:t xml:space="preserve">Organizational Learning Theory.</w:t>
      </w:r>
      <w:r>
        <w:t xml:space="preserve"> </w:t>
      </w:r>
      <w:r>
        <w:t xml:space="preserve">Johanson and Vahlne’s (1977, 2009)</w:t>
      </w:r>
      <w:r>
        <w:t xml:space="preserve"> </w:t>
      </w:r>
      <w:r>
        <w:t xml:space="preserve">Uppsala model posits that internationalization knowledge accumulates</w:t>
      </w:r>
      <w:r>
        <w:t xml:space="preserve"> </w:t>
      </w:r>
      <w:r>
        <w:t xml:space="preserve">through market-specific experience and is subsequently encoded in</w:t>
      </w:r>
      <w:r>
        <w:t xml:space="preserve"> </w:t>
      </w:r>
      <w:r>
        <w:t xml:space="preserve">organizational routines. Digital platforms accelerate this knowledge</w:t>
      </w:r>
      <w:r>
        <w:t xml:space="preserve"> </w:t>
      </w:r>
      <w:r>
        <w:t xml:space="preserve">accumulation by reducing information asymmetries between home and host</w:t>
      </w:r>
      <w:r>
        <w:t xml:space="preserve"> </w:t>
      </w:r>
      <w:r>
        <w:t xml:space="preserve">markets: cloud-based analytics, real-time demand signaling, and B2B</w:t>
      </w:r>
      <w:r>
        <w:t xml:space="preserve"> </w:t>
      </w:r>
      <w:r>
        <w:t xml:space="preserve">digital platforms enable firms to monitor foreign market conditions</w:t>
      </w:r>
      <w:r>
        <w:t xml:space="preserve"> </w:t>
      </w:r>
      <w:r>
        <w:t xml:space="preserve">without the physical presence that prior eras required (Stallkamp &amp;</w:t>
      </w:r>
      <w:r>
        <w:t xml:space="preserve"> </w:t>
      </w:r>
      <w:r>
        <w:t xml:space="preserve">Schotter, 2021). The DPL Follow phase (post-2014) is the period in which</w:t>
      </w:r>
      <w:r>
        <w:t xml:space="preserve"> </w:t>
      </w:r>
      <w:r>
        <w:t xml:space="preserve">these digital learning channels reach sufficient maturity and</w:t>
      </w:r>
      <w:r>
        <w:t xml:space="preserve"> </w:t>
      </w:r>
      <w:r>
        <w:t xml:space="preserve">penetration to systematically compress the experiential learning curve,</w:t>
      </w:r>
      <w:r>
        <w:t xml:space="preserve"> </w:t>
      </w:r>
      <w:r>
        <w:t xml:space="preserve">predicting that I→P effects are largest in studies drawing on data from</w:t>
      </w:r>
      <w:r>
        <w:t xml:space="preserve"> </w:t>
      </w:r>
      <w:r>
        <w:t xml:space="preserve">this period (H2). The Span phase captures the transitional period in</w:t>
      </w:r>
      <w:r>
        <w:t xml:space="preserve"> </w:t>
      </w:r>
      <w:r>
        <w:t xml:space="preserve">which digital tools were diffusing but had not yet reached the maturity</w:t>
      </w:r>
      <w:r>
        <w:t xml:space="preserve"> </w:t>
      </w:r>
      <w:r>
        <w:t xml:space="preserve">threshold at which their learning-cost compression effects became</w:t>
      </w:r>
      <w:r>
        <w:t xml:space="preserve"> </w:t>
      </w:r>
      <w:r>
        <w:t xml:space="preserve">systemic.</w:t>
      </w:r>
    </w:p>
    <w:p>
      <w:pPr>
        <w:pStyle w:val="BodyText"/>
      </w:pPr>
      <w:r>
        <w:rPr>
          <w:bCs/>
          <w:b/>
        </w:rPr>
        <w:t xml:space="preserve">Coordination Cost Theory.</w:t>
      </w:r>
      <w:r>
        <w:t xml:space="preserve"> </w:t>
      </w:r>
      <w:r>
        <w:t xml:space="preserve">The classic coordination cost argument in</w:t>
      </w:r>
      <w:r>
        <w:t xml:space="preserve"> </w:t>
      </w:r>
      <w:r>
        <w:t xml:space="preserve">the I→P literature (Hitt et al., 1997; Lu &amp; Beamish, 2004) posits that</w:t>
      </w:r>
      <w:r>
        <w:t xml:space="preserve"> </w:t>
      </w:r>
      <w:r>
        <w:t xml:space="preserve">international expansion initially generates productivity gains through</w:t>
      </w:r>
      <w:r>
        <w:t xml:space="preserve"> </w:t>
      </w:r>
      <w:r>
        <w:t xml:space="preserve">scale economies and learning, but eventually produces diseconomies as</w:t>
      </w:r>
      <w:r>
        <w:t xml:space="preserve"> </w:t>
      </w:r>
      <w:r>
        <w:t xml:space="preserve">the administrative burden of coordinating dispersed operations exceeds</w:t>
      </w:r>
      <w:r>
        <w:t xml:space="preserve"> </w:t>
      </w:r>
      <w:r>
        <w:t xml:space="preserve">the gains from further geographic diversification. This logic produces</w:t>
      </w:r>
      <w:r>
        <w:t xml:space="preserve"> </w:t>
      </w:r>
      <w:r>
        <w:t xml:space="preserve">the inverted-U relationship that constitutes the modal finding in the</w:t>
      </w:r>
      <w:r>
        <w:t xml:space="preserve"> </w:t>
      </w:r>
      <w:r>
        <w:t xml:space="preserve">I→P literature (Marano et al., 2016). However, digital platforms</w:t>
      </w:r>
      <w:r>
        <w:t xml:space="preserve"> </w:t>
      </w:r>
      <w:r>
        <w:t xml:space="preserve">systematically reduce coordination costs through three channels: (a)</w:t>
      </w:r>
      <w:r>
        <w:t xml:space="preserve"> </w:t>
      </w:r>
      <w:r>
        <w:rPr>
          <w:iCs/>
          <w:i/>
        </w:rPr>
        <w:t xml:space="preserve">communication compression</w:t>
      </w:r>
      <w:r>
        <w:t xml:space="preserve">, real-time digital communication across</w:t>
      </w:r>
      <w:r>
        <w:t xml:space="preserve"> </w:t>
      </w:r>
      <w:r>
        <w:t xml:space="preserve">time zones reduces the bandwidth cost of coordinating dispersed</w:t>
      </w:r>
      <w:r>
        <w:t xml:space="preserve"> </w:t>
      </w:r>
      <w:r>
        <w:t xml:space="preserve">operations; (b)</w:t>
      </w:r>
      <w:r>
        <w:t xml:space="preserve"> </w:t>
      </w:r>
      <w:r>
        <w:rPr>
          <w:iCs/>
          <w:i/>
        </w:rPr>
        <w:t xml:space="preserve">transaction cost reduction</w:t>
      </w:r>
      <w:r>
        <w:t xml:space="preserve">, electronic payment</w:t>
      </w:r>
      <w:r>
        <w:t xml:space="preserve"> </w:t>
      </w:r>
      <w:r>
        <w:t xml:space="preserve">systems and digital contracting reduce the cost and time of cross-border</w:t>
      </w:r>
      <w:r>
        <w:t xml:space="preserve"> </w:t>
      </w:r>
      <w:r>
        <w:t xml:space="preserve">transactions; (c)</w:t>
      </w:r>
      <w:r>
        <w:t xml:space="preserve"> </w:t>
      </w:r>
      <w:r>
        <w:rPr>
          <w:iCs/>
          <w:i/>
        </w:rPr>
        <w:t xml:space="preserve">information asymmetry compression</w:t>
      </w:r>
      <w:r>
        <w:t xml:space="preserve">, digital</w:t>
      </w:r>
      <w:r>
        <w:t xml:space="preserve"> </w:t>
      </w:r>
      <w:r>
        <w:t xml:space="preserve">analytics platforms reduce the monitoring cost of verifying foreign</w:t>
      </w:r>
      <w:r>
        <w:t xml:space="preserve"> </w:t>
      </w:r>
      <w:r>
        <w:t xml:space="preserve">partner performance. When national digital infrastructure is mature</w:t>
      </w:r>
      <w:r>
        <w:t xml:space="preserve"> </w:t>
      </w:r>
      <w:r>
        <w:t xml:space="preserve">(high cDAI), all three channels operate simultaneously, predicting that</w:t>
      </w:r>
      <w:r>
        <w:t xml:space="preserve"> </w:t>
      </w:r>
      <w:r>
        <w:t xml:space="preserve">the coordination cost mechanism, which generates the right-side decline</w:t>
      </w:r>
      <w:r>
        <w:t xml:space="preserve"> </w:t>
      </w:r>
      <w:r>
        <w:t xml:space="preserve">of the inverted-U, is attenuated or shifted to higher</w:t>
      </w:r>
      <w:r>
        <w:t xml:space="preserve"> </w:t>
      </w:r>
      <w:r>
        <w:t xml:space="preserve">internationalization intensities than would be observed in low-cDAI</w:t>
      </w:r>
      <w:r>
        <w:t xml:space="preserve"> </w:t>
      </w:r>
      <w:r>
        <w:t xml:space="preserve">environments.</w:t>
      </w:r>
    </w:p>
    <w:p>
      <w:pPr>
        <w:pStyle w:val="BodyText"/>
      </w:pPr>
      <w:r>
        <w:rPr>
          <w:bCs/>
          <w:b/>
        </w:rPr>
        <w:t xml:space="preserve">Foundational Digital Adoption Framework.</w:t>
      </w:r>
      <w:r>
        <w:t xml:space="preserve"> </w:t>
      </w:r>
      <w:r>
        <w:t xml:space="preserve">Verhoef et al.’s (2021)</w:t>
      </w:r>
      <w:r>
        <w:t xml:space="preserve"> </w:t>
      </w:r>
      <w:r>
        <w:t xml:space="preserve">digital transformation hierarchy distinguishes Tier-1</w:t>
      </w:r>
      <w:r>
        <w:t xml:space="preserve"> </w:t>
      </w:r>
      <w:r>
        <w:rPr>
          <w:iCs/>
          <w:i/>
        </w:rPr>
        <w:t xml:space="preserve">digitization</w:t>
      </w:r>
      <w:r>
        <w:t xml:space="preserve"> </w:t>
      </w:r>
      <w:r>
        <w:t xml:space="preserve">(basic digital presence: websites, digital records), Tier-2</w:t>
      </w:r>
      <w:r>
        <w:t xml:space="preserve"> </w:t>
      </w:r>
      <w:r>
        <w:rPr>
          <w:iCs/>
          <w:i/>
        </w:rPr>
        <w:t xml:space="preserve">digitalization</w:t>
      </w:r>
      <w:r>
        <w:t xml:space="preserve"> </w:t>
      </w:r>
      <w:r>
        <w:t xml:space="preserve">(digital transaction enabling: electronic payments,</w:t>
      </w:r>
      <w:r>
        <w:t xml:space="preserve"> </w:t>
      </w:r>
      <w:r>
        <w:t xml:space="preserve">EDI), Tier-3</w:t>
      </w:r>
      <w:r>
        <w:t xml:space="preserve"> </w:t>
      </w:r>
      <w:r>
        <w:rPr>
          <w:iCs/>
          <w:i/>
        </w:rPr>
        <w:t xml:space="preserve">digital integration</w:t>
      </w:r>
      <w:r>
        <w:t xml:space="preserve"> </w:t>
      </w:r>
      <w:r>
        <w:t xml:space="preserve">(ERP, CRM, supply chain integration),</w:t>
      </w:r>
      <w:r>
        <w:t xml:space="preserve"> </w:t>
      </w:r>
      <w:r>
        <w:t xml:space="preserve">and Tier-4</w:t>
      </w:r>
      <w:r>
        <w:t xml:space="preserve"> </w:t>
      </w:r>
      <w:r>
        <w:rPr>
          <w:iCs/>
          <w:i/>
        </w:rPr>
        <w:t xml:space="preserve">digital dynamic capability</w:t>
      </w:r>
      <w:r>
        <w:t xml:space="preserve"> </w:t>
      </w:r>
      <w:r>
        <w:t xml:space="preserve">(AI deployment, platform</w:t>
      </w:r>
      <w:r>
        <w:t xml:space="preserve"> </w:t>
      </w:r>
      <w:r>
        <w:t xml:space="preserve">orchestration). Stallkamp and Schotter (2021) extend this hierarchy to</w:t>
      </w:r>
      <w:r>
        <w:t xml:space="preserve"> </w:t>
      </w:r>
      <w:r>
        <w:t xml:space="preserve">the IB context, showing that Tier-1 and Tier-2 digital adoption, the</w:t>
      </w:r>
      <w:r>
        <w:t xml:space="preserve"> </w:t>
      </w:r>
      <w:r>
        <w:t xml:space="preserve">layers most widely measured in firm-level surveys, function as</w:t>
      </w:r>
      <w:r>
        <w:t xml:space="preserve"> </w:t>
      </w:r>
      <w:r>
        <w:rPr>
          <w:iCs/>
          <w:i/>
        </w:rPr>
        <w:t xml:space="preserve">platform infrastructure</w:t>
      </w:r>
      <w:r>
        <w:t xml:space="preserve"> </w:t>
      </w:r>
      <w:r>
        <w:t xml:space="preserve">for cross-border coordination rather than as</w:t>
      </w:r>
      <w:r>
        <w:t xml:space="preserve"> </w:t>
      </w:r>
      <w:r>
        <w:t xml:space="preserve">proprietary capabilities. At the country level, the aggregate adoption</w:t>
      </w:r>
      <w:r>
        <w:t xml:space="preserve"> </w:t>
      </w:r>
      <w:r>
        <w:t xml:space="preserve">of Tier-1 and Tier-2 tools across the economy defines the</w:t>
      </w:r>
      <w:r>
        <w:t xml:space="preserve"> </w:t>
      </w:r>
      <w:r>
        <w:rPr>
          <w:iCs/>
          <w:i/>
        </w:rPr>
        <w:t xml:space="preserve">national</w:t>
      </w:r>
      <w:r>
        <w:rPr>
          <w:iCs/>
          <w:i/>
        </w:rPr>
        <w:t xml:space="preserve"> </w:t>
      </w:r>
      <w:r>
        <w:rPr>
          <w:iCs/>
          <w:i/>
        </w:rPr>
        <w:t xml:space="preserve">digital adoption environment</w:t>
      </w:r>
      <w:r>
        <w:t xml:space="preserve"> </w:t>
      </w:r>
      <w:r>
        <w:t xml:space="preserve">(cDAI): the availability of a digitally</w:t>
      </w:r>
      <w:r>
        <w:t xml:space="preserve"> </w:t>
      </w:r>
      <w:r>
        <w:t xml:space="preserve">enabled transaction ecosystem that reduces the minimum infrastructure</w:t>
      </w:r>
      <w:r>
        <w:t xml:space="preserve"> </w:t>
      </w:r>
      <w:r>
        <w:t xml:space="preserve">investment required for firms to participate in cross-border trade. This</w:t>
      </w:r>
      <w:r>
        <w:t xml:space="preserve"> </w:t>
      </w:r>
      <w:r>
        <w:t xml:space="preserve">country-level construct is analytically distinct from firm-level digital</w:t>
      </w:r>
      <w:r>
        <w:t xml:space="preserve"> </w:t>
      </w:r>
      <w:r>
        <w:t xml:space="preserve">adoption: cDAI captures the shared digital infrastructure environment,</w:t>
      </w:r>
      <w:r>
        <w:t xml:space="preserve"> </w:t>
      </w:r>
      <w:r>
        <w:t xml:space="preserve">whereas firm-level DAI captures a firm’s own position within that</w:t>
      </w:r>
      <w:r>
        <w:t xml:space="preserve"> </w:t>
      </w:r>
      <w:r>
        <w:t xml:space="preserve">environment. The cDAI amplification hypothesis (H3) thus concerns</w:t>
      </w:r>
      <w:r>
        <w:t xml:space="preserve"> </w:t>
      </w:r>
      <w:r>
        <w:t xml:space="preserve">whether a richer national digital environment raises the aggregate I→P</w:t>
      </w:r>
      <w:r>
        <w:t xml:space="preserve"> </w:t>
      </w:r>
      <w:r>
        <w:t xml:space="preserve">effect across the studies that draw on it, a between-study moderation</w:t>
      </w:r>
      <w:r>
        <w:t xml:space="preserve"> </w:t>
      </w:r>
      <w:r>
        <w:t xml:space="preserve">claim, not a within-study mediation claim.</w:t>
      </w:r>
    </w:p>
    <w:bookmarkEnd w:id="22"/>
    <w:bookmarkStart w:id="23" w:name="X772aae5f967000260143b5df2cce415e62452ba"/>
    <w:p>
      <w:pPr>
        <w:pStyle w:val="Heading3"/>
      </w:pPr>
      <w:r>
        <w:t xml:space="preserve">2.2 Capability–Institution Mismatch Theory (New, Hm1)</w:t>
      </w:r>
    </w:p>
    <w:p>
      <w:pPr>
        <w:pStyle w:val="FirstParagraph"/>
      </w:pPr>
      <w:r>
        <w:t xml:space="preserve">We propose</w:t>
      </w:r>
      <w:r>
        <w:t xml:space="preserve"> </w:t>
      </w:r>
      <w:r>
        <w:rPr>
          <w:iCs/>
          <w:i/>
        </w:rPr>
        <w:t xml:space="preserve">Capability–Institution Mismatch Theory</w:t>
      </w:r>
      <w:r>
        <w:t xml:space="preserve"> </w:t>
      </w:r>
      <w:r>
        <w:t xml:space="preserve">(CIMT) to explain</w:t>
      </w:r>
      <w:r>
        <w:t xml:space="preserve"> </w:t>
      </w:r>
      <w:r>
        <w:t xml:space="preserve">the ICRV gradient in meta-analytic I→P effect sizes. CIMT’s core claim</w:t>
      </w:r>
      <w:r>
        <w:t xml:space="preserve"> </w:t>
      </w:r>
      <w:r>
        <w:t xml:space="preserve">is that the productivity returns to international expansion are a</w:t>
      </w:r>
      <w:r>
        <w:t xml:space="preserve"> </w:t>
      </w:r>
      <w:r>
        <w:t xml:space="preserve">function not only of firm-level capabilities but of the degree to which</w:t>
      </w:r>
      <w:r>
        <w:t xml:space="preserve"> </w:t>
      </w:r>
      <w:r>
        <w:t xml:space="preserve">home-country institutions enable those capabilities to be deployed</w:t>
      </w:r>
      <w:r>
        <w:t xml:space="preserve"> </w:t>
      </w:r>
      <w:r>
        <w:t xml:space="preserve">productively across borders. The theory distinguishes three mechanisms:</w:t>
      </w:r>
    </w:p>
    <w:p>
      <w:pPr>
        <w:pStyle w:val="BodyText"/>
      </w:pPr>
      <w:r>
        <w:rPr>
          <w:iCs/>
          <w:i/>
        </w:rPr>
        <w:t xml:space="preserve">Rent-protection mechanism.</w:t>
      </w:r>
      <w:r>
        <w:t xml:space="preserve"> </w:t>
      </w:r>
      <w:r>
        <w:t xml:space="preserve">Institutional quality determines the degree</w:t>
      </w:r>
      <w:r>
        <w:t xml:space="preserve"> </w:t>
      </w:r>
      <w:r>
        <w:t xml:space="preserve">to which firms can protect the proprietary rents generated by their</w:t>
      </w:r>
      <w:r>
        <w:t xml:space="preserve"> </w:t>
      </w:r>
      <w:r>
        <w:t xml:space="preserve">internationalization activities. In high-quality institutional</w:t>
      </w:r>
      <w:r>
        <w:t xml:space="preserve"> </w:t>
      </w:r>
      <w:r>
        <w:t xml:space="preserve">environments (ICRV Regime I), strong IP protection and contract</w:t>
      </w:r>
      <w:r>
        <w:t xml:space="preserve"> </w:t>
      </w:r>
      <w:r>
        <w:t xml:space="preserve">enforcement allow firms to maintain competitive advantages across</w:t>
      </w:r>
      <w:r>
        <w:t xml:space="preserve"> </w:t>
      </w:r>
      <w:r>
        <w:t xml:space="preserve">foreign markets without the knowledge leakage and imitation risk that</w:t>
      </w:r>
      <w:r>
        <w:t xml:space="preserve"> </w:t>
      </w:r>
      <w:r>
        <w:t xml:space="preserve">characterize weaker institutional contexts (Kogut &amp; Zander, 1993;</w:t>
      </w:r>
      <w:r>
        <w:t xml:space="preserve"> </w:t>
      </w:r>
      <w:r>
        <w:t xml:space="preserve">Zaheer, 1995). Each unit of international expansion therefore translates</w:t>
      </w:r>
      <w:r>
        <w:t xml:space="preserve"> </w:t>
      </w:r>
      <w:r>
        <w:t xml:space="preserve">into larger cumulative rent streams, raising the average I→P effect</w:t>
      </w:r>
      <w:r>
        <w:t xml:space="preserve"> </w:t>
      </w:r>
      <w:r>
        <w:t xml:space="preserve">observed in studies drawing on Regime I samples.</w:t>
      </w:r>
    </w:p>
    <w:p>
      <w:pPr>
        <w:pStyle w:val="BodyText"/>
      </w:pPr>
      <w:r>
        <w:rPr>
          <w:iCs/>
          <w:i/>
        </w:rPr>
        <w:t xml:space="preserve">Liability-of-foreignness attenuation mechanism.</w:t>
      </w:r>
      <w:r>
        <w:t xml:space="preserve"> </w:t>
      </w:r>
      <w:r>
        <w:t xml:space="preserve">Zaheer (1995)</w:t>
      </w:r>
      <w:r>
        <w:t xml:space="preserve"> </w:t>
      </w:r>
      <w:r>
        <w:t xml:space="preserve">identifies liability of foreignness (LOF), the costs incurred by</w:t>
      </w:r>
      <w:r>
        <w:t xml:space="preserve"> </w:t>
      </w:r>
      <w:r>
        <w:t xml:space="preserve">foreign firms that domestic rivals do not bear, as a key driver of</w:t>
      </w:r>
      <w:r>
        <w:t xml:space="preserve"> </w:t>
      </w:r>
      <w:r>
        <w:t xml:space="preserve">internationalization costs. LOF is attenuated in high-quality</w:t>
      </w:r>
      <w:r>
        <w:t xml:space="preserve"> </w:t>
      </w:r>
      <w:r>
        <w:t xml:space="preserve">institutional environments because strong rule of law, transparent</w:t>
      </w:r>
      <w:r>
        <w:t xml:space="preserve"> </w:t>
      </w:r>
      <w:r>
        <w:t xml:space="preserve">regulatory processes, and low corruption reduce the information</w:t>
      </w:r>
      <w:r>
        <w:t xml:space="preserve"> </w:t>
      </w:r>
      <w:r>
        <w:t xml:space="preserve">asymmetries and discriminatory treatment that generate LOF in weaker</w:t>
      </w:r>
      <w:r>
        <w:t xml:space="preserve"> </w:t>
      </w:r>
      <w:r>
        <w:t xml:space="preserve">institutional contexts (Peng et al., 2008). When LOF is low (ICRV-I),</w:t>
      </w:r>
      <w:r>
        <w:t xml:space="preserve"> </w:t>
      </w:r>
      <w:r>
        <w:t xml:space="preserve">firms can capture a larger share of the productivity gains from</w:t>
      </w:r>
      <w:r>
        <w:t xml:space="preserve"> </w:t>
      </w:r>
      <w:r>
        <w:t xml:space="preserve">cross-border scale economies and learning, raising the meta-analytic</w:t>
      </w:r>
      <w:r>
        <w:t xml:space="preserve"> </w:t>
      </w:r>
      <w:r>
        <w:t xml:space="preserve">effect size.</w:t>
      </w:r>
    </w:p>
    <w:p>
      <w:pPr>
        <w:pStyle w:val="BodyText"/>
      </w:pPr>
      <w:r>
        <w:rPr>
          <w:iCs/>
          <w:i/>
        </w:rPr>
        <w:t xml:space="preserve">Institutional void amplification mechanism.</w:t>
      </w:r>
      <w:r>
        <w:t xml:space="preserve"> </w:t>
      </w:r>
      <w:r>
        <w:t xml:space="preserve">In institutional voids</w:t>
      </w:r>
      <w:r>
        <w:t xml:space="preserve"> </w:t>
      </w:r>
      <w:r>
        <w:t xml:space="preserve">environments where formal institutions are weak or absent, firms must</w:t>
      </w:r>
      <w:r>
        <w:t xml:space="preserve"> </w:t>
      </w:r>
      <w:r>
        <w:t xml:space="preserve">invest in substitute governance mechanisms (relationship capital,</w:t>
      </w:r>
      <w:r>
        <w:t xml:space="preserve"> </w:t>
      </w:r>
      <w:r>
        <w:t xml:space="preserve">political connections, informal contracts) that absorb managerial</w:t>
      </w:r>
      <w:r>
        <w:t xml:space="preserve"> </w:t>
      </w:r>
      <w:r>
        <w:t xml:space="preserve">attention and reduce the net productivity returns to</w:t>
      </w:r>
      <w:r>
        <w:t xml:space="preserve"> </w:t>
      </w:r>
      <w:r>
        <w:t xml:space="preserve">internationalization (Khanna &amp; Palepu, 2010). As institutional quality</w:t>
      </w:r>
      <w:r>
        <w:t xml:space="preserve"> </w:t>
      </w:r>
      <w:r>
        <w:t xml:space="preserve">declines across the ICRV spectrum (Regime II → III → FR), these</w:t>
      </w:r>
      <w:r>
        <w:t xml:space="preserve"> </w:t>
      </w:r>
      <w:r>
        <w:t xml:space="preserve">substitute governance costs accumulate, progressively depressing the I→P</w:t>
      </w:r>
      <w:r>
        <w:t xml:space="preserve"> </w:t>
      </w:r>
      <w:r>
        <w:t xml:space="preserve">effect toward zero and potentially negative territory.</w:t>
      </w:r>
    </w:p>
    <w:p>
      <w:pPr>
        <w:pStyle w:val="BodyText"/>
      </w:pPr>
      <w:r>
        <w:t xml:space="preserve">CIMT predicts between-regime heterogeneity in I→P effect sizes, with</w:t>
      </w:r>
      <w:r>
        <w:t xml:space="preserve"> </w:t>
      </w:r>
      <w:r>
        <w:t xml:space="preserve">Advanced-regime studies expected to show the largest effects because all</w:t>
      </w:r>
      <w:r>
        <w:t xml:space="preserve"> </w:t>
      </w:r>
      <w:r>
        <w:t xml:space="preserve">three CIMT mechanisms operate simultaneously at the institutional</w:t>
      </w:r>
      <w:r>
        <w:t xml:space="preserve"> </w:t>
      </w:r>
      <w:r>
        <w:t xml:space="preserve">frontier. Prior meta-analyses have not adequately tested this</w:t>
      </w:r>
      <w:r>
        <w:t xml:space="preserve"> </w:t>
      </w:r>
      <w:r>
        <w:t xml:space="preserve">institutional gradient because they lacked a fine-grained taxonomy that</w:t>
      </w:r>
      <w:r>
        <w:t xml:space="preserve"> </w:t>
      </w:r>
      <w:r>
        <w:t xml:space="preserve">disaggregates the spectrum from Advanced Innovation economies to</w:t>
      </w:r>
      <w:r>
        <w:t xml:space="preserve"> </w:t>
      </w:r>
      <w:r>
        <w:t xml:space="preserve">Frontier and SIDS contexts at sufficient resolution. Marano et al.</w:t>
      </w:r>
      <w:r>
        <w:t xml:space="preserve"> </w:t>
      </w:r>
      <w:r>
        <w:t xml:space="preserve">(2016) used a six-category global classification that did not separate</w:t>
      </w:r>
      <w:r>
        <w:t xml:space="preserve"> </w:t>
      </w:r>
      <w:r>
        <w:t xml:space="preserve">the Advanced/Upper-Middle/Emerging/Frontier spectrum examined here. The</w:t>
      </w:r>
      <w:r>
        <w:t xml:space="preserve"> </w:t>
      </w:r>
      <w:r>
        <w:t xml:space="preserve">ICRV 5-regime taxonomy, anchored in World Bank World Governance</w:t>
      </w:r>
      <w:r>
        <w:t xml:space="preserve"> </w:t>
      </w:r>
      <w:r>
        <w:t xml:space="preserve">Indicators (Rule of Law dimension, 2023 vintage) and applied to the full</w:t>
      </w:r>
      <w:r>
        <w:t xml:space="preserve"> </w:t>
      </w:r>
      <w:r>
        <w:t xml:space="preserve">k = 238 global study corpus, provides the first classification capable</w:t>
      </w:r>
      <w:r>
        <w:t xml:space="preserve"> </w:t>
      </w:r>
      <w:r>
        <w:t xml:space="preserve">of testing the CIMT between-regime prediction meta-analytically across</w:t>
      </w:r>
      <w:r>
        <w:t xml:space="preserve"> </w:t>
      </w:r>
      <w:r>
        <w:t xml:space="preserve">economies ranging from Singapore (WGI +1.84) to Pakistan (WGI −0.55) and</w:t>
      </w:r>
      <w:r>
        <w:t xml:space="preserve"> </w:t>
      </w:r>
      <w:r>
        <w:t xml:space="preserve">Iran (WGI −0.74).</w:t>
      </w:r>
    </w:p>
    <w:p>
      <w:pPr>
        <w:pStyle w:val="BodyText"/>
      </w:pPr>
      <w:r>
        <w:rPr>
          <w:bCs/>
          <w:b/>
        </w:rPr>
        <w:t xml:space="preserve">Hypothesis 1 (H1, ICRV between-regime heterogeneity):</w:t>
      </w:r>
      <w:r>
        <w:t xml:space="preserve"> </w:t>
      </w:r>
      <w:r>
        <w:t xml:space="preserve">Pooled I→P</w:t>
      </w:r>
      <w:r>
        <w:t xml:space="preserve"> </w:t>
      </w:r>
      <w:r>
        <w:t xml:space="preserve">effect sizes vary systematically across ICRV institutional regimes, with</w:t>
      </w:r>
      <w:r>
        <w:t xml:space="preserve"> </w:t>
      </w:r>
      <w:r>
        <w:t xml:space="preserve">Advanced-regime studies expected to show the largest average effects,</w:t>
      </w:r>
      <w:r>
        <w:t xml:space="preserve"> </w:t>
      </w:r>
      <w:r>
        <w:t xml:space="preserve">because formal institutions, contract enforcement, IP protection, and</w:t>
      </w:r>
      <w:r>
        <w:t xml:space="preserve"> </w:t>
      </w:r>
      <w:r>
        <w:t xml:space="preserve">reduced liability of foreignness, amplify the productivity returns to</w:t>
      </w:r>
      <w:r>
        <w:t xml:space="preserve"> </w:t>
      </w:r>
      <w:r>
        <w:t xml:space="preserve">international expansion through rent protection, LOF attenuation, and</w:t>
      </w:r>
      <w:r>
        <w:t xml:space="preserve"> </w:t>
      </w:r>
      <w:r>
        <w:t xml:space="preserve">void-cost reduction (Khanna &amp; Palepu, 2010; North, 1990; Zaheer, 1995).</w:t>
      </w:r>
      <w:r>
        <w:t xml:space="preserve"> </w:t>
      </w:r>
      <w:r>
        <w:t xml:space="preserve">Formally: the between-regime Q_M test for ICRV is statistically</w:t>
      </w:r>
      <w:r>
        <w:t xml:space="preserve"> </w:t>
      </w:r>
      <w:r>
        <w:t xml:space="preserve">significant (</w:t>
      </w:r>
      <w:r>
        <w:rPr>
          <w:iCs/>
          <w:i/>
        </w:rPr>
        <w:t xml:space="preserve">p</w:t>
      </w:r>
      <w:r>
        <w:t xml:space="preserve"> </w:t>
      </w:r>
      <w:r>
        <w:t xml:space="preserve">&lt; .05), and the point estimate for Advanced-regime</w:t>
      </w:r>
      <w:r>
        <w:t xml:space="preserve"> </w:t>
      </w:r>
      <w:r>
        <w:t xml:space="preserve">studies (ICRV-I) exceeds those for Emerging (ICRV-III) and Mixed-regime</w:t>
      </w:r>
      <w:r>
        <w:t xml:space="preserve"> </w:t>
      </w:r>
      <w:r>
        <w:t xml:space="preserve">(MX) studies. The directional ordering among Frontier studies (ICRV-FR)</w:t>
      </w:r>
      <w:r>
        <w:t xml:space="preserve"> </w:t>
      </w:r>
      <w:r>
        <w:t xml:space="preserve">is treated as an exploratory question pending adequate</w:t>
      </w:r>
      <w:r>
        <w:t xml:space="preserve"> </w:t>
      </w:r>
      <w:r>
        <w:rPr>
          <w:iCs/>
          <w:i/>
        </w:rPr>
        <w:t xml:space="preserve">k</w:t>
      </w:r>
      <w:r>
        <w:t xml:space="preserve"> </w:t>
      </w:r>
      <w:r>
        <w:t xml:space="preserve">in that group</w:t>
      </w:r>
      <w:r>
        <w:t xml:space="preserve"> </w:t>
      </w:r>
      <w:r>
        <w:t xml:space="preserve">(see Exploratory Propositions 1a–1b).</w:t>
      </w:r>
    </w:p>
    <w:p>
      <w:pPr>
        <w:pStyle w:val="BodyText"/>
      </w:pPr>
      <w:r>
        <w:rPr>
          <w:iCs/>
          <w:i/>
        </w:rPr>
        <w:t xml:space="preserve">Exploratory Proposition 1a (E1a):</w:t>
      </w:r>
      <w:r>
        <w:t xml:space="preserve"> </w:t>
      </w:r>
      <w:r>
        <w:t xml:space="preserve">Studies drawing on Advanced-regime</w:t>
      </w:r>
      <w:r>
        <w:t xml:space="preserve"> </w:t>
      </w:r>
      <w:r>
        <w:t xml:space="preserve">firms (ICRV-I) are expected to show the largest pooled I→P effect,</w:t>
      </w:r>
      <w:r>
        <w:t xml:space="preserve"> </w:t>
      </w:r>
      <w:r>
        <w:t xml:space="preserve">reflecting simultaneous activation of the three CIMT rent-protection,</w:t>
      </w:r>
      <w:r>
        <w:t xml:space="preserve"> </w:t>
      </w:r>
      <w:r>
        <w:t xml:space="preserve">LOF-attenuation, and void-elimination mechanisms. The direction of E1a</w:t>
      </w:r>
      <w:r>
        <w:t xml:space="preserve"> </w:t>
      </w:r>
      <w:r>
        <w:t xml:space="preserve">is confirmatory; the magnitude is not pre-specified given heterogeneity</w:t>
      </w:r>
      <w:r>
        <w:t xml:space="preserve"> </w:t>
      </w:r>
      <w:r>
        <w:t xml:space="preserve">in DOI measurement and performance construct across ICRV-I studies.</w:t>
      </w:r>
    </w:p>
    <w:p>
      <w:pPr>
        <w:pStyle w:val="BodyText"/>
      </w:pPr>
      <w:r>
        <w:rPr>
          <w:iCs/>
          <w:i/>
        </w:rPr>
        <w:t xml:space="preserve">Exploratory Proposition 1b (E1b):</w:t>
      </w:r>
      <w:r>
        <w:t xml:space="preserve"> </w:t>
      </w:r>
      <w:r>
        <w:t xml:space="preserve">Studies drawing on Frontier-regime</w:t>
      </w:r>
      <w:r>
        <w:t xml:space="preserve"> </w:t>
      </w:r>
      <w:r>
        <w:t xml:space="preserve">firms (ICRV-FR) are expected to show the smallest, potentially null or</w:t>
      </w:r>
      <w:r>
        <w:t xml:space="preserve"> </w:t>
      </w:r>
      <w:r>
        <w:t xml:space="preserve">negative, pooled I→P effect, reflecting the dominance of institutional</w:t>
      </w:r>
      <w:r>
        <w:t xml:space="preserve"> </w:t>
      </w:r>
      <w:r>
        <w:t xml:space="preserve">void amplification costs over scale and learning returns. E1b is treated</w:t>
      </w:r>
      <w:r>
        <w:t xml:space="preserve"> </w:t>
      </w:r>
      <w:r>
        <w:t xml:space="preserve">as exploratory rather than confirmatory because current Frontier-group</w:t>
      </w:r>
      <w:r>
        <w:t xml:space="preserve"> </w:t>
      </w:r>
      <w:r>
        <w:rPr>
          <w:iCs/>
          <w:i/>
        </w:rPr>
        <w:t xml:space="preserve">k</w:t>
      </w:r>
      <w:r>
        <w:t xml:space="preserve"> </w:t>
      </w:r>
      <w:r>
        <w:t xml:space="preserve">= 3 is insufficient for reliable inference (at α = .05, minimum k</w:t>
      </w:r>
      <w:r>
        <w:t xml:space="preserve"> </w:t>
      </w:r>
      <w:r>
        <w:t xml:space="preserve">for stable random-effects moderation is typically k ≥ 10; Valentine et</w:t>
      </w:r>
      <w:r>
        <w:t xml:space="preserve"> </w:t>
      </w:r>
      <w:r>
        <w:t xml:space="preserve">al., 2010).</w:t>
      </w:r>
    </w:p>
    <w:bookmarkEnd w:id="23"/>
    <w:bookmarkStart w:id="24" w:name="digital-paradox-lifecycle-dpl-new-hm2"/>
    <w:p>
      <w:pPr>
        <w:pStyle w:val="Heading3"/>
      </w:pPr>
      <w:r>
        <w:t xml:space="preserve">2.3 Digital Paradox Lifecycle (DPL, New, Hm2)</w:t>
      </w:r>
    </w:p>
    <w:p>
      <w:pPr>
        <w:pStyle w:val="FirstParagraph"/>
      </w:pPr>
      <w:r>
        <w:t xml:space="preserve">The Digital Paradox Lifecycle is a temporal moderator grounded in</w:t>
      </w:r>
      <w:r>
        <w:t xml:space="preserve"> </w:t>
      </w:r>
      <w:r>
        <w:t xml:space="preserve">Brynjolfsson et al.’s (2021) productivity J-curve and David’s (1990)</w:t>
      </w:r>
      <w:r>
        <w:t xml:space="preserve"> </w:t>
      </w:r>
      <w:r>
        <w:t xml:space="preserve">dynamo analogy. David’s (1990) study of the transition from steam power</w:t>
      </w:r>
      <w:r>
        <w:t xml:space="preserve"> </w:t>
      </w:r>
      <w:r>
        <w:t xml:space="preserve">to electrification demonstrated that general-purpose technologies</w:t>
      </w:r>
      <w:r>
        <w:t xml:space="preserve"> </w:t>
      </w:r>
      <w:r>
        <w:t xml:space="preserve">require decades of complementary investment, in organizational</w:t>
      </w:r>
      <w:r>
        <w:t xml:space="preserve"> </w:t>
      </w:r>
      <w:r>
        <w:t xml:space="preserve">practices, worker skills, and infrastructure, before their productivity</w:t>
      </w:r>
      <w:r>
        <w:t xml:space="preserve"> </w:t>
      </w:r>
      <w:r>
        <w:t xml:space="preserve">benefits materialize. Brynjolfsson et al. (2021) applied this analogy to</w:t>
      </w:r>
      <w:r>
        <w:t xml:space="preserve"> </w:t>
      </w:r>
      <w:r>
        <w:t xml:space="preserve">the AI era, documenting a J-curve in which productivity first stagnates</w:t>
      </w:r>
      <w:r>
        <w:t xml:space="preserve"> </w:t>
      </w:r>
      <w:r>
        <w:t xml:space="preserve">as firms invest in digital infrastructure and then accelerates as</w:t>
      </w:r>
      <w:r>
        <w:t xml:space="preserve"> </w:t>
      </w:r>
      <w:r>
        <w:t xml:space="preserve">complementary assets mature. We extend this framework to the I→P</w:t>
      </w:r>
      <w:r>
        <w:t xml:space="preserve"> </w:t>
      </w:r>
      <w:r>
        <w:t xml:space="preserve">literature, arguing that the coordination cost compression enabled by</w:t>
      </w:r>
      <w:r>
        <w:t xml:space="preserve"> </w:t>
      </w:r>
      <w:r>
        <w:t xml:space="preserve">digital platforms follows a similar J-curve at the aggregate study</w:t>
      </w:r>
      <w:r>
        <w:t xml:space="preserve"> </w:t>
      </w:r>
      <w:r>
        <w:t xml:space="preserve">level.</w:t>
      </w:r>
    </w:p>
    <w:p>
      <w:pPr>
        <w:pStyle w:val="BodyText"/>
      </w:pPr>
      <w:r>
        <w:t xml:space="preserve">Three DPL phases characterize the digital transformation of</w:t>
      </w:r>
      <w:r>
        <w:t xml:space="preserve"> </w:t>
      </w:r>
      <w:r>
        <w:t xml:space="preserve">internationalization:</w:t>
      </w:r>
    </w:p>
    <w:p>
      <w:pPr>
        <w:numPr>
          <w:ilvl w:val="0"/>
          <w:numId w:val="1001"/>
        </w:numPr>
        <w:pStyle w:val="Compact"/>
      </w:pPr>
      <w:r>
        <w:rPr>
          <w:bCs/>
          <w:b/>
        </w:rPr>
        <w:t xml:space="preserve">Precede</w:t>
      </w:r>
      <w:r>
        <w:t xml:space="preserve"> </w:t>
      </w:r>
      <w:r>
        <w:t xml:space="preserve">(data collected predominantly before 2009): Low digital</w:t>
      </w:r>
      <w:r>
        <w:t xml:space="preserve"> </w:t>
      </w:r>
      <w:r>
        <w:t xml:space="preserve">penetration in cross-border trade. B2B e-commerce platforms,</w:t>
      </w:r>
      <w:r>
        <w:t xml:space="preserve"> </w:t>
      </w:r>
      <w:r>
        <w:t xml:space="preserve">cloud-based logistics management, and electronic payment systems have</w:t>
      </w:r>
      <w:r>
        <w:t xml:space="preserve"> </w:t>
      </w:r>
      <w:r>
        <w:t xml:space="preserve">not yet achieved the critical mass necessary to alter the coordination</w:t>
      </w:r>
      <w:r>
        <w:t xml:space="preserve"> </w:t>
      </w:r>
      <w:r>
        <w:t xml:space="preserve">cost structure of international operations. I→P dynamics in this</w:t>
      </w:r>
      <w:r>
        <w:t xml:space="preserve"> </w:t>
      </w:r>
      <w:r>
        <w:t xml:space="preserve">period are governed primarily by the traditional coordination cost</w:t>
      </w:r>
      <w:r>
        <w:t xml:space="preserve"> </w:t>
      </w:r>
      <w:r>
        <w:t xml:space="preserve">mechanisms documented by Hitt et al. (1997) and Lu and Beamish (2004);</w:t>
      </w:r>
      <w:r>
        <w:t xml:space="preserve"> </w:t>
      </w:r>
      <w:r>
        <w:t xml:space="preserve">the inverted-U is the expected modal form.</w:t>
      </w:r>
    </w:p>
    <w:p>
      <w:pPr>
        <w:numPr>
          <w:ilvl w:val="0"/>
          <w:numId w:val="1001"/>
        </w:numPr>
        <w:pStyle w:val="Compact"/>
      </w:pPr>
      <w:r>
        <w:rPr>
          <w:bCs/>
          <w:b/>
        </w:rPr>
        <w:t xml:space="preserve">Span</w:t>
      </w:r>
      <w:r>
        <w:t xml:space="preserve"> </w:t>
      </w:r>
      <w:r>
        <w:t xml:space="preserve">(data spanning 2005–2014): A transitional period in which</w:t>
      </w:r>
      <w:r>
        <w:t xml:space="preserve"> </w:t>
      </w:r>
      <w:r>
        <w:t xml:space="preserve">digital infrastructure is being built and firms begin to experiment</w:t>
      </w:r>
      <w:r>
        <w:t xml:space="preserve"> </w:t>
      </w:r>
      <w:r>
        <w:t xml:space="preserve">with digital coordination tools. The productivity effects are mixed:</w:t>
      </w:r>
      <w:r>
        <w:t xml:space="preserve"> </w:t>
      </w:r>
      <w:r>
        <w:t xml:space="preserve">early adopters may benefit from coordination cost reductions, but the</w:t>
      </w:r>
      <w:r>
        <w:t xml:space="preserve"> </w:t>
      </w:r>
      <w:r>
        <w:t xml:space="preserve">majority of firms have not yet accumulated the complementary</w:t>
      </w:r>
      <w:r>
        <w:t xml:space="preserve"> </w:t>
      </w:r>
      <w:r>
        <w:t xml:space="preserve">organizational capabilities (digital routines, platform-integrated</w:t>
      </w:r>
      <w:r>
        <w:t xml:space="preserve"> </w:t>
      </w:r>
      <w:r>
        <w:t xml:space="preserve">supply chains) to translate infrastructure availability into</w:t>
      </w:r>
      <w:r>
        <w:t xml:space="preserve"> </w:t>
      </w:r>
      <w:r>
        <w:t xml:space="preserve">productivity gains. I→P effect sizes in this period should be</w:t>
      </w:r>
      <w:r>
        <w:t xml:space="preserve"> </w:t>
      </w:r>
      <w:r>
        <w:t xml:space="preserve">heterogeneous, producing intermediate pooled estimates.</w:t>
      </w:r>
    </w:p>
    <w:p>
      <w:pPr>
        <w:numPr>
          <w:ilvl w:val="0"/>
          <w:numId w:val="1001"/>
        </w:numPr>
        <w:pStyle w:val="Compact"/>
      </w:pPr>
      <w:r>
        <w:rPr>
          <w:bCs/>
          <w:b/>
        </w:rPr>
        <w:t xml:space="preserve">Follow</w:t>
      </w:r>
      <w:r>
        <w:t xml:space="preserve"> </w:t>
      </w:r>
      <w:r>
        <w:t xml:space="preserve">(data collected predominantly after 2014): Digital</w:t>
      </w:r>
      <w:r>
        <w:t xml:space="preserve"> </w:t>
      </w:r>
      <w:r>
        <w:t xml:space="preserve">platforms, including cloud-based logistics, B2B e-commerce,</w:t>
      </w:r>
      <w:r>
        <w:t xml:space="preserve"> </w:t>
      </w:r>
      <w:r>
        <w:t xml:space="preserve">electronic payment systems, and digital trade finance, have reached</w:t>
      </w:r>
      <w:r>
        <w:t xml:space="preserve"> </w:t>
      </w:r>
      <w:r>
        <w:t xml:space="preserve">sufficient maturity and penetration in the Asia-Pacific region to</w:t>
      </w:r>
      <w:r>
        <w:t xml:space="preserve"> </w:t>
      </w:r>
      <w:r>
        <w:t xml:space="preserve">systematically compress coordination costs for internationalizing</w:t>
      </w:r>
      <w:r>
        <w:t xml:space="preserve"> </w:t>
      </w:r>
      <w:r>
        <w:t xml:space="preserve">firms. The complementary organizational investment lag documented by</w:t>
      </w:r>
      <w:r>
        <w:t xml:space="preserve"> </w:t>
      </w:r>
      <w:r>
        <w:t xml:space="preserve">Brynjolfsson et al. (2021) has been substantially absorbed; the</w:t>
      </w:r>
      <w:r>
        <w:t xml:space="preserve"> </w:t>
      </w:r>
      <w:r>
        <w:t xml:space="preserve">productivity J-curve has passed its inflection point. I→P effect sizes</w:t>
      </w:r>
      <w:r>
        <w:t xml:space="preserve"> </w:t>
      </w:r>
      <w:r>
        <w:t xml:space="preserve">in this period should be largest.</w:t>
      </w:r>
    </w:p>
    <w:p>
      <w:pPr>
        <w:pStyle w:val="FirstParagraph"/>
      </w:pPr>
      <w:r>
        <w:t xml:space="preserve">The choice of 2009 as the primary inflection point is grounded in three</w:t>
      </w:r>
      <w:r>
        <w:t xml:space="preserve"> </w:t>
      </w:r>
      <w:r>
        <w:t xml:space="preserve">empirical anchors: (1) the global proliferation of smartphones and</w:t>
      </w:r>
      <w:r>
        <w:t xml:space="preserve"> </w:t>
      </w:r>
      <w:r>
        <w:t xml:space="preserve">mobile internet (2007–2009) transformed cross-border communication</w:t>
      </w:r>
      <w:r>
        <w:t xml:space="preserve"> </w:t>
      </w:r>
      <w:r>
        <w:t xml:space="preserve">costs; (2) the rapid growth of B2B e-commerce platforms in China and</w:t>
      </w:r>
      <w:r>
        <w:t xml:space="preserve"> </w:t>
      </w:r>
      <w:r>
        <w:t xml:space="preserve">Southeast Asia (Alibaba B2B international: 2008–2010; Lazada: 2011;</w:t>
      </w:r>
      <w:r>
        <w:t xml:space="preserve"> </w:t>
      </w:r>
      <w:r>
        <w:t xml:space="preserve">Tokopedia: 2009) created new digital trade infrastructure specifically</w:t>
      </w:r>
      <w:r>
        <w:t xml:space="preserve"> </w:t>
      </w:r>
      <w:r>
        <w:t xml:space="preserve">suited to emerging Asia-Pacific exporters; (3) the 2009 global financial</w:t>
      </w:r>
      <w:r>
        <w:t xml:space="preserve"> </w:t>
      </w:r>
      <w:r>
        <w:t xml:space="preserve">crisis accelerated digital adoption among SMEs as a cost-reduction</w:t>
      </w:r>
      <w:r>
        <w:t xml:space="preserve"> </w:t>
      </w:r>
      <w:r>
        <w:t xml:space="preserve">strategy. These three concurrent developments make 2009 a defensible</w:t>
      </w:r>
      <w:r>
        <w:t xml:space="preserve"> </w:t>
      </w:r>
      <w:r>
        <w:t xml:space="preserve">global inflection point for digital adoption in trade-oriented economies</w:t>
      </w:r>
      <w:r>
        <w:t xml:space="preserve"> </w:t>
      </w:r>
      <w:r>
        <w:t xml:space="preserve">rather than an arbitrary choice; the Asia-Pacific region, home to 52%</w:t>
      </w:r>
      <w:r>
        <w:t xml:space="preserve"> </w:t>
      </w:r>
      <w:r>
        <w:t xml:space="preserve">of the k = 238 corpus, was a primary site of this diffusion.</w:t>
      </w:r>
    </w:p>
    <w:p>
      <w:pPr>
        <w:pStyle w:val="BodyText"/>
      </w:pPr>
      <w:r>
        <w:rPr>
          <w:bCs/>
          <w:b/>
        </w:rPr>
        <w:t xml:space="preserve">Hypothesis 2 (H2, DPL phase):</w:t>
      </w:r>
      <w:r>
        <w:t xml:space="preserve"> </w:t>
      </w:r>
      <w:r>
        <w:t xml:space="preserve">Studies drawing predominantly on</w:t>
      </w:r>
      <w:r>
        <w:t xml:space="preserve"> </w:t>
      </w:r>
      <w:r>
        <w:t xml:space="preserve">post-2014 data (DPL Follow phase) are expected to show larger pooled I→P</w:t>
      </w:r>
      <w:r>
        <w:t xml:space="preserve"> </w:t>
      </w:r>
      <w:r>
        <w:t xml:space="preserve">effects than studies drawing on pre-2009 data (DPL Precede phase),</w:t>
      </w:r>
      <w:r>
        <w:t xml:space="preserve"> </w:t>
      </w:r>
      <w:r>
        <w:t xml:space="preserve">because digital platforms had reached the maturity threshold at which</w:t>
      </w:r>
      <w:r>
        <w:t xml:space="preserve"> </w:t>
      </w:r>
      <w:r>
        <w:t xml:space="preserve">coordination-cost compression systematically raises the net productivity</w:t>
      </w:r>
      <w:r>
        <w:t xml:space="preserve"> </w:t>
      </w:r>
      <w:r>
        <w:t xml:space="preserve">return to international expansion (Brynjolfsson et al., 2021; David,</w:t>
      </w:r>
      <w:r>
        <w:t xml:space="preserve"> </w:t>
      </w:r>
      <w:r>
        <w:t xml:space="preserve">1990). Span-phase studies (data spanning 2005–2014) are expected to show</w:t>
      </w:r>
      <w:r>
        <w:t xml:space="preserve"> </w:t>
      </w:r>
      <w:r>
        <w:t xml:space="preserve">intermediate effects, reflecting the transitional period in which</w:t>
      </w:r>
      <w:r>
        <w:t xml:space="preserve"> </w:t>
      </w:r>
      <w:r>
        <w:t xml:space="preserve">digital infrastructure was building but complementary organizational</w:t>
      </w:r>
      <w:r>
        <w:t xml:space="preserve"> </w:t>
      </w:r>
      <w:r>
        <w:t xml:space="preserve">capabilities had not yet been absorbed. Formally:</w:t>
      </w:r>
      <w:r>
        <w:t xml:space="preserve"> </w:t>
      </w:r>
      <w:r>
        <w:rPr>
          <w:iCs/>
          <w:i/>
        </w:rPr>
        <w:t xml:space="preserve">r̄</w:t>
      </w:r>
      <w:r>
        <w:t xml:space="preserve">(Follow) &gt;</w:t>
      </w:r>
      <w:r>
        <w:t xml:space="preserve"> </w:t>
      </w:r>
      <w:r>
        <w:rPr>
          <w:iCs/>
          <w:i/>
        </w:rPr>
        <w:t xml:space="preserve">r̄</w:t>
      </w:r>
      <w:r>
        <w:t xml:space="preserve">(Precede), with</w:t>
      </w:r>
      <w:r>
        <w:t xml:space="preserve"> </w:t>
      </w:r>
      <w:r>
        <w:rPr>
          <w:iCs/>
          <w:i/>
        </w:rPr>
        <w:t xml:space="preserve">r̄</w:t>
      </w:r>
      <w:r>
        <w:t xml:space="preserve">(Span) expected intermediate; the between-phase</w:t>
      </w:r>
      <w:r>
        <w:t xml:space="preserve"> </w:t>
      </w:r>
      <w:r>
        <w:rPr>
          <w:iCs/>
          <w:i/>
        </w:rPr>
        <w:t xml:space="preserve">Q</w:t>
      </w:r>
      <w:r>
        <w:t xml:space="preserve">_M test is expected to reach statistical significance (</w:t>
      </w:r>
      <w:r>
        <w:rPr>
          <w:iCs/>
          <w:i/>
        </w:rPr>
        <w:t xml:space="preserve">p</w:t>
      </w:r>
      <w:r>
        <w:t xml:space="preserve"> </w:t>
      </w:r>
      <w:r>
        <w:t xml:space="preserve">&lt; .05).</w:t>
      </w:r>
      <w:r>
        <w:t xml:space="preserve"> </w:t>
      </w:r>
      <w:r>
        <w:t xml:space="preserve">This prediction is bounded by the Brynjolfsson et al. (2021) J-curve</w:t>
      </w:r>
      <w:r>
        <w:t xml:space="preserve"> </w:t>
      </w:r>
      <w:r>
        <w:t xml:space="preserve">logic: even if the DPL effect is real, the statistical precision of the</w:t>
      </w:r>
      <w:r>
        <w:t xml:space="preserve"> </w:t>
      </w:r>
      <w:r>
        <w:rPr>
          <w:iCs/>
          <w:i/>
        </w:rPr>
        <w:t xml:space="preserve">Q</w:t>
      </w:r>
      <w:r>
        <w:t xml:space="preserve">_M test depends on within-phase k and cross-phase variance in effect</w:t>
      </w:r>
      <w:r>
        <w:t xml:space="preserve"> </w:t>
      </w:r>
      <w:r>
        <w:t xml:space="preserve">sizes, below approximately k = 30 per phase, the between-group test is</w:t>
      </w:r>
      <w:r>
        <w:t xml:space="preserve"> </w:t>
      </w:r>
      <w:r>
        <w:t xml:space="preserve">underpowered for detection of moderate-size moderation (</w:t>
      </w:r>
      <w:r>
        <w:rPr>
          <w:iCs/>
          <w:i/>
        </w:rPr>
        <w:t xml:space="preserve">f</w:t>
      </w:r>
      <w:r>
        <w:t xml:space="preserve">² &lt; 0.10).</w:t>
      </w:r>
    </w:p>
    <w:bookmarkEnd w:id="24"/>
    <w:bookmarkStart w:id="25" w:name="cdai-as-amplifier-hm3"/>
    <w:p>
      <w:pPr>
        <w:pStyle w:val="Heading3"/>
      </w:pPr>
      <w:r>
        <w:t xml:space="preserve">2.4 cDAI as Amplifier (Hm3)</w:t>
      </w:r>
    </w:p>
    <w:p>
      <w:pPr>
        <w:pStyle w:val="FirstParagraph"/>
      </w:pPr>
      <w:r>
        <w:t xml:space="preserve">National digital adoption (cDAI) is a country-level construct that</w:t>
      </w:r>
      <w:r>
        <w:t xml:space="preserve"> </w:t>
      </w:r>
      <w:r>
        <w:t xml:space="preserve">captures the aggregate availability of digital infrastructure as a</w:t>
      </w:r>
      <w:r>
        <w:t xml:space="preserve"> </w:t>
      </w:r>
      <w:r>
        <w:t xml:space="preserve">coordination-enabling environment. It is analytically distinct from</w:t>
      </w:r>
      <w:r>
        <w:t xml:space="preserve"> </w:t>
      </w:r>
      <w:r>
        <w:t xml:space="preserve">firm-level digital adoption (DAI) in two important respects. First, cDAI</w:t>
      </w:r>
      <w:r>
        <w:t xml:space="preserve"> </w:t>
      </w:r>
      <w:r>
        <w:t xml:space="preserve">is an</w:t>
      </w:r>
      <w:r>
        <w:t xml:space="preserve"> </w:t>
      </w:r>
      <w:r>
        <w:rPr>
          <w:iCs/>
          <w:i/>
        </w:rPr>
        <w:t xml:space="preserve">ecosystem property</w:t>
      </w:r>
      <w:r>
        <w:t xml:space="preserve"> </w:t>
      </w:r>
      <w:r>
        <w:t xml:space="preserve">rather than a firm choice: it reflects the</w:t>
      </w:r>
      <w:r>
        <w:t xml:space="preserve"> </w:t>
      </w:r>
      <w:r>
        <w:t xml:space="preserve">density of broadband coverage, electronic payment infrastructure,</w:t>
      </w:r>
      <w:r>
        <w:t xml:space="preserve"> </w:t>
      </w:r>
      <w:r>
        <w:t xml:space="preserve">digital identity systems, and regulatory support for digital commerce</w:t>
      </w:r>
      <w:r>
        <w:t xml:space="preserve"> </w:t>
      </w:r>
      <w:r>
        <w:t xml:space="preserve">that exists in a country’s economic environment regardless of any</w:t>
      </w:r>
      <w:r>
        <w:t xml:space="preserve"> </w:t>
      </w:r>
      <w:r>
        <w:t xml:space="preserve">individual firm’s adoption decision. Second, cDAI operates at the</w:t>
      </w:r>
      <w:r>
        <w:t xml:space="preserve"> </w:t>
      </w:r>
      <w:r>
        <w:t xml:space="preserve">between-study level in a meta-analysis: variation in the pooled I→P</w:t>
      </w:r>
      <w:r>
        <w:t xml:space="preserve"> </w:t>
      </w:r>
      <w:r>
        <w:t xml:space="preserve">effect across studies is partly attributable to variation in the</w:t>
      </w:r>
      <w:r>
        <w:t xml:space="preserve"> </w:t>
      </w:r>
      <w:r>
        <w:t xml:space="preserve">national digital infrastructure environments from which those studies’</w:t>
      </w:r>
      <w:r>
        <w:t xml:space="preserve"> </w:t>
      </w:r>
      <w:r>
        <w:t xml:space="preserve">samples were drawn.</w:t>
      </w:r>
    </w:p>
    <w:p>
      <w:pPr>
        <w:pStyle w:val="BodyText"/>
      </w:pPr>
      <w:r>
        <w:t xml:space="preserve">Measurement of cDAI follows established indices. The primary source is</w:t>
      </w:r>
      <w:r>
        <w:t xml:space="preserve"> </w:t>
      </w:r>
      <w:r>
        <w:t xml:space="preserve">the World Bank Digital Adoption Index (2016 vintage: Knomad/ICT; updated</w:t>
      </w:r>
      <w:r>
        <w:t xml:space="preserve"> </w:t>
      </w:r>
      <w:r>
        <w:t xml:space="preserve">through ITU Digital Development Index for 2017–2026), which aggregates</w:t>
      </w:r>
      <w:r>
        <w:t xml:space="preserve"> </w:t>
      </w:r>
      <w:r>
        <w:t xml:space="preserve">Tier-1 and Tier-2 digital adoption across government, business, and</w:t>
      </w:r>
      <w:r>
        <w:t xml:space="preserve"> </w:t>
      </w:r>
      <w:r>
        <w:t xml:space="preserve">household sectors into a composite 0–1 score (Sahay et al., 2020). For</w:t>
      </w:r>
      <w:r>
        <w:t xml:space="preserve"> </w:t>
      </w:r>
      <w:r>
        <w:t xml:space="preserve">studies where country-year DAI scores are unavailable, the ITU ICT</w:t>
      </w:r>
      <w:r>
        <w:t xml:space="preserve"> </w:t>
      </w:r>
      <w:r>
        <w:t xml:space="preserve">Development Index serves as a substitute, with linear rescaling to 0–1.</w:t>
      </w:r>
      <w:r>
        <w:t xml:space="preserve"> </w:t>
      </w:r>
      <w:r>
        <w:t xml:space="preserve">Country-year assignment follows the dominant data period of each study:</w:t>
      </w:r>
      <w:r>
        <w:t xml:space="preserve"> </w:t>
      </w:r>
      <w:r>
        <w:t xml:space="preserve">a study using 2018–2020 panel data from Vietnam is assigned Vietnam’s</w:t>
      </w:r>
      <w:r>
        <w:t xml:space="preserve"> </w:t>
      </w:r>
      <w:r>
        <w:t xml:space="preserve">2019 cDAI score.</w:t>
      </w:r>
    </w:p>
    <w:p>
      <w:pPr>
        <w:pStyle w:val="BodyText"/>
      </w:pPr>
      <w:r>
        <w:t xml:space="preserve">The mechanism by which cDAI amplifies the I→P relationship operates</w:t>
      </w:r>
      <w:r>
        <w:t xml:space="preserve"> </w:t>
      </w:r>
      <w:r>
        <w:t xml:space="preserve">through the</w:t>
      </w:r>
      <w:r>
        <w:t xml:space="preserve"> </w:t>
      </w:r>
      <w:r>
        <w:rPr>
          <w:iCs/>
          <w:i/>
        </w:rPr>
        <w:t xml:space="preserve">coordination platform effect</w:t>
      </w:r>
      <w:r>
        <w:t xml:space="preserve"> </w:t>
      </w:r>
      <w:r>
        <w:t xml:space="preserve">(Stallkamp &amp; Schotter, 2021):</w:t>
      </w:r>
      <w:r>
        <w:t xml:space="preserve"> </w:t>
      </w:r>
      <w:r>
        <w:t xml:space="preserve">in countries where Tier-1 and Tier-2 digital tools are widely diffused,</w:t>
      </w:r>
      <w:r>
        <w:t xml:space="preserve"> </w:t>
      </w:r>
      <w:r>
        <w:t xml:space="preserve">firms face a richer ecosystem of digital coordination channels that</w:t>
      </w:r>
      <w:r>
        <w:t xml:space="preserve"> </w:t>
      </w:r>
      <w:r>
        <w:t xml:space="preserve">reduce the per-unit cost of cross-border transactions. This reduction is</w:t>
      </w:r>
      <w:r>
        <w:t xml:space="preserve"> </w:t>
      </w:r>
      <w:r>
        <w:t xml:space="preserve">not uniform across all export intensities. For firms at low</w:t>
      </w:r>
      <w:r>
        <w:t xml:space="preserve"> </w:t>
      </w:r>
      <w:r>
        <w:t xml:space="preserve">internationalization intensities, the availability of digital</w:t>
      </w:r>
      <w:r>
        <w:t xml:space="preserve"> </w:t>
      </w:r>
      <w:r>
        <w:t xml:space="preserve">coordination tools may not generate measurable I→P gains because the</w:t>
      </w:r>
      <w:r>
        <w:t xml:space="preserve"> </w:t>
      </w:r>
      <w:r>
        <w:t xml:space="preserve">volume of cross-border transactions does not justify intensive use of</w:t>
      </w:r>
      <w:r>
        <w:t xml:space="preserve"> </w:t>
      </w:r>
      <w:r>
        <w:t xml:space="preserve">digital platforms. For firms at higher internationalization intensities,</w:t>
      </w:r>
      <w:r>
        <w:t xml:space="preserve"> </w:t>
      </w:r>
      <w:r>
        <w:t xml:space="preserve">however, digital coordination tools become critically</w:t>
      </w:r>
      <w:r>
        <w:t xml:space="preserve"> </w:t>
      </w:r>
      <w:r>
        <w:t xml:space="preserve">productivity-relevant as they substitute for the physical coordination</w:t>
      </w:r>
      <w:r>
        <w:t xml:space="preserve"> </w:t>
      </w:r>
      <w:r>
        <w:t xml:space="preserve">investments that would otherwise be required (Bharadwaj et al., 2013;</w:t>
      </w:r>
      <w:r>
        <w:t xml:space="preserve"> </w:t>
      </w:r>
      <w:r>
        <w:t xml:space="preserve">Verhoef et al., 2021). The cDAI amplification therefore predicts a</w:t>
      </w:r>
      <w:r>
        <w:t xml:space="preserve"> </w:t>
      </w:r>
      <w:r>
        <w:t xml:space="preserve">positive meta-regression coefficient in a study-level regression where</w:t>
      </w:r>
      <w:r>
        <w:t xml:space="preserve"> </w:t>
      </w:r>
      <w:r>
        <w:t xml:space="preserve">cDAI scores predict pooled I→P effect sizes, reflecting the</w:t>
      </w:r>
      <w:r>
        <w:t xml:space="preserve"> </w:t>
      </w:r>
      <w:r>
        <w:t xml:space="preserve">country-level analog of the export-contingent digital complementarity</w:t>
      </w:r>
      <w:r>
        <w:t xml:space="preserve"> </w:t>
      </w:r>
      <w:r>
        <w:t xml:space="preserve">mechanism documented at the firm level in the Asia-Pacific primary</w:t>
      </w:r>
      <w:r>
        <w:t xml:space="preserve"> </w:t>
      </w:r>
      <w:r>
        <w:t xml:space="preserve">studies.</w:t>
      </w:r>
    </w:p>
    <w:p>
      <w:pPr>
        <w:pStyle w:val="BodyText"/>
      </w:pPr>
      <w:r>
        <w:t xml:space="preserve">The cDAI amplification is expected to be concentrated in the DPL Follow</w:t>
      </w:r>
      <w:r>
        <w:t xml:space="preserve"> </w:t>
      </w:r>
      <w:r>
        <w:t xml:space="preserve">phase (post-2014) because it is only in this period that digital</w:t>
      </w:r>
      <w:r>
        <w:t xml:space="preserve"> </w:t>
      </w:r>
      <w:r>
        <w:t xml:space="preserve">infrastructure has reached sufficient maturity to serve as a</w:t>
      </w:r>
      <w:r>
        <w:t xml:space="preserve"> </w:t>
      </w:r>
      <w:r>
        <w:t xml:space="preserve">coordination platform rather than a mere communication tool. In the</w:t>
      </w:r>
      <w:r>
        <w:t xml:space="preserve"> </w:t>
      </w:r>
      <w:r>
        <w:t xml:space="preserve">Precede phase, high cDAI does not yet translate into coordination cost</w:t>
      </w:r>
      <w:r>
        <w:t xml:space="preserve"> </w:t>
      </w:r>
      <w:r>
        <w:t xml:space="preserve">compression because B2B digital platforms and electronic payment systems</w:t>
      </w:r>
      <w:r>
        <w:t xml:space="preserve"> </w:t>
      </w:r>
      <w:r>
        <w:t xml:space="preserve">are not yet integrated into international trade workflows. In the Follow</w:t>
      </w:r>
      <w:r>
        <w:t xml:space="preserve"> </w:t>
      </w:r>
      <w:r>
        <w:t xml:space="preserve">phase, the same cDAI level enables firms to access a fully integrated</w:t>
      </w:r>
      <w:r>
        <w:t xml:space="preserve"> </w:t>
      </w:r>
      <w:r>
        <w:t xml:space="preserve">digital coordination ecosystem, generating the amplification predicted</w:t>
      </w:r>
      <w:r>
        <w:t xml:space="preserve"> </w:t>
      </w:r>
      <w:r>
        <w:t xml:space="preserve">by H3.</w:t>
      </w:r>
    </w:p>
    <w:p>
      <w:pPr>
        <w:pStyle w:val="BodyText"/>
      </w:pPr>
      <w:r>
        <w:t xml:space="preserve">Bustamante et al. (2022) provide the closest prior evidence: they find</w:t>
      </w:r>
      <w:r>
        <w:t xml:space="preserve"> </w:t>
      </w:r>
      <w:r>
        <w:t xml:space="preserve">that national digital capabilities interact with institutional quality</w:t>
      </w:r>
      <w:r>
        <w:t xml:space="preserve"> </w:t>
      </w:r>
      <w:r>
        <w:t xml:space="preserve">in determining SME internationalization success in a cross-country</w:t>
      </w:r>
      <w:r>
        <w:t xml:space="preserve"> </w:t>
      </w:r>
      <w:r>
        <w:t xml:space="preserve">sample. The present study extends this finding to the meta-analytic</w:t>
      </w:r>
      <w:r>
        <w:t xml:space="preserve"> </w:t>
      </w:r>
      <w:r>
        <w:t xml:space="preserve">level and introduces the DPL phase as a temporal boundary condition that</w:t>
      </w:r>
      <w:r>
        <w:t xml:space="preserve"> </w:t>
      </w:r>
      <w:r>
        <w:t xml:space="preserve">moderates when cDAI amplification is detectable.</w:t>
      </w:r>
    </w:p>
    <w:p>
      <w:pPr>
        <w:pStyle w:val="BodyText"/>
      </w:pPr>
      <w:r>
        <w:rPr>
          <w:bCs/>
          <w:b/>
        </w:rPr>
        <w:t xml:space="preserve">Hypothesis 3 (H3, cDAI amplification):</w:t>
      </w:r>
      <w:r>
        <w:t xml:space="preserve"> </w:t>
      </w:r>
      <w:r>
        <w:t xml:space="preserve">Studies drawing on samples</w:t>
      </w:r>
      <w:r>
        <w:t xml:space="preserve"> </w:t>
      </w:r>
      <w:r>
        <w:t xml:space="preserve">from high-cDAI national contexts are expected to show larger pooled I→P</w:t>
      </w:r>
      <w:r>
        <w:t xml:space="preserve"> </w:t>
      </w:r>
      <w:r>
        <w:t xml:space="preserve">effects than studies from low-cDAI contexts (</w:t>
      </w:r>
      <w:r>
        <w:rPr>
          <w:iCs/>
          <w:i/>
        </w:rPr>
        <w:t xml:space="preserve">r̄</w:t>
      </w:r>
      <w:r>
        <w:t xml:space="preserve">[High-cDAI] &gt;</w:t>
      </w:r>
      <w:r>
        <w:t xml:space="preserve"> </w:t>
      </w:r>
      <w:r>
        <w:rPr>
          <w:iCs/>
          <w:i/>
        </w:rPr>
        <w:t xml:space="preserve">r̄</w:t>
      </w:r>
      <w:r>
        <w:t xml:space="preserve">[Low-cDAI]; between-group</w:t>
      </w:r>
      <w:r>
        <w:t xml:space="preserve"> </w:t>
      </w:r>
      <w:r>
        <w:rPr>
          <w:iCs/>
          <w:i/>
        </w:rPr>
        <w:t xml:space="preserve">Q</w:t>
      </w:r>
      <w:r>
        <w:t xml:space="preserve">_M statistically significant,</w:t>
      </w:r>
      <w:r>
        <w:t xml:space="preserve"> </w:t>
      </w:r>
      <w:r>
        <w:rPr>
          <w:iCs/>
          <w:i/>
        </w:rPr>
        <w:t xml:space="preserve">p</w:t>
      </w:r>
      <w:r>
        <w:t xml:space="preserve"> </w:t>
      </w:r>
      <w:r>
        <w:t xml:space="preserve">&lt;</w:t>
      </w:r>
      <w:r>
        <w:t xml:space="preserve"> </w:t>
      </w:r>
      <w:r>
        <w:t xml:space="preserve">.05), because mature national digital infrastructure reduces the</w:t>
      </w:r>
      <w:r>
        <w:t xml:space="preserve"> </w:t>
      </w:r>
      <w:r>
        <w:t xml:space="preserve">per-unit coordination cost of cross-border expansion through the</w:t>
      </w:r>
      <w:r>
        <w:t xml:space="preserve"> </w:t>
      </w:r>
      <w:r>
        <w:t xml:space="preserve">coordination platform effect (Stallkamp &amp; Schotter, 2021). The cDAI</w:t>
      </w:r>
      <w:r>
        <w:t xml:space="preserve"> </w:t>
      </w:r>
      <w:r>
        <w:t xml:space="preserve">amplification is operationalized as a between-group comparison across</w:t>
      </w:r>
      <w:r>
        <w:t xml:space="preserve"> </w:t>
      </w:r>
      <w:r>
        <w:t xml:space="preserve">three tiers (Low / Medium / High) classified from World Bank Digital</w:t>
      </w:r>
      <w:r>
        <w:t xml:space="preserve"> </w:t>
      </w:r>
      <w:r>
        <w:t xml:space="preserve">Adoption Index and ITU ICT Development Index scores, rather than as a</w:t>
      </w:r>
      <w:r>
        <w:t xml:space="preserve"> </w:t>
      </w:r>
      <w:r>
        <w:t xml:space="preserve">continuous meta-regression coefficient, because the study corpus does</w:t>
      </w:r>
      <w:r>
        <w:t xml:space="preserve"> </w:t>
      </w:r>
      <w:r>
        <w:t xml:space="preserve">not yet provide sufficient within-tier variance for reliable continuous</w:t>
      </w:r>
      <w:r>
        <w:t xml:space="preserve"> </w:t>
      </w:r>
      <w:r>
        <w:t xml:space="preserve">moderation estimation. The amplification is bounded by DPL phase: H3 is</w:t>
      </w:r>
      <w:r>
        <w:t xml:space="preserve"> </w:t>
      </w:r>
      <w:r>
        <w:t xml:space="preserve">expected to be most consistently detectable in Follow-phase studies</w:t>
      </w:r>
      <w:r>
        <w:t xml:space="preserve"> </w:t>
      </w:r>
      <w:r>
        <w:t xml:space="preserve">(post-2014), where national digital infrastructure has reached the</w:t>
      </w:r>
      <w:r>
        <w:t xml:space="preserve"> </w:t>
      </w:r>
      <w:r>
        <w:t xml:space="preserve">maturity threshold necessary to function as an active coordination</w:t>
      </w:r>
      <w:r>
        <w:t xml:space="preserve"> </w:t>
      </w:r>
      <w:r>
        <w:t xml:space="preserve">platform; in Precede-phase studies, high cDAI is not expected to amplify</w:t>
      </w:r>
      <w:r>
        <w:t xml:space="preserve"> </w:t>
      </w:r>
      <w:r>
        <w:t xml:space="preserve">I→P because B2B digital trade infrastructure had not yet achieved</w:t>
      </w:r>
      <w:r>
        <w:t xml:space="preserve"> </w:t>
      </w:r>
      <w:r>
        <w:t xml:space="preserve">critical mass regardless of country-level adoption scores.</w:t>
      </w:r>
    </w:p>
    <w:bookmarkEnd w:id="25"/>
    <w:bookmarkStart w:id="26" w:name="publication-bias-as-null-hypothesis"/>
    <w:p>
      <w:pPr>
        <w:pStyle w:val="Heading3"/>
      </w:pPr>
      <w:r>
        <w:t xml:space="preserve">2.5 Publication Bias as Null Hypothesis</w:t>
      </w:r>
    </w:p>
    <w:p>
      <w:pPr>
        <w:pStyle w:val="FirstParagraph"/>
      </w:pPr>
      <w:r>
        <w:t xml:space="preserve">Given the history of selective reporting in IB meta-analyses (Borenstein</w:t>
      </w:r>
      <w:r>
        <w:t xml:space="preserve"> </w:t>
      </w:r>
      <w:r>
        <w:t xml:space="preserve">et al., 2021), we test publication bias as a formal null hypothesis:</w:t>
      </w:r>
    </w:p>
    <w:p>
      <w:pPr>
        <w:pStyle w:val="BodyText"/>
      </w:pPr>
      <w:r>
        <w:rPr>
          <w:bCs/>
          <w:b/>
        </w:rPr>
        <w:t xml:space="preserve">Hypothesis 4 (H4, Publication bias):</w:t>
      </w:r>
      <w:r>
        <w:t xml:space="preserve"> </w:t>
      </w:r>
      <w:r>
        <w:t xml:space="preserve">Selective reporting of</w:t>
      </w:r>
      <w:r>
        <w:t xml:space="preserve"> </w:t>
      </w:r>
      <w:r>
        <w:t xml:space="preserve">statistically significant positive I→P results is expected to inflate</w:t>
      </w:r>
      <w:r>
        <w:t xml:space="preserve"> </w:t>
      </w:r>
      <w:r>
        <w:t xml:space="preserve">the raw pooled effect relative to the true underlying population effect,</w:t>
      </w:r>
      <w:r>
        <w:t xml:space="preserve"> </w:t>
      </w:r>
      <w:r>
        <w:t xml:space="preserve">because positive results are more likely to be published in the I→P</w:t>
      </w:r>
      <w:r>
        <w:t xml:space="preserve"> </w:t>
      </w:r>
      <w:r>
        <w:t xml:space="preserve">literature (Borenstein et al., 2021; Dickersin, 1990). Three directional</w:t>
      </w:r>
      <w:r>
        <w:t xml:space="preserve"> </w:t>
      </w:r>
      <w:r>
        <w:t xml:space="preserve">predictions follow: (H4a) Funnel-plot asymmetry tests (Egger’s</w:t>
      </w:r>
      <w:r>
        <w:t xml:space="preserve"> </w:t>
      </w:r>
      <w:r>
        <w:t xml:space="preserve">regression intercept, Begg’s rank correlation) are expected to be</w:t>
      </w:r>
      <w:r>
        <w:t xml:space="preserve"> </w:t>
      </w:r>
      <w:r>
        <w:t xml:space="preserve">statistically significant, indicating that smaller-sample studies show</w:t>
      </w:r>
      <w:r>
        <w:t xml:space="preserve"> </w:t>
      </w:r>
      <w:r>
        <w:t xml:space="preserve">disproportionately large positive effects relative to the</w:t>
      </w:r>
      <w:r>
        <w:t xml:space="preserve"> </w:t>
      </w:r>
      <w:r>
        <w:t xml:space="preserve">regression-estimated pooled mean; (H4b) Duval and Tweedie’s (2000)</w:t>
      </w:r>
      <w:r>
        <w:t xml:space="preserve"> </w:t>
      </w:r>
      <w:r>
        <w:t xml:space="preserve">trim-and-fill procedure is expected to impute missing studies on the</w:t>
      </w:r>
      <w:r>
        <w:t xml:space="preserve"> </w:t>
      </w:r>
      <w:r>
        <w:t xml:space="preserve">left side of the funnel (suppressed null/negative results) and produce a</w:t>
      </w:r>
      <w:r>
        <w:t xml:space="preserve"> </w:t>
      </w:r>
      <w:r>
        <w:t xml:space="preserve">bias-adjusted pooled estimate (</w:t>
      </w:r>
      <w:r>
        <w:rPr>
          <w:iCs/>
          <w:i/>
        </w:rPr>
        <w:t xml:space="preserve">r̄</w:t>
      </w:r>
      <w:r>
        <w:t xml:space="preserve">_adj) that is smaller than the raw</w:t>
      </w:r>
      <w:r>
        <w:t xml:space="preserve"> </w:t>
      </w:r>
      <w:r>
        <w:t xml:space="preserve">estimate but remains positive (</w:t>
      </w:r>
      <w:r>
        <w:rPr>
          <w:iCs/>
          <w:i/>
        </w:rPr>
        <w:t xml:space="preserve">r̄</w:t>
      </w:r>
      <w:r>
        <w:t xml:space="preserve">_adj &gt; 0); (H4c) Orwin’s (1983)</w:t>
      </w:r>
      <w:r>
        <w:t xml:space="preserve"> </w:t>
      </w:r>
      <w:r>
        <w:t xml:space="preserve">fail-safe N is expected to substantially exceed the threshold of 2,000</w:t>
      </w:r>
      <w:r>
        <w:t xml:space="preserve"> </w:t>
      </w:r>
      <w:r>
        <w:t xml:space="preserve">studies required to reduce the pooled effect to a negligible level,</w:t>
      </w:r>
      <w:r>
        <w:t xml:space="preserve"> </w:t>
      </w:r>
      <w:r>
        <w:t xml:space="preserve">confirming that the positive I→P effect is not an artifact of</w:t>
      </w:r>
      <w:r>
        <w:t xml:space="preserve"> </w:t>
      </w:r>
      <w:r>
        <w:t xml:space="preserve">publication bias alone.</w:t>
      </w:r>
    </w:p>
    <w:bookmarkEnd w:id="26"/>
    <w:bookmarkStart w:id="27" w:name="conceptual-model"/>
    <w:p>
      <w:pPr>
        <w:pStyle w:val="Heading3"/>
      </w:pPr>
      <w:r>
        <w:t xml:space="preserve">2.6 Conceptual Model</w:t>
      </w:r>
    </w:p>
    <w:p>
      <w:pPr>
        <w:pStyle w:val="FirstParagraph"/>
      </w:pPr>
      <w:r>
        <w:t xml:space="preserve">Figure 1: Conceptual model, Three-level MARA with ICRV, cDAI, and DPL</w:t>
      </w:r>
      <w:r>
        <w:t xml:space="preserve"> </w:t>
      </w:r>
      <w:r>
        <w:t xml:space="preserve">moderators</w:t>
      </w:r>
    </w:p>
    <w:p>
      <w:pPr>
        <w:pStyle w:val="BodyText"/>
      </w:pPr>
      <w:r>
        <w:rPr>
          <w:iCs/>
          <w:i/>
        </w:rPr>
        <w:t xml:space="preserve">Figure 1.</w:t>
      </w:r>
      <w:r>
        <w:t xml:space="preserve"> </w:t>
      </w:r>
      <w:r>
        <w:t xml:space="preserve">Conceptual model for Paper 6 (Three-Level Meta-Analytic</w:t>
      </w:r>
      <w:r>
        <w:t xml:space="preserve"> </w:t>
      </w:r>
      <w:r>
        <w:t xml:space="preserve">Regression Analysis).</w:t>
      </w:r>
    </w:p>
    <w:p>
      <w:pPr>
        <w:pStyle w:val="BodyText"/>
      </w:pPr>
      <w:r>
        <w:rPr>
          <w:iCs/>
          <w:i/>
        </w:rPr>
        <w:t xml:space="preserve">Note:</w:t>
      </w:r>
      <w:r>
        <w:t xml:space="preserve"> </w:t>
      </w:r>
      <w:r>
        <w:t xml:space="preserve">Solid arrows represent the primary meta-analytic effect</w:t>
      </w:r>
      <w:r>
        <w:t xml:space="preserve"> </w:t>
      </w:r>
      <w:r>
        <w:t xml:space="preserve">(baseline I→P pooled effect, k = 238 studies from 49 economies, K = 288</w:t>
      </w:r>
      <w:r>
        <w:t xml:space="preserve"> </w:t>
      </w:r>
      <w:r>
        <w:t xml:space="preserve">effects, r̄ = 0.074, 95% CI [0.060, 0.088]). Dashed arrows represent</w:t>
      </w:r>
      <w:r>
        <w:t xml:space="preserve"> </w:t>
      </w:r>
      <w:r>
        <w:t xml:space="preserve">hypothesised moderating relationships. Three study-level constructs were</w:t>
      </w:r>
      <w:r>
        <w:t xml:space="preserve"> </w:t>
      </w:r>
      <w:r>
        <w:t xml:space="preserve">tested as moderators: (1) ICRV Regime (H1), hypothesised between-regime</w:t>
      </w:r>
      <w:r>
        <w:t xml:space="preserve"> </w:t>
      </w:r>
      <w:r>
        <w:t xml:space="preserve">Q_M statistically significant; H1 confirmed (Q_M = 17.35, p = .002);</w:t>
      </w:r>
      <w:r>
        <w:t xml:space="preserve"> </w:t>
      </w:r>
      <w:r>
        <w:t xml:space="preserve">directional Exploratory Propositions E1a (Advanced largest) and E1b</w:t>
      </w:r>
      <w:r>
        <w:t xml:space="preserve"> </w:t>
      </w:r>
      <w:r>
        <w:t xml:space="preserve">(Frontier smallest) not meta-analytically confirmable at k = 3 Frontier.</w:t>
      </w:r>
      <w:r>
        <w:t xml:space="preserve"> </w:t>
      </w:r>
      <w:r>
        <w:t xml:space="preserve">(2) cDAI, Country Digital Adoption Index (H3), hypothesised positive</w:t>
      </w:r>
      <w:r>
        <w:t xml:space="preserve"> </w:t>
      </w:r>
      <w:r>
        <w:t xml:space="preserve">amplification [High &gt; Low]; actual Q_M = 1.34 (p = .513), H3 not</w:t>
      </w:r>
      <w:r>
        <w:t xml:space="preserve"> </w:t>
      </w:r>
      <w:r>
        <w:t xml:space="preserve">supported. (3) DPL Phase (H2), hypothesised Follow &gt; Precede; actual</w:t>
      </w:r>
      <w:r>
        <w:t xml:space="preserve"> </w:t>
      </w:r>
      <w:r>
        <w:t xml:space="preserve">Q_M = 0.62 (p = .734), H2 not supported. The three-level model nests K =</w:t>
      </w:r>
      <w:r>
        <w:t xml:space="preserve"> </w:t>
      </w:r>
      <w:r>
        <w:t xml:space="preserve">288 effects within k = 238 studies (σ²_within = 0.00878, I²_(2) =</w:t>
      </w:r>
      <w:r>
        <w:t xml:space="preserve"> </w:t>
      </w:r>
      <w:r>
        <w:t xml:space="preserve">54.1%) within between-study heterogeneity (σ²_between = 0.00136, I²_(3)</w:t>
      </w:r>
      <w:r>
        <w:t xml:space="preserve"> </w:t>
      </w:r>
      <w:r>
        <w:t xml:space="preserve">= 8.4%); total I² = 62.5%. Publication bias (H4 confirmed): Egger’s b =</w:t>
      </w:r>
      <w:r>
        <w:t xml:space="preserve"> </w:t>
      </w:r>
      <w:r>
        <w:t xml:space="preserve">0.487 (p = .052), Begg’s τ = −0.132 (p = .001); trim-and-fill imputes k</w:t>
      </w:r>
      <w:r>
        <w:t xml:space="preserve"> </w:t>
      </w:r>
      <w:r>
        <w:t xml:space="preserve">= 57 studies, adjusted r = 0.035; fail-safe N = 44,782. Abbreviations:</w:t>
      </w:r>
      <w:r>
        <w:t xml:space="preserve"> </w:t>
      </w:r>
      <w:r>
        <w:t xml:space="preserve">ICRV = Innovation–Capability–Resource–Vulnerability; cDAI =</w:t>
      </w:r>
      <w:r>
        <w:t xml:space="preserve"> </w:t>
      </w:r>
      <w:r>
        <w:t xml:space="preserve">country-level Digital Adoption Index; DPL = Digital Paradox Lifecycle;</w:t>
      </w:r>
      <w:r>
        <w:t xml:space="preserve"> </w:t>
      </w:r>
      <w:r>
        <w:t xml:space="preserve">MARA = Meta-Analytic Regression Analysis. Target journal:</w:t>
      </w:r>
      <w:r>
        <w:t xml:space="preserve"> </w:t>
      </w:r>
      <w:r>
        <w:rPr>
          <w:iCs/>
          <w:i/>
        </w:rPr>
        <w:t xml:space="preserve">Journal of</w:t>
      </w:r>
      <w:r>
        <w:rPr>
          <w:iCs/>
          <w:i/>
        </w:rPr>
        <w:t xml:space="preserve"> </w:t>
      </w:r>
      <w:r>
        <w:rPr>
          <w:iCs/>
          <w:i/>
        </w:rPr>
        <w:t xml:space="preserve">International Management</w:t>
      </w:r>
      <w:r>
        <w:t xml:space="preserve"> </w:t>
      </w:r>
      <w:r>
        <w:t xml:space="preserve">(JIM, Elsevier).</w:t>
      </w:r>
    </w:p>
    <w:bookmarkEnd w:id="27"/>
    <w:bookmarkEnd w:id="28"/>
    <w:bookmarkStart w:id="39" w:name="method"/>
    <w:p>
      <w:pPr>
        <w:pStyle w:val="Heading2"/>
      </w:pPr>
      <w:r>
        <w:t xml:space="preserve">3. Method</w:t>
      </w:r>
    </w:p>
    <w:p>
      <w:pPr>
        <w:pStyle w:val="FirstParagraph"/>
      </w:pPr>
      <w:r>
        <w:t xml:space="preserve">The methodological approach follows the APA Meta-Analysis Reporting</w:t>
      </w:r>
      <w:r>
        <w:t xml:space="preserve"> </w:t>
      </w:r>
      <w:r>
        <w:t xml:space="preserve">Standards (Cooper, 2010) and the PRISMA 2020 statement (Page et al.,</w:t>
      </w:r>
      <w:r>
        <w:t xml:space="preserve"> </w:t>
      </w:r>
      <w:r>
        <w:t xml:space="preserve">2021). The analysis plan was registered on the Open Science Framework (OSF) as a transparency registration (the working corpus had already been assembled at the time of registration); the registration document specifies</w:t>
      </w:r>
      <w:r>
        <w:t xml:space="preserve"> </w:t>
      </w:r>
      <w:r>
        <w:t xml:space="preserve">the search protocol, eligibility criteria, coding rules for all seven</w:t>
      </w:r>
      <w:r>
        <w:t xml:space="preserve"> </w:t>
      </w:r>
      <w:r>
        <w:t xml:space="preserve">moderators, and the planned statistical analyses. Three-level</w:t>
      </w:r>
      <w:r>
        <w:t xml:space="preserve"> </w:t>
      </w:r>
      <w:r>
        <w:t xml:space="preserve">meta-analytic regression analysis (MARA) was selected over conventional</w:t>
      </w:r>
      <w:r>
        <w:t xml:space="preserve"> </w:t>
      </w:r>
      <w:r>
        <w:t xml:space="preserve">random-effects meta-analysis because the present corpus contains</w:t>
      </w:r>
      <w:r>
        <w:t xml:space="preserve"> </w:t>
      </w:r>
      <w:r>
        <w:t xml:space="preserve">multiple effect sizes per study, a structural feature that violates the</w:t>
      </w:r>
      <w:r>
        <w:t xml:space="preserve"> </w:t>
      </w:r>
      <w:r>
        <w:t xml:space="preserve">independence assumption underlying single-level estimators (Cheung,</w:t>
      </w:r>
      <w:r>
        <w:t xml:space="preserve"> </w:t>
      </w:r>
      <w:r>
        <w:t xml:space="preserve">2014; Van den Noortgate et al., 2013). The three-level model decomposes</w:t>
      </w:r>
      <w:r>
        <w:t xml:space="preserve"> </w:t>
      </w:r>
      <w:r>
        <w:t xml:space="preserve">total heterogeneity into within-study (σ²_(2)) and between-study</w:t>
      </w:r>
      <w:r>
        <w:t xml:space="preserve"> </w:t>
      </w:r>
      <w:r>
        <w:t xml:space="preserve">(σ²_(3)) components, enabling correct attribution of variance to</w:t>
      </w:r>
      <w:r>
        <w:t xml:space="preserve"> </w:t>
      </w:r>
      <w:r>
        <w:t xml:space="preserve">methodological versus contextual sources.</w:t>
      </w:r>
    </w:p>
    <w:bookmarkStart w:id="29" w:name="search-strategy-and-study-identification"/>
    <w:p>
      <w:pPr>
        <w:pStyle w:val="Heading3"/>
      </w:pPr>
      <w:r>
        <w:t xml:space="preserve">3.1 Search Strategy and Study Identification</w:t>
      </w:r>
    </w:p>
    <w:p>
      <w:pPr>
        <w:pStyle w:val="FirstParagraph"/>
      </w:pPr>
      <w:r>
        <w:rPr>
          <w:bCs/>
          <w:b/>
        </w:rPr>
        <w:t xml:space="preserve">Database coverage.</w:t>
      </w:r>
      <w:r>
        <w:t xml:space="preserve"> </w:t>
      </w:r>
      <w:r>
        <w:t xml:space="preserve">The systematic search was anchored on backward and forward citation tracking of five benchmark meta-analyses (detailed below) and supplemented by structured queries in Web of Science (WoS Core Collection: SSCI, SCI-E, ESCI) and Scopus, two comprehensive multi-disciplinary databases for peer-reviewed international business research (Kraus et al., 2022). The strategy is systematic but bounded by the anchor set and its citation network rather than an exhaustive database census. Supplementary</w:t>
      </w:r>
      <w:r>
        <w:t xml:space="preserve"> </w:t>
      </w:r>
      <w:r>
        <w:t xml:space="preserve">searches were conducted in ABI/INFORM Complete, Business Source Complete</w:t>
      </w:r>
      <w:r>
        <w:t xml:space="preserve"> </w:t>
      </w:r>
      <w:r>
        <w:t xml:space="preserve">(EBSCO), ScienceDirect, SpringerLink, and Emerald Insight to maximize</w:t>
      </w:r>
      <w:r>
        <w:t xml:space="preserve"> </w:t>
      </w:r>
      <w:r>
        <w:t xml:space="preserve">coverage of specialist international business and management journals</w:t>
      </w:r>
      <w:r>
        <w:t xml:space="preserve"> </w:t>
      </w:r>
      <w:r>
        <w:t xml:space="preserve">not fully indexed in WoS or Scopus. Supplementary hand-searching via</w:t>
      </w:r>
      <w:r>
        <w:t xml:space="preserve"> </w:t>
      </w:r>
      <w:r>
        <w:t xml:space="preserve">backward citation tracking was applied to five anchor meta-analyses:</w:t>
      </w:r>
      <w:r>
        <w:t xml:space="preserve"> </w:t>
      </w:r>
      <w:r>
        <w:t xml:space="preserve">Bausch and Krist (2007), Kirca et al. (2012), Marano et al. (2016),</w:t>
      </w:r>
      <w:r>
        <w:t xml:space="preserve"> </w:t>
      </w:r>
      <w:r>
        <w:t xml:space="preserve">Schwens et al. (2018), and Arte and Larimo (2022); forward citation</w:t>
      </w:r>
      <w:r>
        <w:t xml:space="preserve"> </w:t>
      </w:r>
      <w:r>
        <w:t xml:space="preserve">tracking was conducted in Google Scholar using the same five anchors to</w:t>
      </w:r>
      <w:r>
        <w:t xml:space="preserve"> </w:t>
      </w:r>
      <w:r>
        <w:t xml:space="preserve">identify citing literature published after 2022.</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w:t>
      </w:r>
      <w:r>
        <w:t xml:space="preserve"> </w:t>
      </w:r>
      <w:r>
        <w:t xml:space="preserve">applied identically. The Scopus string was validated against a</w:t>
      </w:r>
      <w:r>
        <w:t xml:space="preserve"> </w:t>
      </w:r>
      <w:r>
        <w:t xml:space="preserve">known-item set of 30 papers confirmed eligible from prior reading;</w:t>
      </w:r>
      <w:r>
        <w:t xml:space="preserve"> </w:t>
      </w:r>
      <w:r>
        <w:t xml:space="preserve">recall was 97% (29/30), establishing adequate coverage.</w:t>
      </w:r>
    </w:p>
    <w:p>
      <w:pPr>
        <w:pStyle w:val="BodyText"/>
      </w:pPr>
      <w:r>
        <w:rPr>
          <w:bCs/>
          <w:b/>
        </w:rPr>
        <w:t xml:space="preserve">Temporal coverage.</w:t>
      </w:r>
      <w:r>
        <w:t xml:space="preserve"> </w:t>
      </w:r>
      <w:r>
        <w:t xml:space="preserve">January 1977, March 2026. The lower boundary</w:t>
      </w:r>
      <w:r>
        <w:t xml:space="preserve"> </w:t>
      </w:r>
      <w:r>
        <w:t xml:space="preserve">aligns with the earliest empirical test of the I→P relationship (Vernon,</w:t>
      </w:r>
      <w:r>
        <w:t xml:space="preserve"> </w:t>
      </w:r>
      <w:r>
        <w:t xml:space="preserve">1971; Rugman, 1976), ensuring no pioneering study is systematically</w:t>
      </w:r>
      <w:r>
        <w:t xml:space="preserve"> </w:t>
      </w:r>
      <w:r>
        <w:t xml:space="preserve">excluded.</w:t>
      </w:r>
    </w:p>
    <w:p>
      <w:pPr>
        <w:pStyle w:val="BodyText"/>
      </w:pPr>
      <w:r>
        <w:rPr>
          <w:bCs/>
          <w:b/>
        </w:rPr>
        <w:t xml:space="preserve">OSF registration.</w:t>
      </w:r>
      <w:r>
        <w:t xml:space="preserve"> </w:t>
      </w:r>
      <w:r>
        <w:t xml:space="preserve">The full protocol, including the search</w:t>
      </w:r>
      <w:r>
        <w:t xml:space="preserve"> </w:t>
      </w:r>
      <w:r>
        <w:t xml:space="preserve">string, eligibility decision rules, moderator coding instructions, and</w:t>
      </w:r>
      <w:r>
        <w:t xml:space="preserve"> </w:t>
      </w:r>
      <w:r>
        <w:t xml:space="preserve">planned metafor model specifications, is registered on OSF (DOI: [insert OSF DOI at submission]). Because the corpus had already been assembled, this is a transparency registration of the analysis plan rather than a data-blind pre-registration; the protocol document is available from the corresponding</w:t>
      </w:r>
      <w:r>
        <w:t xml:space="preserve"> </w:t>
      </w:r>
      <w:r>
        <w:t xml:space="preserve">author.</w:t>
      </w:r>
    </w:p>
    <w:bookmarkEnd w:id="29"/>
    <w:bookmarkStart w:id="30" w:name="eligibility-criteria-and-study-selection"/>
    <w:p>
      <w:pPr>
        <w:pStyle w:val="Heading3"/>
      </w:pPr>
      <w:r>
        <w:t xml:space="preserve">3.2 Eligibility Criteria and Study Selection</w:t>
      </w:r>
    </w:p>
    <w:p>
      <w:pPr>
        <w:pStyle w:val="FirstParagraph"/>
      </w:pPr>
      <w:r>
        <w:t xml:space="preserve">The two authors independently applied the eligibility criteria below in two</w:t>
      </w:r>
      <w:r>
        <w:t xml:space="preserve"> </w:t>
      </w:r>
      <w:r>
        <w:t xml:space="preserve">stages: (1) title and abstract screening; (2) full-text assessment.</w:t>
      </w:r>
      <w:r>
        <w:t xml:space="preserve"> </w:t>
      </w:r>
      <w:r>
        <w:t xml:space="preserve">Disagreements at both stages were resolved by discussion between the two authors following</w:t>
      </w:r>
      <w:r>
        <w:t xml:space="preserve"> </w:t>
      </w:r>
      <w:r>
        <w:t xml:space="preserve">a predetermined rule.</w:t>
      </w:r>
    </w:p>
    <w:tbl>
      <w:tblPr>
        <w:tblStyle w:val="Table"/>
        <w:tblW w:type="pct" w:w="5000"/>
        <w:tblLook w:firstRow="1" w:lastRow="0" w:firstColumn="0" w:lastColumn="0" w:noHBand="0" w:noVBand="0" w:val="0020"/>
        <w:jc w:val="start"/>
      </w:tblPr>
      <w:tblGrid>
        <w:gridCol w:w="856"/>
        <w:gridCol w:w="3949"/>
        <w:gridCol w:w="3113"/>
      </w:tblGrid>
      <w:tr>
        <w:trPr>
          <w:tblHeader w:val="true"/>
        </w:trPr>
        <w:tc>
          <w:tcPr/>
          <w:p>
            <w:pPr>
              <w:pStyle w:val="Compact"/>
              <w:jc w:val="left"/>
            </w:pPr>
            <w:r>
              <w:t xml:space="preserve">Criterion</w:t>
            </w:r>
          </w:p>
        </w:tc>
        <w:tc>
          <w:tcPr/>
          <w:p>
            <w:pPr>
              <w:pStyle w:val="Compact"/>
              <w:jc w:val="left"/>
            </w:pPr>
            <w:r>
              <w:t xml:space="preserve">Inclusion</w:t>
            </w:r>
          </w:p>
        </w:tc>
        <w:tc>
          <w:tcPr/>
          <w:p>
            <w:pPr>
              <w:pStyle w:val="Compact"/>
              <w:jc w:val="left"/>
            </w:pPr>
            <w:r>
              <w:t xml:space="preserve">Exclusion</w:t>
            </w:r>
          </w:p>
        </w:tc>
      </w:tr>
      <w:tr>
        <w:tc>
          <w:tcPr/>
          <w:p>
            <w:pPr>
              <w:pStyle w:val="Compact"/>
              <w:jc w:val="left"/>
            </w:pPr>
            <w:r>
              <w:t xml:space="preserve">Population</w:t>
            </w:r>
          </w:p>
        </w:tc>
        <w:tc>
          <w:tcPr/>
          <w:p>
            <w:pPr>
              <w:pStyle w:val="Compact"/>
              <w:jc w:val="left"/>
            </w:pPr>
            <w:r>
              <w:t xml:space="preserve">Private-sector firms with measured internationalization and financial performance</w:t>
            </w:r>
          </w:p>
        </w:tc>
        <w:tc>
          <w:tcPr/>
          <w:p>
            <w:pPr>
              <w:pStyle w:val="Compact"/>
              <w:jc w:val="left"/>
            </w:pPr>
            <w:r>
              <w:t xml:space="preserve">State-owned enterprises (government equity &gt; 50%); financial sector (SIC 6000–6999); wholly domestic firms</w:t>
            </w:r>
          </w:p>
        </w:tc>
      </w:tr>
      <w:tr>
        <w:tc>
          <w:tcPr/>
          <w:p>
            <w:pPr>
              <w:pStyle w:val="Compact"/>
              <w:jc w:val="left"/>
            </w:pPr>
            <w:r>
              <w:t xml:space="preserve">Internationalization operationalization</w:t>
            </w:r>
          </w:p>
        </w:tc>
        <w:tc>
          <w:tcPr/>
          <w:p>
            <w:pPr>
              <w:pStyle w:val="Compact"/>
              <w:jc w:val="left"/>
            </w:pPr>
            <w:r>
              <w:t xml:space="preserve">FSTS (foreign sales-to-total sales), entropy index, count of foreign markets, transnationality index (UNCTAD), or FDI-to-total-investment ratio</w:t>
            </w:r>
          </w:p>
        </w:tc>
        <w:tc>
          <w:tcPr/>
          <w:p>
            <w:pPr>
              <w:pStyle w:val="Compact"/>
              <w:jc w:val="left"/>
            </w:pPr>
            <w:r>
              <w:t xml:space="preserve">Purely binary presence/absence; purely qualitative assessments</w:t>
            </w:r>
          </w:p>
        </w:tc>
      </w:tr>
      <w:tr>
        <w:tc>
          <w:tcPr/>
          <w:p>
            <w:pPr>
              <w:pStyle w:val="Compact"/>
              <w:jc w:val="left"/>
            </w:pPr>
            <w:r>
              <w:t xml:space="preserve">Performance operationalization</w:t>
            </w:r>
          </w:p>
        </w:tc>
        <w:tc>
          <w:tcPr/>
          <w:p>
            <w:pPr>
              <w:pStyle w:val="Compact"/>
              <w:jc w:val="left"/>
            </w:pPr>
            <w:r>
              <w:t xml:space="preserve">Accounting-based (ROA, ROE, ROS); market-based (Tobin’s Q, stock returns); productivity-based (labor productivity, TFP)</w:t>
            </w:r>
          </w:p>
        </w:tc>
        <w:tc>
          <w:tcPr/>
          <w:p>
            <w:pPr>
              <w:pStyle w:val="Compact"/>
              <w:jc w:val="left"/>
            </w:pPr>
            <w:r>
              <w:t xml:space="preserve">Narrative or purely ordinal ratings; non-financial-only indices (e.g., environmental scores without financial correlate)</w:t>
            </w:r>
          </w:p>
        </w:tc>
      </w:tr>
      <w:tr>
        <w:tc>
          <w:tcPr/>
          <w:p>
            <w:pPr>
              <w:pStyle w:val="Compact"/>
              <w:jc w:val="left"/>
            </w:pPr>
            <w:r>
              <w:t xml:space="preserve">Effect size extractability</w:t>
            </w:r>
          </w:p>
        </w:tc>
        <w:tc>
          <w:tcPr/>
          <w:p>
            <w:pPr>
              <w:pStyle w:val="Compact"/>
              <w:jc w:val="left"/>
            </w:pPr>
            <w:r>
              <w:t xml:space="preserve">Correlation</w:t>
            </w:r>
            <w:r>
              <w:t xml:space="preserve"> </w:t>
            </w:r>
            <w:r>
              <w:rPr>
                <w:iCs/>
                <w:i/>
              </w:rPr>
              <w:t xml:space="preserve">r</w:t>
            </w:r>
            <w:r>
              <w:t xml:space="preserve">; regression β (convertible to</w:t>
            </w:r>
            <w:r>
              <w:t xml:space="preserve"> </w:t>
            </w:r>
            <w:r>
              <w:rPr>
                <w:iCs/>
                <w:i/>
              </w:rPr>
              <w:t xml:space="preserve">r</w:t>
            </w:r>
            <w:r>
              <w:t xml:space="preserve">_partial via Peterson &amp; Brown, 2005);</w:t>
            </w:r>
            <w:r>
              <w:t xml:space="preserve"> </w:t>
            </w:r>
            <w:r>
              <w:rPr>
                <w:iCs/>
                <w:i/>
              </w:rPr>
              <w:t xml:space="preserve">t</w:t>
            </w:r>
            <w:r>
              <w:t xml:space="preserve">-statistic with</w:t>
            </w:r>
            <w:r>
              <w:t xml:space="preserve"> </w:t>
            </w:r>
            <w:r>
              <w:rPr>
                <w:iCs/>
                <w:i/>
              </w:rPr>
              <w:t xml:space="preserve">df</w:t>
            </w:r>
            <w:r>
              <w:t xml:space="preserve"> </w:t>
            </w:r>
            <w:r>
              <w:t xml:space="preserve">(convertible via</w:t>
            </w:r>
            <w:r>
              <w:t xml:space="preserve"> </w:t>
            </w:r>
            <w:r>
              <w:rPr>
                <w:iCs/>
                <w:i/>
              </w:rPr>
              <w:t xml:space="preserve">r</w:t>
            </w:r>
            <w:r>
              <w:t xml:space="preserve"> </w:t>
            </w:r>
            <w:r>
              <w:t xml:space="preserve">= √[</w:t>
            </w:r>
            <w:r>
              <w:rPr>
                <w:iCs/>
                <w:i/>
              </w:rPr>
              <w:t xml:space="preserve">t</w:t>
            </w:r>
            <w:r>
              <w:t xml:space="preserve">²/(</w:t>
            </w:r>
            <w:r>
              <w:rPr>
                <w:iCs/>
                <w:i/>
              </w:rPr>
              <w:t xml:space="preserve">t</w:t>
            </w:r>
            <w:r>
              <w:t xml:space="preserve">²+</w:t>
            </w:r>
            <w:r>
              <w:rPr>
                <w:iCs/>
                <w:i/>
              </w:rPr>
              <w:t xml:space="preserve">df</w:t>
            </w:r>
            <w:r>
              <w:t xml:space="preserve">)]);</w:t>
            </w:r>
            <w:r>
              <w:t xml:space="preserve"> </w:t>
            </w:r>
            <w:r>
              <w:rPr>
                <w:iCs/>
                <w:i/>
              </w:rPr>
              <w:t xml:space="preserve">F</w:t>
            </w:r>
            <w:r>
              <w:t xml:space="preserve">-statistic with</w:t>
            </w:r>
            <w:r>
              <w:t xml:space="preserve"> </w:t>
            </w:r>
            <w:r>
              <w:rPr>
                <w:iCs/>
                <w:i/>
              </w:rPr>
              <w:t xml:space="preserve">df</w:t>
            </w:r>
            <w:r>
              <w:t xml:space="preserve">₁ = 1</w:t>
            </w:r>
          </w:p>
        </w:tc>
        <w:tc>
          <w:tcPr/>
          <w:p>
            <w:pPr>
              <w:pStyle w:val="Compact"/>
              <w:jc w:val="left"/>
            </w:pPr>
            <w:r>
              <w:t xml:space="preserve">Structural equation model path loadings without associated</w:t>
            </w:r>
            <w:r>
              <w:t xml:space="preserve"> </w:t>
            </w:r>
            <w:r>
              <w:rPr>
                <w:iCs/>
                <w:i/>
              </w:rPr>
              <w:t xml:space="preserve">SE</w:t>
            </w:r>
            <w:r>
              <w:t xml:space="preserve">; qualitative case studies; simulation studies; theoretical derivations without data</w:t>
            </w:r>
          </w:p>
        </w:tc>
      </w:tr>
      <w:tr>
        <w:tc>
          <w:tcPr/>
          <w:p>
            <w:pPr>
              <w:pStyle w:val="Compact"/>
              <w:jc w:val="left"/>
            </w:pPr>
            <w:r>
              <w:t xml:space="preserve">Language</w:t>
            </w:r>
          </w:p>
        </w:tc>
        <w:tc>
          <w:tcPr/>
          <w:p>
            <w:pPr>
              <w:pStyle w:val="Compact"/>
              <w:jc w:val="left"/>
            </w:pPr>
            <w:r>
              <w:t xml:space="preserve">English; Vietnamese</w:t>
            </w:r>
          </w:p>
        </w:tc>
        <w:tc>
          <w:tcPr/>
          <w:p>
            <w:pPr>
              <w:pStyle w:val="Compact"/>
              <w:jc w:val="left"/>
            </w:pPr>
            <w:r>
              <w:t xml:space="preserve">Other languages unless the abstract confirms a convertible effect size</w:t>
            </w:r>
          </w:p>
        </w:tc>
      </w:tr>
      <w:tr>
        <w:tc>
          <w:tcPr/>
          <w:p>
            <w:pPr>
              <w:pStyle w:val="Compact"/>
              <w:jc w:val="left"/>
            </w:pPr>
            <w:r>
              <w:t xml:space="preserve">Region</w:t>
            </w:r>
          </w:p>
        </w:tc>
        <w:tc>
          <w:tcPr/>
          <w:p>
            <w:pPr>
              <w:pStyle w:val="Compact"/>
              <w:jc w:val="left"/>
            </w:pPr>
            <w:r>
              <w:t xml:space="preserve">Any region; ICRV regime assigned globally using World Bank WGI Rule of Law (2023 vintage); Asia-Pacific subsample available as sensitivity analysis</w:t>
            </w:r>
          </w:p>
        </w:tc>
        <w:tc>
          <w:tcPr/>
          <w:p>
            <w:pPr>
              <w:pStyle w:val="Compact"/>
              <w:jc w:val="left"/>
            </w:pPr>
            <w:r>
              <w:t xml:space="preserve">,</w:t>
            </w:r>
          </w:p>
        </w:tc>
      </w:tr>
      <w:tr>
        <w:tc>
          <w:tcPr/>
          <w:p>
            <w:pPr>
              <w:pStyle w:val="Compact"/>
              <w:jc w:val="left"/>
            </w:pPr>
            <w:r>
              <w:t xml:space="preserve">Publication type</w:t>
            </w:r>
          </w:p>
        </w:tc>
        <w:tc>
          <w:tcPr/>
          <w:p>
            <w:pPr>
              <w:pStyle w:val="Compact"/>
              <w:jc w:val="left"/>
            </w:pPr>
            <w:r>
              <w:t xml:space="preserve">Peer-reviewed journal articles; articles in press with DOI</w:t>
            </w:r>
          </w:p>
        </w:tc>
        <w:tc>
          <w:tcPr/>
          <w:p>
            <w:pPr>
              <w:pStyle w:val="Compact"/>
              <w:jc w:val="left"/>
            </w:pPr>
            <w:r>
              <w:t xml:space="preserve">Doctoral dissertations, master’s theses, working papers, conference papers, book chapters, unpublished manuscripts, institutional reports</w:t>
            </w:r>
          </w:p>
        </w:tc>
      </w:tr>
    </w:tbl>
    <w:p>
      <w:pPr>
        <w:pStyle w:val="BodyText"/>
      </w:pPr>
      <w:r>
        <w:t xml:space="preserve">To ensure comparability and methodological quality across the</w:t>
      </w:r>
      <w:r>
        <w:t xml:space="preserve"> </w:t>
      </w:r>
      <w:r>
        <w:t xml:space="preserve">primary-study corpus, the main meta-analysis was restricted to</w:t>
      </w:r>
      <w:r>
        <w:t xml:space="preserve"> </w:t>
      </w:r>
      <w:r>
        <w:t xml:space="preserve">peer-reviewed journal articles and articles in press with identifiable</w:t>
      </w:r>
      <w:r>
        <w:t xml:space="preserve"> </w:t>
      </w:r>
      <w:r>
        <w:t xml:space="preserve">DOI information. Doctoral dissertations, master’s theses, working</w:t>
      </w:r>
      <w:r>
        <w:t xml:space="preserve"> </w:t>
      </w:r>
      <w:r>
        <w:t xml:space="preserve">papers, conference papers, book chapters, unpublished manuscripts, and</w:t>
      </w:r>
      <w:r>
        <w:t xml:space="preserve"> </w:t>
      </w:r>
      <w:r>
        <w:t xml:space="preserve">institutional reports were excluded from the main analysis. This</w:t>
      </w:r>
      <w:r>
        <w:t xml:space="preserve"> </w:t>
      </w:r>
      <w:r>
        <w:t xml:space="preserve">decision was made to maintain consistency in peer-review standards and</w:t>
      </w:r>
      <w:r>
        <w:t xml:space="preserve"> </w:t>
      </w:r>
      <w:r>
        <w:t xml:space="preserve">to reduce heterogeneity arising from non-equivalent publication types.</w:t>
      </w:r>
      <w:r>
        <w:t xml:space="preserve"> </w:t>
      </w:r>
      <w:r>
        <w:t xml:space="preserve">Grey-literature records identified during supplementary searching were</w:t>
      </w:r>
      <w:r>
        <w:t xml:space="preserve"> </w:t>
      </w:r>
      <w:r>
        <w:t xml:space="preserve">documented in the PRISMA flow diagram but were not included in the</w:t>
      </w:r>
      <w:r>
        <w:t xml:space="preserve"> </w:t>
      </w:r>
      <w:r>
        <w:t xml:space="preserve">primary meta-analytic model.</w:t>
      </w:r>
    </w:p>
    <w:p>
      <w:pPr>
        <w:pStyle w:val="BodyText"/>
      </w:pPr>
      <w:r>
        <w:rPr>
          <w:bCs/>
          <w:b/>
        </w:rPr>
        <w:t xml:space="preserve">PRISMA 2020 flow.</w:t>
      </w:r>
      <w:r>
        <w:t xml:space="preserve"> </w:t>
      </w:r>
      <w:r>
        <w:t xml:space="preserve">Consistent with the citation-anchored strategy described above, the corpus was assembled through backward and forward citation tracking of the five anchor meta-analyses, supplemented by targeted database queries rather than an exhaustive database census. Records were screened in two stages (title/abstract, then full text) against the eligibility criteria in Section 3.2, with grey-literature and non-peer-reviewed records documented and excluded from the primary model. This process yielded</w:t>
      </w:r>
      <w:r>
        <w:t xml:space="preserve"> </w:t>
      </w:r>
      <w:r>
        <w:rPr>
          <w:iCs/>
          <w:i/>
        </w:rPr>
        <w:t xml:space="preserve">k</w:t>
      </w:r>
      <w:r>
        <w:t xml:space="preserve"> </w:t>
      </w:r>
      <w:r>
        <w:t xml:space="preserve">= 238 coded studies and</w:t>
      </w:r>
      <w:r>
        <w:t xml:space="preserve"> </w:t>
      </w:r>
      <w:r>
        <w:rPr>
          <w:iCs/>
          <w:i/>
        </w:rPr>
        <w:t xml:space="preserve">K</w:t>
      </w:r>
      <w:r>
        <w:t xml:space="preserve"> </w:t>
      </w:r>
      <w:r>
        <w:t xml:space="preserve">= 288 effect sizes eligible for synthesis. Because identification proceeded by citation chaining rather than a single database export, the flow is reported under the PRISMA 2020</w:t>
      </w:r>
      <w:r>
        <w:t xml:space="preserve"> </w:t>
      </w:r>
      <w:r>
        <w:t xml:space="preserve">“</w:t>
      </w:r>
      <w:r>
        <w:t xml:space="preserve">studies identified via other methods</w:t>
      </w:r>
      <w:r>
        <w:t xml:space="preserve">”</w:t>
      </w:r>
      <w:r>
        <w:t xml:space="preserve"> </w:t>
      </w:r>
      <w:r>
        <w:t xml:space="preserve">variant (Appendix A); stage-level database-census counts are therefore not applicable. The synthesized set (</w:t>
      </w:r>
      <w:r>
        <w:rPr>
          <w:iCs/>
          <w:i/>
        </w:rPr>
        <w:t xml:space="preserve">k</w:t>
      </w:r>
      <w:r>
        <w:t xml:space="preserve"> </w:t>
      </w:r>
      <w:r>
        <w:t xml:space="preserve">= 238;</w:t>
      </w:r>
      <w:r>
        <w:t xml:space="preserve"> </w:t>
      </w:r>
      <w:r>
        <w:rPr>
          <w:iCs/>
          <w:i/>
        </w:rPr>
        <w:t xml:space="preserve">K</w:t>
      </w:r>
      <w:r>
        <w:t xml:space="preserve"> </w:t>
      </w:r>
      <w:r>
        <w:t xml:space="preserve">= 288) is fixed and data-backed, and the coded database is available from the corresponding author.</w:t>
      </w:r>
    </w:p>
    <w:bookmarkEnd w:id="30"/>
    <w:bookmarkStart w:id="34" w:name="data-extraction-and-quality-assurance"/>
    <w:p>
      <w:pPr>
        <w:pStyle w:val="Heading3"/>
      </w:pPr>
      <w:r>
        <w:t xml:space="preserve">3.3 Data Extraction and Quality Assurance</w:t>
      </w:r>
    </w:p>
    <w:bookmarkStart w:id="31" w:name="effect-size-extraction-protocol"/>
    <w:p>
      <w:pPr>
        <w:pStyle w:val="Heading4"/>
      </w:pPr>
      <w:r>
        <w:t xml:space="preserve">3.3.1 Effect-Size Extraction Protocol</w:t>
      </w:r>
    </w:p>
    <w:p>
      <w:pPr>
        <w:pStyle w:val="FirstParagraph"/>
      </w:pPr>
      <w:r>
        <w:t xml:space="preserve">Statistical parameters were extracted from the full text of</w:t>
      </w:r>
      <w:r>
        <w:t xml:space="preserve"> </w:t>
      </w:r>
      <w:r>
        <w:t xml:space="preserve">each eligible study by the primary coder (the first author), using the</w:t>
      </w:r>
      <w:r>
        <w:t xml:space="preserve"> </w:t>
      </w:r>
      <w:r>
        <w:t xml:space="preserve">standardized coding form specified in Appendix B. For each study, the</w:t>
      </w:r>
      <w:r>
        <w:t xml:space="preserve"> </w:t>
      </w:r>
      <w:r>
        <w:t xml:space="preserve">following parameters were recorded: sample size (</w:t>
      </w:r>
      <w:r>
        <w:rPr>
          <w:iCs/>
          <w:i/>
        </w:rPr>
        <w:t xml:space="preserve">N</w:t>
      </w:r>
      <w:r>
        <w:t xml:space="preserve">), the focal I→P</w:t>
      </w:r>
      <w:r>
        <w:t xml:space="preserve"> </w:t>
      </w:r>
      <w:r>
        <w:t xml:space="preserve">effect size (Pearson’s</w:t>
      </w:r>
      <w:r>
        <w:t xml:space="preserve"> </w:t>
      </w:r>
      <w:r>
        <w:rPr>
          <w:iCs/>
          <w:i/>
        </w:rPr>
        <w:t xml:space="preserve">r</w:t>
      </w:r>
      <w:r>
        <w:t xml:space="preserve"> </w:t>
      </w:r>
      <w:r>
        <w:t xml:space="preserve">or the convertible statistic), study</w:t>
      </w:r>
      <w:r>
        <w:t xml:space="preserve"> </w:t>
      </w:r>
      <w:r>
        <w:t xml:space="preserve">data-year range, country or region, DOI operationalization, performance</w:t>
      </w:r>
      <w:r>
        <w:t xml:space="preserve"> </w:t>
      </w:r>
      <w:r>
        <w:t xml:space="preserve">operationalization, and any study-specific features relevant to</w:t>
      </w:r>
      <w:r>
        <w:t xml:space="preserve"> </w:t>
      </w:r>
      <w:r>
        <w:t xml:space="preserve">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w:t>
      </w:r>
      <w:r>
        <w:t xml:space="preserve"> </w:t>
      </w:r>
      <w:r>
        <w:t xml:space="preserve">reported directly, the following conversion sequence was applied in</w:t>
      </w:r>
      <w:r>
        <w:t xml:space="preserve"> </w:t>
      </w:r>
      <w:r>
        <w:t xml:space="preserve">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 β:</w:t>
      </w:r>
      <w:r>
        <w:t xml:space="preserve"> </w:t>
      </w:r>
      <w:r>
        <w:rPr>
          <w:iCs/>
          <w:i/>
        </w:rPr>
        <w:t xml:space="preserve">r</w:t>
      </w:r>
      <w:r>
        <w:t xml:space="preserve">_partial = β × 0.98</w:t>
      </w:r>
      <w:r>
        <w:t xml:space="preserve"> </w:t>
      </w:r>
      <w:r>
        <w:t xml:space="preserve">(the simplified form of Peterson &amp; Brown’s (2005) estimator</w:t>
      </w:r>
      <w:r>
        <w:t xml:space="preserve"> </w:t>
      </w:r>
      <w:r>
        <w:t xml:space="preserve">0.98β + 0.05λ; identical for negative β and conservative for positive</w:t>
      </w:r>
      <w:r>
        <w:t xml:space="preserve"> </w:t>
      </w:r>
      <w:r>
        <w:t xml:space="preserve">β);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w:t>
      </w:r>
      <w:r>
        <w:t xml:space="preserve"> </w:t>
      </w:r>
      <w:r>
        <w:t xml:space="preserve">reporting only unstandardized β 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w:t>
      </w:r>
      <w:r>
        <w:t xml:space="preserve"> </w:t>
      </w:r>
      <w:r>
        <w:t xml:space="preserve">allowed at minimum a directional classification.</w:t>
      </w:r>
    </w:p>
    <w:p>
      <w:pPr>
        <w:pStyle w:val="BodyText"/>
      </w:pPr>
      <w:r>
        <w:rPr>
          <w:bCs/>
          <w:b/>
        </w:rPr>
        <w:t xml:space="preserve">Multiple effects per study.</w:t>
      </w:r>
      <w:r>
        <w:t xml:space="preserve"> </w:t>
      </w:r>
      <w:r>
        <w:t xml:space="preserve">When a study reported separate estimates</w:t>
      </w:r>
      <w:r>
        <w:t xml:space="preserve"> </w:t>
      </w:r>
      <w:r>
        <w:t xml:space="preserve">for distinct subsamples (e.g., different countries, two time periods, or</w:t>
      </w:r>
      <w:r>
        <w:t xml:space="preserve"> </w:t>
      </w:r>
      <w:r>
        <w:t xml:space="preserve">mutually exclusive industry subgroups), each estimate was coded as an</w:t>
      </w:r>
      <w:r>
        <w:t xml:space="preserve"> </w:t>
      </w:r>
      <w:r>
        <w:t xml:space="preserve">independent effect size with a unique effect ID, while sharing</w:t>
      </w:r>
      <w:r>
        <w:t xml:space="preserve"> </w:t>
      </w:r>
      <w:r>
        <w:t xml:space="preserve">study-level identifiers. When a study reported multiple model</w:t>
      </w:r>
      <w:r>
        <w:t xml:space="preserve"> </w:t>
      </w:r>
      <w:r>
        <w:t xml:space="preserve">specifications for the same sample, the most fully controlled</w:t>
      </w:r>
      <w:r>
        <w:t xml:space="preserve"> </w:t>
      </w:r>
      <w:r>
        <w:t xml:space="preserve">specification (i.e., the model with the largest set of covariates) was</w:t>
      </w:r>
      <w:r>
        <w:t xml:space="preserve"> </w:t>
      </w:r>
      <w:r>
        <w:t xml:space="preserve">retained to minimize omitted-variable confounding in the pooled</w:t>
      </w:r>
      <w:r>
        <w:t xml:space="preserve"> </w:t>
      </w:r>
      <w:r>
        <w:t xml:space="preserve">estimate; the other specifications were logged but not entered into the</w:t>
      </w:r>
      <w:r>
        <w:t xml:space="preserve"> </w:t>
      </w:r>
      <w:r>
        <w:t xml:space="preserve">analysis database.</w:t>
      </w:r>
    </w:p>
    <w:p>
      <w:pPr>
        <w:pStyle w:val="BodyText"/>
      </w:pPr>
      <w:r>
        <w:rPr>
          <w:bCs/>
          <w:b/>
        </w:rPr>
        <w:t xml:space="preserve">Moderator coding.</w:t>
      </w:r>
      <w:r>
        <w:t xml:space="preserve"> </w:t>
      </w:r>
      <w:r>
        <w:t xml:space="preserve">Following effect-size extraction, each record was</w:t>
      </w:r>
      <w:r>
        <w:t xml:space="preserve"> </w:t>
      </w:r>
      <w:r>
        <w:t xml:space="preserve">coded for the seven moderators defined in §3.4. ICRV regime was assigned</w:t>
      </w:r>
      <w:r>
        <w:t xml:space="preserve"> </w:t>
      </w:r>
      <w:r>
        <w:t xml:space="preserve">from the study’s reported country using the World Bank WGI Rule of Law</w:t>
      </w:r>
      <w:r>
        <w:t xml:space="preserve"> </w:t>
      </w:r>
      <w:r>
        <w:t xml:space="preserve">lookup table (2023 vintage); DPL phase from the median data year; cDAI</w:t>
      </w:r>
      <w:r>
        <w:t xml:space="preserve"> </w:t>
      </w:r>
      <w:r>
        <w:t xml:space="preserve">from the World Bank Digital Adoption Index 2016 vintage or the ITU</w:t>
      </w:r>
      <w:r>
        <w:t xml:space="preserve"> </w:t>
      </w:r>
      <w:r>
        <w:t xml:space="preserve">Digital Development Index (linearly rescaled to the same 0–1 range) for</w:t>
      </w:r>
      <w:r>
        <w:t xml:space="preserve"> </w:t>
      </w:r>
      <w:r>
        <w:t xml:space="preserve">country-years not covered by the World Bank composite. All moderator</w:t>
      </w:r>
      <w:r>
        <w:t xml:space="preserve"> </w:t>
      </w:r>
      <w:r>
        <w:t xml:space="preserve">assignments were documented with source references to enable independent</w:t>
      </w:r>
      <w:r>
        <w:t xml:space="preserve"> </w:t>
      </w:r>
      <w:r>
        <w:t xml:space="preserve">verification.</w:t>
      </w:r>
    </w:p>
    <w:p>
      <w:pPr>
        <w:pStyle w:val="BodyText"/>
      </w:pPr>
      <w:r>
        <w:t xml:space="preserve">All extracted and coded records were entered into the permanent study</w:t>
      </w:r>
      <w:r>
        <w:t xml:space="preserve"> </w:t>
      </w:r>
      <w:r>
        <w:t xml:space="preserve">database and subject to double-entry verification as part of the</w:t>
      </w:r>
      <w:r>
        <w:t xml:space="preserve"> </w:t>
      </w:r>
      <w:r>
        <w:t xml:space="preserve">inter-coder reliability protocol described in §3.3.2.</w:t>
      </w:r>
    </w:p>
    <w:bookmarkEnd w:id="31"/>
    <w:bookmarkStart w:id="32" w:name="inter-coder-reliability-assessment"/>
    <w:p>
      <w:pPr>
        <w:pStyle w:val="Heading4"/>
      </w:pPr>
      <w:r>
        <w:t xml:space="preserve">3.3.2 Inter-Coder Reliability Assessment</w:t>
      </w:r>
    </w:p>
    <w:p>
      <w:pPr>
        <w:pStyle w:val="FirstParagraph"/>
      </w:pPr>
      <w:r>
        <w:t xml:space="preserve">The inter-coder reliability (ICR) protocol followed a three-stage</w:t>
      </w:r>
      <w:r>
        <w:t xml:space="preserve"> </w:t>
      </w:r>
      <w:r>
        <w:t xml:space="preserve">design. In</w:t>
      </w:r>
      <w:r>
        <w:t xml:space="preserve"> </w:t>
      </w:r>
      <w:r>
        <w:rPr>
          <w:bCs/>
          <w:b/>
        </w:rPr>
        <w:t xml:space="preserve">Stage 1</w:t>
      </w:r>
      <w:r>
        <w:t xml:space="preserve"> </w:t>
      </w:r>
      <w:r>
        <w:t xml:space="preserve">(calibration), both coders independently coded a</w:t>
      </w:r>
      <w:r>
        <w:t xml:space="preserve"> </w:t>
      </w:r>
      <w:r>
        <w:t xml:space="preserve">pilot set of 10 studies using the full Appendix B coding protocol;</w:t>
      </w:r>
      <w:r>
        <w:t xml:space="preserve"> </w:t>
      </w:r>
      <w:r>
        <w:t xml:space="preserve">discrepancies were discussed and the protocol was refined before</w:t>
      </w:r>
      <w:r>
        <w:t xml:space="preserve"> </w:t>
      </w:r>
      <w:r>
        <w:t xml:space="preserve">proceeding. In</w:t>
      </w:r>
      <w:r>
        <w:t xml:space="preserve"> </w:t>
      </w:r>
      <w:r>
        <w:rPr>
          <w:bCs/>
          <w:b/>
        </w:rPr>
        <w:t xml:space="preserve">Stage 2</w:t>
      </w:r>
      <w:r>
        <w:t xml:space="preserve"> </w:t>
      </w:r>
      <w:r>
        <w:t xml:space="preserve">(independent coding), both coders</w:t>
      </w:r>
      <w:r>
        <w:t xml:space="preserve"> </w:t>
      </w:r>
      <w:r>
        <w:t xml:space="preserve">independently coded a 20% stratified random subsample of the final study</w:t>
      </w:r>
      <w:r>
        <w:t xml:space="preserve"> </w:t>
      </w:r>
      <w:r>
        <w:t xml:space="preserve">corpus (</w:t>
      </w:r>
      <w:r>
        <w:rPr>
          <w:iCs/>
          <w:i/>
        </w:rPr>
        <w:t xml:space="preserve">k</w:t>
      </w:r>
      <w:r>
        <w:t xml:space="preserve"> </w:t>
      </w:r>
      <w:r>
        <w:t xml:space="preserve">= 47 studies), sampled to ensure representation across ICRV</w:t>
      </w:r>
      <w:r>
        <w:t xml:space="preserve"> </w:t>
      </w:r>
      <w:r>
        <w:t xml:space="preserve">regime, DPL phase, and DOI measure type. In</w:t>
      </w:r>
      <w:r>
        <w:t xml:space="preserve"> </w:t>
      </w:r>
      <w:r>
        <w:rPr>
          <w:bCs/>
          <w:b/>
        </w:rPr>
        <w:t xml:space="preserve">Stage 3</w:t>
      </w:r>
      <w:r>
        <w:t xml:space="preserve"> </w:t>
      </w:r>
      <w:r>
        <w:t xml:space="preserve">(adjudication),</w:t>
      </w:r>
      <w:r>
        <w:t xml:space="preserve"> </w:t>
      </w:r>
      <w:r>
        <w:t xml:space="preserve">discrepancies were resolved by the PI following a predetermined rule:</w:t>
      </w:r>
      <w:r>
        <w:t xml:space="preserve"> </w:t>
      </w:r>
      <w:r>
        <w:t xml:space="preserve">for categorical moderators, the adjudicator’s decision was final; for</w:t>
      </w:r>
      <w:r>
        <w:t xml:space="preserve"> </w:t>
      </w:r>
      <w:r>
        <w:t xml:space="preserve">continuous cDAI scores, the mean of the two coders’ values was used when</w:t>
      </w:r>
      <w:r>
        <w:t xml:space="preserve"> </w:t>
      </w:r>
      <w:r>
        <w:t xml:space="preserve">ICC(2, 1) ≥ 0.80, and the PI’s direct lookup was used otherwise.</w:t>
      </w:r>
    </w:p>
    <w:p>
      <w:pPr>
        <w:pStyle w:val="BodyText"/>
      </w:pPr>
      <w:r>
        <w:t xml:space="preserve">ICR was assessed using Cohen’s κ for categorical variables (ICRV regime,</w:t>
      </w:r>
      <w:r>
        <w:t xml:space="preserve"> </w:t>
      </w:r>
      <w:r>
        <w:t xml:space="preserve">DPL phase, industry sector, DOI measure type, performance measure type)</w:t>
      </w:r>
      <w:r>
        <w:t xml:space="preserve"> </w:t>
      </w:r>
      <w:r>
        <w:t xml:space="preserve">and the two-way random-effects ICC(2, 1) for continuous cDAI scores. The</w:t>
      </w:r>
      <w:r>
        <w:t xml:space="preserve"> </w:t>
      </w:r>
      <w:r>
        <w:t xml:space="preserve">target threshold of κ ≥ 0.70 follows Landis and Koch’s (1977)</w:t>
      </w:r>
      <w:r>
        <w:t xml:space="preserve"> </w:t>
      </w:r>
      <w:r>
        <w:t xml:space="preserve">“</w:t>
      </w:r>
      <w:r>
        <w:t xml:space="preserve">substantial agreement</w:t>
      </w:r>
      <w:r>
        <w:t xml:space="preserve">”</w:t>
      </w:r>
      <w:r>
        <w:t xml:space="preserve"> </w:t>
      </w:r>
      <w:r>
        <w:t xml:space="preserve">criterion, which represents the minimum</w:t>
      </w:r>
      <w:r>
        <w:t xml:space="preserve"> </w:t>
      </w:r>
      <w:r>
        <w:t xml:space="preserve">acceptable level for meta-analytic coding in IB research (Aguinis et</w:t>
      </w:r>
      <w:r>
        <w:t xml:space="preserve"> </w:t>
      </w:r>
      <w:r>
        <w:t xml:space="preserve">al., 2011). ICR statistics are reported in Table 3.1 (see Results,</w:t>
      </w:r>
      <w:r>
        <w:t xml:space="preserve"> </w:t>
      </w:r>
      <w:r>
        <w:t xml:space="preserve">§4.1); all targets were met prior to commencing coding of the remaining</w:t>
      </w:r>
      <w:r>
        <w:t xml:space="preserve"> </w:t>
      </w:r>
      <w:r>
        <w:t xml:space="preserve">80% of the corpus.</w:t>
      </w:r>
    </w:p>
    <w:bookmarkEnd w:id="32"/>
    <w:bookmarkStart w:id="33" w:name="study-level-risk-of-bias"/>
    <w:p>
      <w:pPr>
        <w:pStyle w:val="Heading4"/>
      </w:pPr>
      <w:r>
        <w:t xml:space="preserve">3.3.3 Study-Level Risk of Bias</w:t>
      </w:r>
    </w:p>
    <w:p>
      <w:pPr>
        <w:pStyle w:val="FirstParagraph"/>
      </w:pPr>
      <w:r>
        <w:t xml:space="preserve">Consistent with established practice in internationalization–performance</w:t>
      </w:r>
      <w:r>
        <w:t xml:space="preserve"> </w:t>
      </w:r>
      <w:r>
        <w:t xml:space="preserve">meta-analysis (Bausch &amp; Krist, 2007; Marano et al., 2016), no formal</w:t>
      </w:r>
      <w:r>
        <w:t xml:space="preserve"> </w:t>
      </w:r>
      <w:r>
        <w:t xml:space="preserve">study-level risk-of-bias instrument (e.g., RoB 2, ROBINS-I) was applied</w:t>
      </w:r>
      <w:r>
        <w:t xml:space="preserve"> </w:t>
      </w:r>
      <w:r>
        <w:t xml:space="preserve">to individual primary studies. The I→P corpus is composed exclusively of</w:t>
      </w:r>
      <w:r>
        <w:t xml:space="preserve"> </w:t>
      </w:r>
      <w:r>
        <w:t xml:space="preserve">peer-reviewed observational survey studies; the threats most relevant to</w:t>
      </w:r>
      <w:r>
        <w:t xml:space="preserve"> </w:t>
      </w:r>
      <w:r>
        <w:t xml:space="preserve">this literature, publication bias, omitted-variable bias, and</w:t>
      </w:r>
      <w:r>
        <w:t xml:space="preserve"> </w:t>
      </w:r>
      <w:r>
        <w:t xml:space="preserve">measurement heterogeneity in the DOI operationalization, are addressed</w:t>
      </w:r>
      <w:r>
        <w:t xml:space="preserve"> </w:t>
      </w:r>
      <w:r>
        <w:t xml:space="preserve">at the synthesis level rather than the study level. Publication bias is</w:t>
      </w:r>
      <w:r>
        <w:t xml:space="preserve"> </w:t>
      </w:r>
      <w:r>
        <w:t xml:space="preserve">assessed via Egger’s regression test, Begg and Mazumdar’s (1994)</w:t>
      </w:r>
      <w:r>
        <w:t xml:space="preserve"> </w:t>
      </w:r>
      <w:r>
        <w:t xml:space="preserve">rank-correlation test, and Duval and Tweedie’s (2000) trim-and-fill</w:t>
      </w:r>
      <w:r>
        <w:t xml:space="preserve"> </w:t>
      </w:r>
      <w:r>
        <w:t xml:space="preserve">procedure (§3.6). Measurement heterogeneity is addressed through</w:t>
      </w:r>
      <w:r>
        <w:t xml:space="preserve"> </w:t>
      </w:r>
      <w:r>
        <w:t xml:space="preserve">moderator coding of DOI type (FSTS, FATA, entropy, count) and</w:t>
      </w:r>
      <w:r>
        <w:t xml:space="preserve"> </w:t>
      </w:r>
      <w:r>
        <w:t xml:space="preserve">performance type, and through the three-level model’s explicit</w:t>
      </w:r>
      <w:r>
        <w:t xml:space="preserve"> </w:t>
      </w:r>
      <w:r>
        <w:t xml:space="preserve">decomposition of within-study variance attributable to multiple</w:t>
      </w:r>
      <w:r>
        <w:t xml:space="preserve"> </w:t>
      </w:r>
      <w:r>
        <w:t xml:space="preserve">specifications per study.</w:t>
      </w:r>
    </w:p>
    <w:bookmarkEnd w:id="33"/>
    <w:bookmarkEnd w:id="34"/>
    <w:bookmarkStart w:id="35" w:name="moderator-coding-protocol"/>
    <w:p>
      <w:pPr>
        <w:pStyle w:val="Heading3"/>
      </w:pPr>
      <w:r>
        <w:t xml:space="preserve">3.4 Moderator Coding Protocol</w:t>
      </w:r>
    </w:p>
    <w:p>
      <w:pPr>
        <w:pStyle w:val="FirstParagraph"/>
      </w:pPr>
      <w:r>
        <w:t xml:space="preserve">Seven moderators were coded for each effect size: four standard</w:t>
      </w:r>
      <w:r>
        <w:t xml:space="preserve"> </w:t>
      </w:r>
      <w:r>
        <w:t xml:space="preserve">moderators replicated from prior I→P meta-analyses (Marano et al., 2016)</w:t>
      </w:r>
      <w:r>
        <w:t xml:space="preserve"> </w:t>
      </w:r>
      <w:r>
        <w:t xml:space="preserve">and three novel moderators introduced in the present study.</w:t>
      </w:r>
    </w:p>
    <w:p>
      <w:pPr>
        <w:pStyle w:val="BodyText"/>
      </w:pPr>
      <w:r>
        <w:rPr>
          <w:bCs/>
          <w:b/>
        </w:rPr>
        <w:t xml:space="preserve">Standard moderators</w:t>
      </w:r>
      <w:r>
        <w:t xml:space="preserve"> </w:t>
      </w:r>
      <w:r>
        <w:t xml:space="preserve">(4):</w:t>
      </w:r>
    </w:p>
    <w:p>
      <w:pPr>
        <w:numPr>
          <w:ilvl w:val="0"/>
          <w:numId w:val="1002"/>
        </w:numPr>
        <w:pStyle w:val="Compact"/>
      </w:pPr>
      <w:r>
        <w:rPr>
          <w:iCs/>
          <w:i/>
        </w:rPr>
        <w:t xml:space="preserve">Country of origin</w:t>
      </w:r>
      <w:r>
        <w:t xml:space="preserve">, ISO 3166-1 alpha-3 code; multi-country studies</w:t>
      </w:r>
      <w:r>
        <w:t xml:space="preserve"> </w:t>
      </w:r>
      <w:r>
        <w:t xml:space="preserve">coded as</w:t>
      </w:r>
      <w:r>
        <w:t xml:space="preserve"> </w:t>
      </w:r>
      <w:r>
        <w:t xml:space="preserve">“</w:t>
      </w:r>
      <w:r>
        <w:t xml:space="preserve">pooled</w:t>
      </w:r>
      <w:r>
        <w:t xml:space="preserve">”</w:t>
      </w:r>
      <w:r>
        <w:t xml:space="preserve"> </w:t>
      </w:r>
      <w:r>
        <w:t xml:space="preserve">with ICRV regime assigned to the modal country if</w:t>
      </w:r>
      <w:r>
        <w:t xml:space="preserve"> </w:t>
      </w:r>
      <w:r>
        <w:t xml:space="preserve">one country contributes ≥ 60% of the sample, otherwise coded as</w:t>
      </w:r>
      <w:r>
        <w:t xml:space="preserve"> </w:t>
      </w:r>
      <w:r>
        <w:t xml:space="preserve">“</w:t>
      </w:r>
      <w:r>
        <w:t xml:space="preserve">cross-regime</w:t>
      </w:r>
      <w:r>
        <w:t xml:space="preserve">”</w:t>
      </w:r>
    </w:p>
    <w:p>
      <w:pPr>
        <w:numPr>
          <w:ilvl w:val="0"/>
          <w:numId w:val="1002"/>
        </w:numPr>
        <w:pStyle w:val="Compact"/>
      </w:pPr>
      <w:r>
        <w:rPr>
          <w:iCs/>
          <w:i/>
        </w:rPr>
        <w:t xml:space="preserve">Industry sector</w:t>
      </w:r>
      <w:r>
        <w:t xml:space="preserve">, SIC broad division: manufacturing (SIC 20–39),</w:t>
      </w:r>
      <w:r>
        <w:t xml:space="preserve"> </w:t>
      </w:r>
      <w:r>
        <w:t xml:space="preserve">services (SIC 40–89), or mixed/unspecified</w:t>
      </w:r>
    </w:p>
    <w:p>
      <w:pPr>
        <w:numPr>
          <w:ilvl w:val="0"/>
          <w:numId w:val="1002"/>
        </w:numPr>
        <w:pStyle w:val="Compact"/>
      </w:pPr>
      <w:r>
        <w:rPr>
          <w:iCs/>
          <w:i/>
        </w:rPr>
        <w:t xml:space="preserve">DOI operationalization</w:t>
      </w:r>
      <w:r>
        <w:t xml:space="preserve">, FSTS (foreign sales ÷ total sales);</w:t>
      </w:r>
      <w:r>
        <w:t xml:space="preserve"> </w:t>
      </w:r>
      <w:r>
        <w:t xml:space="preserve">entropy index (Jacquemin &amp; Berry, 1979); count of foreign markets or</w:t>
      </w:r>
      <w:r>
        <w:t xml:space="preserve"> </w:t>
      </w:r>
      <w:r>
        <w:t xml:space="preserve">subsidiaries; transnationality index (UNCTAD composite)</w:t>
      </w:r>
    </w:p>
    <w:p>
      <w:pPr>
        <w:numPr>
          <w:ilvl w:val="0"/>
          <w:numId w:val="1002"/>
        </w:numPr>
        <w:pStyle w:val="Compact"/>
      </w:pPr>
      <w:r>
        <w:rPr>
          <w:iCs/>
          <w:i/>
        </w:rPr>
        <w:t xml:space="preserve">Performance operationalization</w:t>
      </w:r>
      <w:r>
        <w:t xml:space="preserve">, accounting-based (ROA, ROE, ROS);</w:t>
      </w:r>
      <w:r>
        <w:t xml:space="preserve"> </w:t>
      </w:r>
      <w:r>
        <w:t xml:space="preserve">market-based (Tobin’s Q, stock return); productivity-based (labor</w:t>
      </w:r>
      <w:r>
        <w:t xml:space="preserve"> </w:t>
      </w:r>
      <w:r>
        <w:t xml:space="preserve">productivity, TFP); composite (mixed)</w:t>
      </w:r>
    </w:p>
    <w:p>
      <w:pPr>
        <w:pStyle w:val="FirstParagraph"/>
      </w:pPr>
      <w:r>
        <w:rPr>
          <w:bCs/>
          <w:b/>
        </w:rPr>
        <w:t xml:space="preserve">Novel moderators</w:t>
      </w:r>
      <w:r>
        <w:t xml:space="preserve"> </w:t>
      </w:r>
      <w:r>
        <w:t xml:space="preserve">(3): 5.</w:t>
      </w:r>
      <w:r>
        <w:t xml:space="preserve"> </w:t>
      </w:r>
      <w:r>
        <w:rPr>
          <w:iCs/>
          <w:i/>
        </w:rPr>
        <w:t xml:space="preserve">ICRV regime</w:t>
      </w:r>
      <w:r>
        <w:t xml:space="preserve">, Five-code classification</w:t>
      </w:r>
      <w:r>
        <w:t xml:space="preserve"> </w:t>
      </w:r>
      <w:r>
        <w:t xml:space="preserve">based on World Bank WGI Rule of Law score (2023 vintage), validated</w:t>
      </w:r>
      <w:r>
        <w:t xml:space="preserve"> </w:t>
      </w:r>
      <w:r>
        <w:t xml:space="preserve">against IMF World Economic Outlook country classification: Code I:</w:t>
      </w:r>
      <w:r>
        <w:t xml:space="preserve"> </w:t>
      </w:r>
      <w:r>
        <w:t xml:space="preserve">Advanced-Innovation (WGI &gt; +0.80; e.g., Singapore, Hong Kong, South</w:t>
      </w:r>
      <w:r>
        <w:t xml:space="preserve"> </w:t>
      </w:r>
      <w:r>
        <w:t xml:space="preserve">Korea, Japan, Taiwan, Australia); Code II: Upper-Middle (0 &lt; WGI ≤</w:t>
      </w:r>
      <w:r>
        <w:t xml:space="preserve"> </w:t>
      </w:r>
      <w:r>
        <w:t xml:space="preserve">+0.80; e.g., China, Malaysia, Thailand); Code III: Emerging (−0.50 &lt;</w:t>
      </w:r>
      <w:r>
        <w:t xml:space="preserve"> </w:t>
      </w:r>
      <w:r>
        <w:t xml:space="preserve">WGI ≤ 0; e.g., Vietnam, India, Philippines); Code FR: Frontier/SIDS (WGI</w:t>
      </w:r>
      <w:r>
        <w:t xml:space="preserve"> </w:t>
      </w:r>
      <w:r>
        <w:t xml:space="preserve">≤ −0.50 or small island developing state, e.g., Bangladesh, Myanmar,</w:t>
      </w:r>
      <w:r>
        <w:t xml:space="preserve"> </w:t>
      </w:r>
      <w:r>
        <w:t xml:space="preserve">Fiji, Pacific island economies); Code MX: Multi-country pooled samples</w:t>
      </w:r>
      <w:r>
        <w:t xml:space="preserve"> </w:t>
      </w:r>
      <w:r>
        <w:t xml:space="preserve">spanning two or more ICRV regimes (no single modal-country regime ≥ 60%</w:t>
      </w:r>
      <w:r>
        <w:t xml:space="preserve"> </w:t>
      </w:r>
      <w:r>
        <w:t xml:space="preserve">of sample) 6.</w:t>
      </w:r>
      <w:r>
        <w:t xml:space="preserve"> </w:t>
      </w:r>
      <w:r>
        <w:rPr>
          <w:iCs/>
          <w:i/>
        </w:rPr>
        <w:t xml:space="preserve">cDAI</w:t>
      </w:r>
      <w:r>
        <w:t xml:space="preserve">, Country-year digital adoption composite (0–1</w:t>
      </w:r>
      <w:r>
        <w:t xml:space="preserve"> </w:t>
      </w:r>
      <w:r>
        <w:t xml:space="preserve">scale): primary source, World Bank Digital Adoption Index (2016 vintage,</w:t>
      </w:r>
      <w:r>
        <w:t xml:space="preserve"> </w:t>
      </w:r>
      <w:r>
        <w:t xml:space="preserve">Sahay et al., 2020); secondary source, ITU Digital Development Index</w:t>
      </w:r>
      <w:r>
        <w:t xml:space="preserve"> </w:t>
      </w:r>
      <w:r>
        <w:t xml:space="preserve">(DDI, 2017–2026, linear-rescaled to 0–1). Country-year assignment</w:t>
      </w:r>
      <w:r>
        <w:t xml:space="preserve"> </w:t>
      </w:r>
      <w:r>
        <w:t xml:space="preserve">follows the median year of the study’s data collection period. For</w:t>
      </w:r>
      <w:r>
        <w:t xml:space="preserve"> </w:t>
      </w:r>
      <w:r>
        <w:t xml:space="preserve">multi-country samples, cDAI is the sample-weighted average of</w:t>
      </w:r>
      <w:r>
        <w:t xml:space="preserve"> </w:t>
      </w:r>
      <w:r>
        <w:t xml:space="preserve">country-year scores. Studies lacking country-year DAI data are assigned</w:t>
      </w:r>
      <w:r>
        <w:t xml:space="preserve"> </w:t>
      </w:r>
      <w:r>
        <w:t xml:space="preserve">ITU ICT Development Index values with a −0.05 adjustment for known</w:t>
      </w:r>
      <w:r>
        <w:t xml:space="preserve"> </w:t>
      </w:r>
      <w:r>
        <w:t xml:space="preserve">downward bias relative to the World Bank composite (Katz &amp; Callorda,</w:t>
      </w:r>
      <w:r>
        <w:t xml:space="preserve"> </w:t>
      </w:r>
      <w:r>
        <w:t xml:space="preserve">2018). 7.</w:t>
      </w:r>
      <w:r>
        <w:t xml:space="preserve"> </w:t>
      </w:r>
      <w:r>
        <w:rPr>
          <w:iCs/>
          <w:i/>
        </w:rPr>
        <w:t xml:space="preserve">DPL phase</w:t>
      </w:r>
      <w:r>
        <w:t xml:space="preserve">,</w:t>
      </w:r>
      <w:r>
        <w:t xml:space="preserve"> </w:t>
      </w:r>
      <w:r>
        <w:t xml:space="preserve">“</w:t>
      </w:r>
      <w:r>
        <w:t xml:space="preserve">Precede</w:t>
      </w:r>
      <w:r>
        <w:t xml:space="preserve">”</w:t>
      </w:r>
      <w:r>
        <w:t xml:space="preserve">: data collection predominantly prior</w:t>
      </w:r>
      <w:r>
        <w:t xml:space="preserve"> </w:t>
      </w:r>
      <w:r>
        <w:t xml:space="preserve">to 2009 (median data year &lt; 2009);</w:t>
      </w:r>
      <w:r>
        <w:t xml:space="preserve"> </w:t>
      </w:r>
      <w:r>
        <w:t xml:space="preserve">“</w:t>
      </w:r>
      <w:r>
        <w:t xml:space="preserve">Span</w:t>
      </w:r>
      <w:r>
        <w:t xml:space="preserve">”</w:t>
      </w:r>
      <w:r>
        <w:t xml:space="preserve">: data collection spans</w:t>
      </w:r>
      <w:r>
        <w:t xml:space="preserve"> </w:t>
      </w:r>
      <w:r>
        <w:t xml:space="preserve">2005–2014 or cannot be classified as predominantly Precede or Follow;</w:t>
      </w:r>
      <w:r>
        <w:t xml:space="preserve"> </w:t>
      </w:r>
      <w:r>
        <w:t xml:space="preserve">“</w:t>
      </w:r>
      <w:r>
        <w:t xml:space="preserve">Follow</w:t>
      </w:r>
      <w:r>
        <w:t xml:space="preserve">”</w:t>
      </w:r>
      <w:r>
        <w:t xml:space="preserve">: data collection predominantly post-2014 (median data year ≥</w:t>
      </w:r>
      <w:r>
        <w:t xml:space="preserve"> </w:t>
      </w:r>
      <w:r>
        <w:t xml:space="preserve">2015). Studies where data years cannot be determined from the paper are</w:t>
      </w:r>
      <w:r>
        <w:t xml:space="preserve"> </w:t>
      </w:r>
      <w:r>
        <w:t xml:space="preserve">coded as</w:t>
      </w:r>
      <w:r>
        <w:t xml:space="preserve"> </w:t>
      </w:r>
      <w:r>
        <w:t xml:space="preserve">“</w:t>
      </w:r>
      <w:r>
        <w:t xml:space="preserve">Span</w:t>
      </w:r>
      <w:r>
        <w:t xml:space="preserve">”</w:t>
      </w:r>
      <w:r>
        <w:t xml:space="preserve"> </w:t>
      </w:r>
      <w:r>
        <w:t xml:space="preserve">by default and flagged.</w:t>
      </w:r>
    </w:p>
    <w:bookmarkEnd w:id="35"/>
    <w:bookmarkStart w:id="36" w:name="statistical-model-three-level-mara"/>
    <w:p>
      <w:pPr>
        <w:pStyle w:val="Heading3"/>
      </w:pPr>
      <w:r>
        <w:t xml:space="preserve">3.5 Statistical Model: Three-Level MARA</w:t>
      </w:r>
    </w:p>
    <w:p>
      <w:pPr>
        <w:pStyle w:val="FirstParagraph"/>
      </w:pPr>
      <w:r>
        <w:t xml:space="preserve">The three-level model (Van den Noortgate et al., 2013; Cheung, 2014)</w:t>
      </w:r>
      <w:r>
        <w:t xml:space="preserve"> </w:t>
      </w:r>
      <w:r>
        <w:t xml:space="preserve">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w:t>
      </w:r>
      <w:r>
        <w:t xml:space="preserve"> </w:t>
      </w:r>
      <w:r>
        <w:t xml:space="preserve">into true between-study variability, residual within-study variability,</w:t>
      </w:r>
      <w:r>
        <w:t xml:space="preserve"> </w:t>
      </w:r>
      <w:r>
        <w:t xml:space="preserve">and sampling error:</w:t>
      </w:r>
    </w:p>
    <w:p>
      <w:pPr>
        <w:pStyle w:val="BodyText"/>
      </w:pPr>
      <w:r>
        <w:rPr>
          <w:bCs/>
          <w:b/>
        </w:rPr>
        <w:t xml:space="preserve">Level 1, Sampling error:</w:t>
      </w:r>
    </w:p>
    <w:p>
      <w:pPr>
        <w:pStyle w:val="BodyText"/>
      </w:pPr>
      <m:oMathPara>
        <m:oMathParaPr>
          <m:jc m:val="center"/>
        </m:oMathParaPr>
        <m:oMath>
          <m:sSub>
            <m:e>
              <m:r>
                <m:t>r</m:t>
              </m:r>
            </m:e>
            <m:sub>
              <m:r>
                <m:t>i</m:t>
              </m:r>
              <m:r>
                <m:t>j</m:t>
              </m:r>
            </m:sub>
          </m:sSub>
          <m:r>
            <m:rPr>
              <m:sty m:val="p"/>
            </m:rPr>
            <m:t>=</m:t>
          </m:r>
          <m:sSub>
            <m:e>
              <m:r>
                <m:t>θ</m:t>
              </m:r>
            </m:e>
            <m:sub>
              <m:r>
                <m:t>i</m:t>
              </m:r>
              <m:r>
                <m:t>j</m:t>
              </m:r>
            </m:sub>
          </m:sSub>
          <m:r>
            <m:rPr>
              <m:sty m:val="p"/>
            </m:rPr>
            <m:t>+</m:t>
          </m:r>
          <m:sSub>
            <m:e>
              <m:r>
                <m:t>e</m:t>
              </m:r>
            </m:e>
            <m:sub>
              <m:r>
                <m:t>i</m:t>
              </m:r>
              <m:r>
                <m:t>j</m:t>
              </m:r>
            </m:sub>
          </m:sSub>
          <m:r>
            <m:rPr>
              <m:sty m:val="p"/>
            </m:rPr>
            <m:t>,</m:t>
          </m:r>
          <m:r>
            <m:t> </m:t>
          </m:r>
          <m:sSub>
            <m:e>
              <m:r>
                <m:t>e</m:t>
              </m:r>
            </m:e>
            <m:sub>
              <m:r>
                <m:t>i</m:t>
              </m:r>
              <m:r>
                <m:t>j</m:t>
              </m:r>
            </m:sub>
          </m:sSub>
          <m:r>
            <m:rPr>
              <m:sty m:val="p"/>
            </m:rPr>
            <m:t>∼</m:t>
          </m:r>
          <m:r>
            <m:rPr>
              <m:sty m:val="p"/>
              <m:scr m:val="script"/>
            </m:rPr>
            <m:t>N</m:t>
          </m:r>
          <m:d>
            <m:dPr>
              <m:begChr m:val="("/>
              <m:endChr m:val=")"/>
              <m:sepChr m:val=""/>
              <m:grow/>
            </m:dPr>
            <m:e>
              <m:r>
                <m:t>0</m:t>
              </m:r>
              <m:r>
                <m:rPr>
                  <m:sty m:val="p"/>
                </m:rPr>
                <m:t>,</m:t>
              </m:r>
              <m:r>
                <m:t> </m:t>
              </m:r>
              <m:sSub>
                <m:e>
                  <m:r>
                    <m:t>v</m:t>
                  </m:r>
                </m:e>
                <m:sub>
                  <m:r>
                    <m:t>i</m:t>
                  </m:r>
                  <m:r>
                    <m:t>j</m:t>
                  </m:r>
                </m:sub>
              </m:sSub>
            </m:e>
          </m:d>
        </m:oMath>
      </m:oMathPara>
    </w:p>
    <w:p>
      <w:pPr>
        <w:pStyle w:val="FirstParagraph"/>
      </w:pPr>
      <w:r>
        <w:t xml:space="preserve">where</w:t>
      </w:r>
      <w:r>
        <w:t xml:space="preserve"> </w:t>
      </w:r>
      <w:r>
        <w:rPr>
          <w:iCs/>
          <w:i/>
        </w:rPr>
        <w:t xml:space="preserve">v</w:t>
      </w:r>
      <w:r>
        <w:t xml:space="preserve">_ij is the known conditional sampling variance of the</w:t>
      </w:r>
      <w:r>
        <w:t xml:space="preserve"> </w:t>
      </w:r>
      <w:r>
        <w:t xml:space="preserve">Fisher-transformed correlation</w:t>
      </w:r>
      <w:r>
        <w:t xml:space="preserve"> </w:t>
      </w:r>
      <w:r>
        <w:rPr>
          <w:iCs/>
          <w:i/>
        </w:rPr>
        <w:t xml:space="preserve">z</w:t>
      </w:r>
      <w:r>
        <w:t xml:space="preserve">_ij, computed from the study-reported</w:t>
      </w:r>
      <w:r>
        <w:t xml:space="preserve"> </w:t>
      </w:r>
      <w:r>
        <w:rPr>
          <w:iCs/>
          <w:i/>
        </w:rPr>
        <w:t xml:space="preserve">N</w:t>
      </w:r>
      <w:r>
        <w:t xml:space="preserve">_ij as</w:t>
      </w:r>
      <w:r>
        <w:t xml:space="preserve"> </w:t>
      </w:r>
      <w:r>
        <w:rPr>
          <w:iCs/>
          <w:i/>
        </w:rPr>
        <w:t xml:space="preserve">v</w:t>
      </w:r>
      <w:r>
        <w:t xml:space="preserve">_ij ≈ 1/(</w:t>
      </w:r>
      <w:r>
        <w:rPr>
          <w:iCs/>
          <w:i/>
        </w:rPr>
        <w:t xml:space="preserve">N</w:t>
      </w:r>
      <w:r>
        <w:t xml:space="preserve">_ij − 3) (Borenstein et al., 2021).</w:t>
      </w:r>
    </w:p>
    <w:p>
      <w:pPr>
        <w:pStyle w:val="BodyText"/>
      </w:pPr>
      <w:r>
        <w:rPr>
          <w:bCs/>
          <w:b/>
        </w:rPr>
        <w:t xml:space="preserve">Level 2, Within-study heterogeneity:</w:t>
      </w:r>
    </w:p>
    <w:p>
      <w:pPr>
        <w:pStyle w:val="BodyText"/>
      </w:pPr>
      <m:oMathPara>
        <m:oMathParaPr>
          <m:jc m:val="center"/>
        </m:oMathParaPr>
        <m:oMath>
          <m:sSub>
            <m:e>
              <m:r>
                <m:t>θ</m:t>
              </m:r>
            </m:e>
            <m:sub>
              <m:r>
                <m:t>i</m:t>
              </m:r>
              <m:r>
                <m:t>j</m:t>
              </m:r>
            </m:sub>
          </m:sSub>
          <m:r>
            <m:rPr>
              <m:sty m:val="p"/>
            </m:rPr>
            <m:t>=</m:t>
          </m:r>
          <m:sSub>
            <m:e>
              <m:r>
                <m:t>δ</m:t>
              </m:r>
            </m:e>
            <m:sub>
              <m:r>
                <m:t>j</m:t>
              </m:r>
            </m:sub>
          </m:sSub>
          <m:r>
            <m:rPr>
              <m:sty m:val="p"/>
            </m:rPr>
            <m:t>+</m:t>
          </m:r>
          <m:sSub>
            <m:e>
              <m:r>
                <m:t>u</m:t>
              </m:r>
            </m:e>
            <m:sub>
              <m:r>
                <m:t>i</m:t>
              </m:r>
              <m:r>
                <m:t>j</m:t>
              </m:r>
            </m:sub>
          </m:sSub>
          <m:r>
            <m:rPr>
              <m:sty m:val="p"/>
            </m:rPr>
            <m:t>,</m:t>
          </m:r>
          <m:r>
            <m:t> </m:t>
          </m:r>
          <m:sSub>
            <m:e>
              <m:r>
                <m:t>u</m:t>
              </m:r>
            </m:e>
            <m:sub>
              <m:r>
                <m:t>i</m:t>
              </m:r>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2</m:t>
                      </m:r>
                    </m:e>
                  </m:d>
                </m:sub>
                <m:sup>
                  <m:r>
                    <m:t>2</m:t>
                  </m:r>
                </m:sup>
              </m:sSubSup>
            </m:e>
          </m:d>
        </m:oMath>
      </m:oMathPara>
    </w:p>
    <w:p>
      <w:pPr>
        <w:pStyle w:val="FirstParagraph"/>
      </w:pPr>
      <w:r>
        <w:t xml:space="preserve">where σ²_(2) captures residual variation among effect sizes within a</w:t>
      </w:r>
      <w:r>
        <w:t xml:space="preserve"> </w:t>
      </w:r>
      <w:r>
        <w:t xml:space="preserve">study (e.g., from different samples, subgroups, or model specifications</w:t>
      </w:r>
      <w:r>
        <w:t xml:space="preserve"> </w:t>
      </w:r>
      <w:r>
        <w:t xml:space="preserve">reported in the same paper).</w:t>
      </w:r>
    </w:p>
    <w:p>
      <w:pPr>
        <w:pStyle w:val="BodyText"/>
      </w:pPr>
      <w:r>
        <w:rPr>
          <w:bCs/>
          <w:b/>
        </w:rPr>
        <w:t xml:space="preserve">Level 3, Between-study heterogeneity and moderation:</w:t>
      </w:r>
    </w:p>
    <w:p>
      <w:pPr>
        <w:pStyle w:val="BodyText"/>
      </w:pPr>
      <m:oMathPara>
        <m:oMathParaPr>
          <m:jc m:val="center"/>
        </m:oMathParaP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r>
            <m:rPr>
              <m:sty m:val="p"/>
            </m:rPr>
            <m:t>,</m:t>
          </m:r>
          <m:r>
            <m:t> </m:t>
          </m:r>
          <m:sSub>
            <m:e>
              <m:r>
                <m:t>w</m:t>
              </m:r>
            </m:e>
            <m:sub>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3</m:t>
                      </m:r>
                    </m:e>
                  </m:d>
                </m:sub>
                <m:sup>
                  <m:r>
                    <m:t>2</m:t>
                  </m:r>
                </m:sup>
              </m:sSubSup>
            </m:e>
          </m:d>
        </m:oMath>
      </m:oMathPara>
    </w:p>
    <w:p>
      <w:pPr>
        <w:pStyle w:val="FirstParagraph"/>
      </w:pPr>
      <w:r>
        <w:t xml:space="preserve">where</w:t>
      </w:r>
      <w:r>
        <w:t xml:space="preserve"> </w:t>
      </w:r>
      <w:r>
        <w:rPr>
          <w:bCs/>
          <w:b/>
        </w:rPr>
        <w:t xml:space="preserve">X</w:t>
      </w:r>
      <w:r>
        <w:t xml:space="preserve">_j is the (</w:t>
      </w:r>
      <w:r>
        <w:rPr>
          <w:iCs/>
          <w:i/>
        </w:rPr>
        <w:t xml:space="preserve">J</w:t>
      </w:r>
      <w:r>
        <w:t xml:space="preserve"> </w:t>
      </w:r>
      <w:r>
        <w:t xml:space="preserve">×</w:t>
      </w:r>
      <w:r>
        <w:t xml:space="preserve"> </w:t>
      </w:r>
      <w:r>
        <w:rPr>
          <w:iCs/>
          <w:i/>
        </w:rPr>
        <w:t xml:space="preserve">p</w:t>
      </w:r>
      <w:r>
        <w:t xml:space="preserve">) matrix of study-level moderators (ICRV</w:t>
      </w:r>
      <w:r>
        <w:t xml:space="preserve"> </w:t>
      </w:r>
      <w:r>
        <w:t xml:space="preserve">regime dummy vector [</w:t>
      </w:r>
      <w:r>
        <w:rPr>
          <w:iCs/>
          <w:i/>
        </w:rPr>
        <w:t xml:space="preserve">d</w:t>
      </w:r>
      <w:r>
        <w:t xml:space="preserve">_II,</w:t>
      </w:r>
      <w:r>
        <w:t xml:space="preserve"> </w:t>
      </w:r>
      <w:r>
        <w:rPr>
          <w:iCs/>
          <w:i/>
        </w:rPr>
        <w:t xml:space="preserve">d</w:t>
      </w:r>
      <w:r>
        <w:t xml:space="preserve">_III,</w:t>
      </w:r>
      <w:r>
        <w:t xml:space="preserve"> </w:t>
      </w:r>
      <w:r>
        <w:rPr>
          <w:iCs/>
          <w:i/>
        </w:rPr>
        <w:t xml:space="preserve">d</w:t>
      </w:r>
      <w:r>
        <w:t xml:space="preserve">_FR,</w:t>
      </w:r>
      <w:r>
        <w:t xml:space="preserve"> </w:t>
      </w:r>
      <w:r>
        <w:rPr>
          <w:iCs/>
          <w:i/>
        </w:rPr>
        <w:t xml:space="preserve">d</w:t>
      </w:r>
      <w:r>
        <w:t xml:space="preserve">_MX, with Regime</w:t>
      </w:r>
      <w:r>
        <w:t xml:space="preserve"> </w:t>
      </w:r>
      <w:r>
        <w:t xml:space="preserve">I (Advanced-Innovation) as reference]; continuous cDAI score; DPL phase dummy vector</w:t>
      </w:r>
      <w:r>
        <w:t xml:space="preserve"> </w:t>
      </w:r>
      <w:r>
        <w:t xml:space="preserve">[</w:t>
      </w:r>
      <w:r>
        <w:rPr>
          <w:iCs/>
          <w:i/>
        </w:rPr>
        <w:t xml:space="preserve">d</w:t>
      </w:r>
      <w:r>
        <w:t xml:space="preserve">_Span,</w:t>
      </w:r>
      <w:r>
        <w:t xml:space="preserve"> </w:t>
      </w:r>
      <w:r>
        <w:rPr>
          <w:iCs/>
          <w:i/>
        </w:rPr>
        <w:t xml:space="preserve">d</w:t>
      </w:r>
      <w:r>
        <w:t xml:space="preserve">_Follow, with Precede as reference]; plus the four</w:t>
      </w:r>
      <w:r>
        <w:t xml:space="preserve"> </w:t>
      </w:r>
      <w:r>
        <w:t xml:space="preserve">standard moderators as controls),</w:t>
      </w:r>
      <w:r>
        <w:t xml:space="preserve"> </w:t>
      </w:r>
      <w:r>
        <w:rPr>
          <w:bCs/>
          <w:b/>
        </w:rPr>
        <w:t xml:space="preserve">β</w:t>
      </w:r>
      <w:r>
        <w:t xml:space="preserve"> </w:t>
      </w:r>
      <w:r>
        <w:t xml:space="preserve">is the (</w:t>
      </w:r>
      <w:r>
        <w:rPr>
          <w:iCs/>
          <w:i/>
        </w:rPr>
        <w:t xml:space="preserve">p</w:t>
      </w:r>
      <w:r>
        <w:t xml:space="preserve"> </w:t>
      </w:r>
      <w:r>
        <w:t xml:space="preserve">× 1) coefficient</w:t>
      </w:r>
      <w:r>
        <w:t xml:space="preserve"> </w:t>
      </w:r>
      <w:r>
        <w:t xml:space="preserve">vector of primary interest, and</w:t>
      </w:r>
      <w:r>
        <w:t xml:space="preserve"> </w:t>
      </w:r>
      <w:r>
        <w:rPr>
          <w:iCs/>
          <w:i/>
        </w:rPr>
        <w:t xml:space="preserve">w</w:t>
      </w:r>
      <w:r>
        <w:t xml:space="preserve">_j is the residual between-study</w:t>
      </w:r>
      <w:r>
        <w:t xml:space="preserve"> </w:t>
      </w:r>
      <w:r>
        <w:t xml:space="preserve">variance component.</w:t>
      </w:r>
    </w:p>
    <w:p>
      <w:pPr>
        <w:pStyle w:val="BodyText"/>
      </w:pPr>
      <w:r>
        <w:rPr>
          <w:bCs/>
          <w:b/>
        </w:rPr>
        <w:t xml:space="preserve">Estimation.</w:t>
      </w:r>
      <w:r>
        <w:t xml:space="preserve"> </w:t>
      </w:r>
      <w:r>
        <w:t xml:space="preserve">Parameters are estimated by Restricted Maximum</w:t>
      </w:r>
      <w:r>
        <w:t xml:space="preserve"> </w:t>
      </w:r>
      <w:r>
        <w:t xml:space="preserve">Likelihood (REML) using the</w:t>
      </w:r>
      <w:r>
        <w:t xml:space="preserve"> </w:t>
      </w:r>
      <w:r>
        <w:rPr>
          <w:rStyle w:val="VerbatimChar"/>
        </w:rPr>
        <w:t xml:space="preserve">rma.mv</w:t>
      </w:r>
      <w:r>
        <w:t xml:space="preserve"> </w:t>
      </w:r>
      <w:r>
        <w:t xml:space="preserve">function in</w:t>
      </w:r>
      <w:r>
        <w:t xml:space="preserve"> </w:t>
      </w:r>
      <w:r>
        <w:rPr>
          <w:rStyle w:val="VerbatimChar"/>
        </w:rPr>
        <w:t xml:space="preserve">metafor</w:t>
      </w:r>
      <w:r>
        <w:t xml:space="preserve"> </w:t>
      </w:r>
      <w:r>
        <w:t xml:space="preserve">v4</w:t>
      </w:r>
      <w:r>
        <w:t xml:space="preserve"> </w:t>
      </w:r>
      <w:r>
        <w:t xml:space="preserve">(Viechtbauer, 2010), with the variance-covariance matrix for multiple</w:t>
      </w:r>
      <w:r>
        <w:t xml:space="preserve"> </w:t>
      </w:r>
      <w:r>
        <w:t xml:space="preserve">effects within studies specified as compound-symmetric. The REML</w:t>
      </w:r>
      <w:r>
        <w:t xml:space="preserve"> </w:t>
      </w:r>
      <w:r>
        <w:t xml:space="preserve">estimator was preferred over full ML because it produces unbiased</w:t>
      </w:r>
      <w:r>
        <w:t xml:space="preserve"> </w:t>
      </w:r>
      <w:r>
        <w:t xml:space="preserve">variance component estimates when the number of studies (</w:t>
      </w:r>
      <w:r>
        <w:rPr>
          <w:iCs/>
          <w:i/>
        </w:rPr>
        <w:t xml:space="preserve">k</w:t>
      </w:r>
      <w:r>
        <w:t xml:space="preserve">) is</w:t>
      </w:r>
      <w:r>
        <w:t xml:space="preserve"> </w:t>
      </w:r>
      <w:r>
        <w:t xml:space="preserve">moderate relative to the number of moderators (</w:t>
      </w:r>
      <w:r>
        <w:rPr>
          <w:iCs/>
          <w:i/>
        </w:rPr>
        <w:t xml:space="preserve">p</w:t>
      </w:r>
      <w:r>
        <w:t xml:space="preserve">), the condition that</w:t>
      </w:r>
      <w:r>
        <w:t xml:space="preserve"> </w:t>
      </w:r>
      <w:r>
        <w:t xml:space="preserve">applies here (Raudenbush &amp; Bryk, 2002, p. 39).</w:t>
      </w:r>
    </w:p>
    <w:p>
      <w:pPr>
        <w:pStyle w:val="BodyText"/>
      </w:pPr>
      <w:r>
        <w:rPr>
          <w:bCs/>
          <w:b/>
        </w:rPr>
        <w:t xml:space="preserve">Effect-size transformation.</w:t>
      </w:r>
      <w:r>
        <w:t xml:space="preserve"> </w:t>
      </w:r>
      <w:r>
        <w:t xml:space="preserve">All Pearson’s</w:t>
      </w:r>
      <w:r>
        <w:t xml:space="preserve"> </w:t>
      </w:r>
      <w:r>
        <w:rPr>
          <w:iCs/>
          <w:i/>
        </w:rPr>
        <w:t xml:space="preserve">r</w:t>
      </w:r>
      <w:r>
        <w:t xml:space="preserve"> </w:t>
      </w:r>
      <w:r>
        <w:t xml:space="preserve">values are transformed</w:t>
      </w:r>
      <w:r>
        <w:t xml:space="preserve"> </w:t>
      </w:r>
      <w:r>
        <w:t xml:space="preserve">to Fisher’s</w:t>
      </w:r>
      <w:r>
        <w:t xml:space="preserve"> </w:t>
      </w:r>
      <w:r>
        <w:rPr>
          <w:iCs/>
          <w:i/>
        </w:rPr>
        <w:t xml:space="preserve">z</w:t>
      </w:r>
      <w:r>
        <w:t xml:space="preserve"> </w:t>
      </w:r>
      <w:r>
        <w:t xml:space="preserve">prior to analysis (</w:t>
      </w:r>
      <w:r>
        <w:rPr>
          <w:iCs/>
          <w:i/>
        </w:rPr>
        <w:t xml:space="preserve">z</w:t>
      </w:r>
      <w:r>
        <w:t xml:space="preserve"> </w:t>
      </w:r>
      <w:r>
        <w:t xml:space="preserve">= 0.5 × ln[(1+</w:t>
      </w:r>
      <w:r>
        <w:rPr>
          <w:iCs/>
          <w:i/>
        </w:rPr>
        <w:t xml:space="preserve">r</w:t>
      </w:r>
      <w:r>
        <w:t xml:space="preserve">)/(1−</w:t>
      </w:r>
      <w:r>
        <w:rPr>
          <w:iCs/>
          <w:i/>
        </w:rPr>
        <w:t xml:space="preserve">r</w:t>
      </w:r>
      <w:r>
        <w:t xml:space="preserve">)]) to</w:t>
      </w:r>
      <w:r>
        <w:t xml:space="preserve"> </w:t>
      </w:r>
      <w:r>
        <w:t xml:space="preserve">stabilize variance and approximate normality (Hedges &amp; Olkin, 1985). All</w:t>
      </w:r>
      <w:r>
        <w:t xml:space="preserve"> </w:t>
      </w:r>
      <w:r>
        <w:t xml:space="preserve">reported results are back-transformed to</w:t>
      </w:r>
      <w:r>
        <w:t xml:space="preserve"> </w:t>
      </w:r>
      <w:r>
        <w:rPr>
          <w:iCs/>
          <w:i/>
        </w:rPr>
        <w:t xml:space="preserve">r</w:t>
      </w:r>
      <w:r>
        <w:t xml:space="preserve"> </w:t>
      </w:r>
      <w:r>
        <w:t xml:space="preserve">for interpretability. For</w:t>
      </w:r>
      <w:r>
        <w:t xml:space="preserve"> </w:t>
      </w:r>
      <w:r>
        <w:t xml:space="preserve">regression β-derived</w:t>
      </w:r>
      <w:r>
        <w:t xml:space="preserve"> </w:t>
      </w:r>
      <w:r>
        <w:rPr>
          <w:iCs/>
          <w:i/>
        </w:rPr>
        <w:t xml:space="preserve">r</w:t>
      </w:r>
      <w:r>
        <w:t xml:space="preserve">_partial values (Peterson &amp; Brown, 2005), the</w:t>
      </w:r>
      <w:r>
        <w:t xml:space="preserve"> </w:t>
      </w:r>
      <w:r>
        <w:t xml:space="preserve">same Fisher transformation is applied.</w:t>
      </w:r>
    </w:p>
    <w:p>
      <w:pPr>
        <w:pStyle w:val="BodyText"/>
      </w:pPr>
      <w:r>
        <w:rPr>
          <w:bCs/>
          <w:b/>
        </w:rPr>
        <w:t xml:space="preserve">Heterogeneity decomposition.</w:t>
      </w:r>
      <w:r>
        <w:t xml:space="preserve"> </w:t>
      </w:r>
      <w:r>
        <w:t xml:space="preserve">The proportional heterogeneity at each</w:t>
      </w:r>
      <w:r>
        <w:t xml:space="preserve"> </w:t>
      </w:r>
      <w:r>
        <w:t xml:space="preserve">level is computed as:</w:t>
      </w:r>
    </w:p>
    <w:p>
      <w:pPr>
        <w:pStyle w:val="BodyText"/>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m:oMathPara>
        <m:oMathParaPr>
          <m:jc m:val="center"/>
        </m:oMathParaPr>
        <m:oMath>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w:r>
        <w:t xml:space="preserve">where</w:t>
      </w:r>
      <w:r>
        <w:t xml:space="preserve"> </w:t>
      </w:r>
      <m:oMath>
        <m:acc>
          <m:accPr>
            <m:chr m:val="‾"/>
          </m:accPr>
          <m:e>
            <m:r>
              <m:t>v</m:t>
            </m:r>
          </m:e>
        </m:acc>
      </m:oMath>
      <w:r>
        <w:t xml:space="preserve"> </w:t>
      </w:r>
      <w:r>
        <w:t xml:space="preserve">is the average sampling variance across all</w:t>
      </w:r>
      <w:r>
        <w:t xml:space="preserve"> </w:t>
      </w:r>
      <w:r>
        <w:rPr>
          <w:iCs/>
          <w:i/>
        </w:rPr>
        <w:t xml:space="preserve">K</w:t>
      </w:r>
      <w:r>
        <w:t xml:space="preserve"> </w:t>
      </w:r>
      <w:r>
        <w:t xml:space="preserve">effect</w:t>
      </w:r>
      <w:r>
        <w:t xml:space="preserve"> </w:t>
      </w:r>
      <w:r>
        <w:t xml:space="preserve">sizes (Cheung, 2014, eq. 15). The sum</w:t>
      </w:r>
      <w:r>
        <w:t xml:space="preserve"> </w:t>
      </w:r>
      <m:oMath>
        <m:sSubSup>
          <m:e>
            <m:r>
              <m:t>I</m:t>
            </m:r>
          </m:e>
          <m:sub>
            <m:d>
              <m:dPr>
                <m:begChr m:val="("/>
                <m:endChr m:val=")"/>
                <m:sepChr m:val=""/>
                <m:grow/>
              </m:dPr>
              <m:e>
                <m:r>
                  <m:t>2</m:t>
                </m:r>
              </m:e>
            </m:d>
          </m:sub>
          <m:sup>
            <m:r>
              <m:t>2</m:t>
            </m:r>
          </m:sup>
        </m:sSubSup>
        <m:r>
          <m:rPr>
            <m:sty m:val="p"/>
          </m:rPr>
          <m:t>+</m:t>
        </m:r>
        <m:sSubSup>
          <m:e>
            <m:r>
              <m:t>I</m:t>
            </m:r>
          </m:e>
          <m:sub>
            <m:d>
              <m:dPr>
                <m:begChr m:val="("/>
                <m:endChr m:val=")"/>
                <m:sepChr m:val=""/>
                <m:grow/>
              </m:dPr>
              <m:e>
                <m:r>
                  <m:t>3</m:t>
                </m:r>
              </m:e>
            </m:d>
          </m:sub>
          <m:sup>
            <m:r>
              <m:t>2</m:t>
            </m:r>
          </m:sup>
        </m:sSubSup>
      </m:oMath>
      <w:r>
        <w:t xml:space="preserve"> </w:t>
      </w:r>
      <w:r>
        <w:t xml:space="preserve">yields</w:t>
      </w:r>
      <w:r>
        <w:t xml:space="preserve"> </w:t>
      </w:r>
      <w:r>
        <w:t xml:space="preserve">the total systematic heterogeneity, analogous to</w:t>
      </w:r>
      <w:r>
        <w:t xml:space="preserve"> </w:t>
      </w:r>
      <w:r>
        <w:rPr>
          <w:iCs/>
          <w:i/>
        </w:rPr>
        <w:t xml:space="preserve">I</w:t>
      </w:r>
      <w:r>
        <w:t xml:space="preserve">² in the</w:t>
      </w:r>
      <w:r>
        <w:t xml:space="preserve"> </w:t>
      </w:r>
      <w:r>
        <w:t xml:space="preserve">conventional random-effects model.</w:t>
      </w:r>
    </w:p>
    <w:p>
      <w:pPr>
        <w:pStyle w:val="BodyText"/>
      </w:pPr>
      <w:r>
        <w:rPr>
          <w:bCs/>
          <w:b/>
        </w:rPr>
        <w:t xml:space="preserve">Moderator significance.</w:t>
      </w:r>
      <w:r>
        <w:t xml:space="preserve"> </w:t>
      </w:r>
      <w:r>
        <w:t xml:space="preserve">The omnibus test for each categorical</w:t>
      </w:r>
      <w:r>
        <w:t xml:space="preserve"> </w:t>
      </w:r>
      <w:r>
        <w:t xml:space="preserve">moderator (ICRV regime, DPL phase) uses the</w:t>
      </w:r>
      <w:r>
        <w:t xml:space="preserve"> </w:t>
      </w:r>
      <w:r>
        <w:rPr>
          <w:iCs/>
          <w:i/>
        </w:rPr>
        <w:t xml:space="preserve">Q</w:t>
      </w:r>
      <w:r>
        <w:t xml:space="preserve">_M statistic on</w:t>
      </w:r>
      <w:r>
        <w:t xml:space="preserve"> </w:t>
      </w:r>
      <w:r>
        <w:rPr>
          <w:iCs/>
          <w:i/>
        </w:rPr>
        <w:t xml:space="preserve">p</w:t>
      </w:r>
      <w:r>
        <w:t xml:space="preserve"> </w:t>
      </w:r>
      <w:r>
        <w:t xml:space="preserve">− 1</w:t>
      </w:r>
      <w:r>
        <w:t xml:space="preserve"> </w:t>
      </w:r>
      <w:r>
        <w:t xml:space="preserve">degrees of freedom; it is interpreted as a test of whether the</w:t>
      </w:r>
      <w:r>
        <w:t xml:space="preserve"> </w:t>
      </w:r>
      <w:r>
        <w:t xml:space="preserve">between-regime or between-phase variance in pooled effect sizes exceeds</w:t>
      </w:r>
      <w:r>
        <w:t xml:space="preserve"> </w:t>
      </w:r>
      <w:r>
        <w:t xml:space="preserve">what would be expected under sampling error alone. Pairwise regime</w:t>
      </w:r>
      <w:r>
        <w:t xml:space="preserve"> </w:t>
      </w:r>
      <w:r>
        <w:t xml:space="preserve">comparisons use the Holm–Bonferroni correction for multiplicity. For</w:t>
      </w:r>
      <w:r>
        <w:t xml:space="preserve"> </w:t>
      </w:r>
      <w:r>
        <w:t xml:space="preserve">continuous cDAI, the significance of</w:t>
      </w:r>
      <w:r>
        <w:t xml:space="preserve"> </w:t>
      </w:r>
      <w:r>
        <w:rPr>
          <w:iCs/>
          <w:i/>
        </w:rPr>
        <w:t xml:space="preserve">β</w:t>
      </w:r>
      <w:r>
        <w:t xml:space="preserve">_cDAI is assessed using a</w:t>
      </w:r>
      <w:r>
        <w:t xml:space="preserve"> </w:t>
      </w:r>
      <w:r>
        <w:t xml:space="preserve">two-sided Wald</w:t>
      </w:r>
      <w:r>
        <w:t xml:space="preserve"> </w:t>
      </w:r>
      <w:r>
        <w:rPr>
          <w:iCs/>
          <w:i/>
        </w:rPr>
        <w:t xml:space="preserve">z</w:t>
      </w:r>
      <w:r>
        <w:t xml:space="preserve">-test.</w:t>
      </w:r>
    </w:p>
    <w:bookmarkEnd w:id="36"/>
    <w:bookmarkStart w:id="37" w:name="publication-bias-assessment"/>
    <w:p>
      <w:pPr>
        <w:pStyle w:val="Heading3"/>
      </w:pPr>
      <w:r>
        <w:t xml:space="preserve">3.6 Publication Bias Assessment</w:t>
      </w:r>
    </w:p>
    <w:p>
      <w:pPr>
        <w:pStyle w:val="FirstParagraph"/>
      </w:pPr>
      <w:r>
        <w:t xml:space="preserve">Publication bias was assessed using four complementary tests, following</w:t>
      </w:r>
      <w:r>
        <w:t xml:space="preserve"> </w:t>
      </w:r>
      <w:r>
        <w:t xml:space="preserve">the graduated approach recommended by Borenstein et al. (2021, ch. 30)</w:t>
      </w:r>
      <w:r>
        <w:t xml:space="preserve"> </w:t>
      </w:r>
      <w:r>
        <w:t xml:space="preserve">and Vevea and Woods (2005). First,</w:t>
      </w:r>
      <w:r>
        <w:t xml:space="preserve"> </w:t>
      </w:r>
      <w:r>
        <w:rPr>
          <w:bCs/>
          <w:b/>
        </w:rPr>
        <w:t xml:space="preserve">Egger’s weighted regression test</w:t>
      </w:r>
      <w:r>
        <w:t xml:space="preserve"> </w:t>
      </w:r>
      <w:r>
        <w:t xml:space="preserve">(Egger et al., 1997) regresses the standardized effect size on its</w:t>
      </w:r>
      <w:r>
        <w:t xml:space="preserve"> </w:t>
      </w:r>
      <w:r>
        <w:t xml:space="preserve">precision (inverse standard error); the intercept tests for funnel-plot</w:t>
      </w:r>
      <w:r>
        <w:t xml:space="preserve"> </w:t>
      </w:r>
      <w:r>
        <w:t xml:space="preserve">asymmetry. Second,</w:t>
      </w:r>
      <w:r>
        <w:t xml:space="preserve"> </w:t>
      </w:r>
      <w:r>
        <w:rPr>
          <w:bCs/>
          <w:b/>
        </w:rPr>
        <w:t xml:space="preserve">Begg and Mazumdar’s rank correlation test</w:t>
      </w:r>
      <w:r>
        <w:t xml:space="preserve"> </w:t>
      </w:r>
      <w:r>
        <w:t xml:space="preserve">(1994)</w:t>
      </w:r>
      <w:r>
        <w:t xml:space="preserve"> </w:t>
      </w:r>
      <w:r>
        <w:t xml:space="preserve">provides a non-parametric alternative that is less sensitive to</w:t>
      </w:r>
      <w:r>
        <w:t xml:space="preserve"> </w:t>
      </w:r>
      <w:r>
        <w:t xml:space="preserve">outliers. Third, the</w:t>
      </w:r>
      <w:r>
        <w:t xml:space="preserve"> </w:t>
      </w:r>
      <w:r>
        <w:rPr>
          <w:bCs/>
          <w:b/>
        </w:rPr>
        <w:t xml:space="preserve">trim-and-fill procedure</w:t>
      </w:r>
      <w:r>
        <w:t xml:space="preserve"> </w:t>
      </w:r>
      <w:r>
        <w:t xml:space="preserve">(Duval &amp; Tweedie, 2000)</w:t>
      </w:r>
      <w:r>
        <w:t xml:space="preserve"> </w:t>
      </w:r>
      <w:r>
        <w:t xml:space="preserve">imputes the theoretically missing studies on the left side of the funnel</w:t>
      </w:r>
      <w:r>
        <w:t xml:space="preserve"> </w:t>
      </w:r>
      <w:r>
        <w:t xml:space="preserve">plot and re-estimates the pooled effect; the adjusted estimate is</w:t>
      </w:r>
      <w:r>
        <w:t xml:space="preserve"> </w:t>
      </w:r>
      <w:r>
        <w:t xml:space="preserve">compared with the unadjusted to quantify the maximum bias attributable</w:t>
      </w:r>
      <w:r>
        <w:t xml:space="preserve"> </w:t>
      </w:r>
      <w:r>
        <w:t xml:space="preserve">to asymmetry. Fourth,</w:t>
      </w:r>
      <w:r>
        <w:t xml:space="preserve"> </w:t>
      </w:r>
      <w:r>
        <w:rPr>
          <w:bCs/>
          <w:b/>
        </w:rPr>
        <w:t xml:space="preserve">Orwin’s fail-safe</w:t>
      </w:r>
      <w:r>
        <w:rPr>
          <w:bCs/>
          <w:b/>
        </w:rPr>
        <w:t xml:space="preserve"> </w:t>
      </w:r>
      <w:r>
        <w:rPr>
          <w:iCs/>
          <w:i/>
          <w:bCs/>
          <w:b/>
        </w:rPr>
        <w:t xml:space="preserve">N</w:t>
      </w:r>
      <w:r>
        <w:t xml:space="preserve"> </w:t>
      </w:r>
      <w:r>
        <w:t xml:space="preserve">(1983) computes the</w:t>
      </w:r>
      <w:r>
        <w:t xml:space="preserve"> </w:t>
      </w:r>
      <w:r>
        <w:t xml:space="preserve">number of null-effect (</w:t>
      </w:r>
      <w:r>
        <w:rPr>
          <w:iCs/>
          <w:i/>
        </w:rPr>
        <w:t xml:space="preserve">r</w:t>
      </w:r>
      <w:r>
        <w:t xml:space="preserve"> </w:t>
      </w:r>
      <w:r>
        <w:t xml:space="preserve">= 0) unpublished studies required to reduce</w:t>
      </w:r>
      <w:r>
        <w:t xml:space="preserve"> </w:t>
      </w:r>
      <w:r>
        <w:t xml:space="preserve">the pooled</w:t>
      </w:r>
      <w:r>
        <w:t xml:space="preserve"> </w:t>
      </w:r>
      <w:r>
        <w:rPr>
          <w:iCs/>
          <w:i/>
        </w:rPr>
        <w:t xml:space="preserve">r</w:t>
      </w:r>
      <w:r>
        <w:t xml:space="preserve"> </w:t>
      </w:r>
      <w:r>
        <w:t xml:space="preserve">below the practical significance threshold of</w:t>
      </w:r>
      <w:r>
        <w:t xml:space="preserve"> </w:t>
      </w:r>
      <w:r>
        <w:rPr>
          <w:iCs/>
          <w:i/>
        </w:rPr>
        <w:t xml:space="preserve">r</w:t>
      </w:r>
      <w:r>
        <w:t xml:space="preserve"> </w:t>
      </w:r>
      <w:r>
        <w:t xml:space="preserve">= 0.10</w:t>
      </w:r>
      <w:r>
        <w:t xml:space="preserve"> </w:t>
      </w:r>
      <w:r>
        <w:t xml:space="preserve">(Cohen, 1988). Fail-safe</w:t>
      </w:r>
      <w:r>
        <w:t xml:space="preserve"> </w:t>
      </w:r>
      <w:r>
        <w:rPr>
          <w:iCs/>
          <w:i/>
        </w:rPr>
        <w:t xml:space="preserve">N</w:t>
      </w:r>
      <w:r>
        <w:t xml:space="preserve"> </w:t>
      </w:r>
      <w:r>
        <w:t xml:space="preserve">exceeding 5</w:t>
      </w:r>
      <w:r>
        <w:rPr>
          <w:iCs/>
          <w:i/>
        </w:rPr>
        <w:t xml:space="preserve">k</w:t>
      </w:r>
      <w:r>
        <w:t xml:space="preserve"> </w:t>
      </w:r>
      <w:r>
        <w:t xml:space="preserve">+ 10 (Rosenthal, 1991) is</w:t>
      </w:r>
      <w:r>
        <w:t xml:space="preserve"> </w:t>
      </w:r>
      <w:r>
        <w:t xml:space="preserve">interpreted as indicating that publication bias, while potentially</w:t>
      </w:r>
      <w:r>
        <w:t xml:space="preserve"> </w:t>
      </w:r>
      <w:r>
        <w:t xml:space="preserve">present, cannot substantively reverse the main conclusions.</w:t>
      </w:r>
    </w:p>
    <w:p>
      <w:pPr>
        <w:pStyle w:val="BodyText"/>
      </w:pPr>
      <w:r>
        <w:t xml:space="preserve">Additionally,</w:t>
      </w:r>
      <w:r>
        <w:t xml:space="preserve"> </w:t>
      </w:r>
      <w:r>
        <w:rPr>
          <w:bCs/>
          <w:b/>
        </w:rPr>
        <w:t xml:space="preserve">PET-PEESE meta-regression</w:t>
      </w:r>
      <w:r>
        <w:t xml:space="preserve"> </w:t>
      </w:r>
      <w:r>
        <w:t xml:space="preserve">(Stanley &amp; Doucouliagos,</w:t>
      </w:r>
      <w:r>
        <w:t xml:space="preserve"> </w:t>
      </w:r>
      <w:r>
        <w:t xml:space="preserve">2014) is applied as a model-based publication bias correction: the</w:t>
      </w:r>
      <w:r>
        <w:t xml:space="preserve"> </w:t>
      </w:r>
      <w:r>
        <w:t xml:space="preserve">precision-effect test (PET) regresses effect sizes on their standard</w:t>
      </w:r>
      <w:r>
        <w:t xml:space="preserve"> </w:t>
      </w:r>
      <w:r>
        <w:t xml:space="preserve">errors; if significant, the precision-effect estimate with standard</w:t>
      </w:r>
      <w:r>
        <w:t xml:space="preserve"> </w:t>
      </w:r>
      <w:r>
        <w:t xml:space="preserve">error (PEESE) substitutes the standard error squared as the regressor,</w:t>
      </w:r>
      <w:r>
        <w:t xml:space="preserve"> </w:t>
      </w:r>
      <w:r>
        <w:t xml:space="preserve">providing an estimate of the true effect after correcting for</w:t>
      </w:r>
      <w:r>
        <w:t xml:space="preserve"> </w:t>
      </w:r>
      <w:r>
        <w:t xml:space="preserve">small-study bias.</w:t>
      </w:r>
    </w:p>
    <w:bookmarkEnd w:id="37"/>
    <w:bookmarkStart w:id="38" w:name="robustness-checks"/>
    <w:p>
      <w:pPr>
        <w:pStyle w:val="Heading3"/>
      </w:pPr>
      <w:r>
        <w:t xml:space="preserve">3.7 Robustness Checks</w:t>
      </w:r>
    </w:p>
    <w:p>
      <w:pPr>
        <w:pStyle w:val="FirstParagraph"/>
      </w:pPr>
      <w:r>
        <w:t xml:space="preserve">The following pre-specified robustness checks evaluate the sensitivity</w:t>
      </w:r>
      <w:r>
        <w:t xml:space="preserve"> </w:t>
      </w:r>
      <w:r>
        <w:t xml:space="preserve">of the main findings to modelling choices, sample restrictions, and</w:t>
      </w:r>
      <w:r>
        <w:t xml:space="preserve"> </w:t>
      </w:r>
      <w:r>
        <w:t xml:space="preserve">alternative operationalizations:</w:t>
      </w:r>
    </w:p>
    <w:p>
      <w:pPr>
        <w:numPr>
          <w:ilvl w:val="0"/>
          <w:numId w:val="1003"/>
        </w:numPr>
        <w:pStyle w:val="Compact"/>
      </w:pPr>
      <w:r>
        <w:rPr>
          <w:bCs/>
          <w:b/>
        </w:rPr>
        <w:t xml:space="preserve">Two-level vs. three-level comparison.</w:t>
      </w:r>
      <w:r>
        <w:t xml:space="preserve"> </w:t>
      </w:r>
      <w:r>
        <w:t xml:space="preserve">The baseline pooled</w:t>
      </w:r>
      <w:r>
        <w:t xml:space="preserve"> </w:t>
      </w:r>
      <w:r>
        <w:rPr>
          <w:iCs/>
          <w:i/>
        </w:rPr>
        <w:t xml:space="preserve">r</w:t>
      </w:r>
      <w:r>
        <w:t xml:space="preserve"> </w:t>
      </w:r>
      <w:r>
        <w:t xml:space="preserve">is</w:t>
      </w:r>
      <w:r>
        <w:t xml:space="preserve"> </w:t>
      </w:r>
      <w:r>
        <w:t xml:space="preserve">estimated under both the conventional single-level random-effects</w:t>
      </w:r>
      <w:r>
        <w:t xml:space="preserve"> </w:t>
      </w:r>
      <w:r>
        <w:t xml:space="preserve">model (ignoring within-study nesting) and the three-level model</w:t>
      </w:r>
      <w:r>
        <w:t xml:space="preserve"> </w:t>
      </w:r>
      <w:r>
        <w:t xml:space="preserve">(accounting for it); substantive divergence (Δ</w:t>
      </w:r>
      <w:r>
        <w:rPr>
          <w:iCs/>
          <w:i/>
        </w:rPr>
        <w:t xml:space="preserve">r</w:t>
      </w:r>
      <w:r>
        <w:t xml:space="preserve"> </w:t>
      </w:r>
      <w:r>
        <w:t xml:space="preserve">&gt; 0.02) would</w:t>
      </w:r>
      <w:r>
        <w:t xml:space="preserve"> </w:t>
      </w:r>
      <w:r>
        <w:t xml:space="preserve">indicate meaningful nesting bias in the conventional estimator.</w:t>
      </w:r>
    </w:p>
    <w:p>
      <w:pPr>
        <w:numPr>
          <w:ilvl w:val="0"/>
          <w:numId w:val="1003"/>
        </w:numPr>
        <w:pStyle w:val="Compact"/>
      </w:pPr>
      <w:r>
        <w:rPr>
          <w:bCs/>
          <w:b/>
        </w:rPr>
        <w:t xml:space="preserve">Leave-one-out sensitivity.</w:t>
      </w:r>
      <w:r>
        <w:t xml:space="preserve"> </w:t>
      </w:r>
      <w:r>
        <w:t xml:space="preserve">Each study is removed iteratively;</w:t>
      </w:r>
      <w:r>
        <w:t xml:space="preserve"> </w:t>
      </w:r>
      <w:r>
        <w:t xml:space="preserve">the resulting distribution of</w:t>
      </w:r>
      <w:r>
        <w:t xml:space="preserve"> </w:t>
      </w:r>
      <w:r>
        <w:rPr>
          <w:iCs/>
          <w:i/>
        </w:rPr>
        <w:t xml:space="preserve">k</w:t>
      </w:r>
      <w:r>
        <w:t xml:space="preserve"> </w:t>
      </w:r>
      <w:r>
        <w:t xml:space="preserve">− 1 estimates is used to identify</w:t>
      </w:r>
      <w:r>
        <w:t xml:space="preserve"> </w:t>
      </w:r>
      <w:r>
        <w:t xml:space="preserve">influential studies (Cook’s distance &gt; 4/</w:t>
      </w:r>
      <w:r>
        <w:rPr>
          <w:iCs/>
          <w:i/>
        </w:rPr>
        <w:t xml:space="preserve">k</w:t>
      </w:r>
      <w:r>
        <w:t xml:space="preserve">) and assess the</w:t>
      </w:r>
      <w:r>
        <w:t xml:space="preserve"> </w:t>
      </w:r>
      <w:r>
        <w:t xml:space="preserve">stability of the pooled estimate.</w:t>
      </w:r>
    </w:p>
    <w:p>
      <w:pPr>
        <w:numPr>
          <w:ilvl w:val="0"/>
          <w:numId w:val="1003"/>
        </w:numPr>
        <w:pStyle w:val="Compact"/>
      </w:pPr>
      <w:r>
        <w:rPr>
          <w:bCs/>
          <w:b/>
        </w:rPr>
        <w:t xml:space="preserve">DOI operationalization restriction.</w:t>
      </w:r>
      <w:r>
        <w:t xml:space="preserve"> </w:t>
      </w:r>
      <w:r>
        <w:t xml:space="preserve">The baseline is re-estimated</w:t>
      </w:r>
      <w:r>
        <w:t xml:space="preserve"> </w:t>
      </w:r>
      <w:r>
        <w:t xml:space="preserve">restricting the sample to FSTS-only studies, which provide the most</w:t>
      </w:r>
      <w:r>
        <w:t xml:space="preserve"> </w:t>
      </w:r>
      <w:r>
        <w:t xml:space="preserve">comparable internationalization measure across papers (Helpman et</w:t>
      </w:r>
      <w:r>
        <w:t xml:space="preserve"> </w:t>
      </w:r>
      <w:r>
        <w:t xml:space="preserve">al., 2004). ICRV gradient and DPL phase findings are assessed for</w:t>
      </w:r>
      <w:r>
        <w:t xml:space="preserve"> </w:t>
      </w:r>
      <w:r>
        <w:t xml:space="preserve">consistency.</w:t>
      </w:r>
    </w:p>
    <w:p>
      <w:pPr>
        <w:numPr>
          <w:ilvl w:val="0"/>
          <w:numId w:val="1003"/>
        </w:numPr>
        <w:pStyle w:val="Compact"/>
      </w:pPr>
      <w:r>
        <w:rPr>
          <w:bCs/>
          <w:b/>
        </w:rPr>
        <w:t xml:space="preserve">ICRV alternative classification.</w:t>
      </w:r>
      <w:r>
        <w:t xml:space="preserve"> </w:t>
      </w:r>
      <w:r>
        <w:t xml:space="preserve">The WGI Rule of Law dimension</w:t>
      </w:r>
      <w:r>
        <w:t xml:space="preserve"> </w:t>
      </w:r>
      <w:r>
        <w:t xml:space="preserve">is replaced by the WGI composite governance index (average of six</w:t>
      </w:r>
      <w:r>
        <w:t xml:space="preserve"> </w:t>
      </w:r>
      <w:r>
        <w:t xml:space="preserve">dimensions: Voice and Accountability, Political Stability,</w:t>
      </w:r>
      <w:r>
        <w:t xml:space="preserve"> </w:t>
      </w:r>
      <w:r>
        <w:t xml:space="preserve">Government Effectiveness, Regulatory Quality, Rule of Law, Control</w:t>
      </w:r>
      <w:r>
        <w:t xml:space="preserve"> </w:t>
      </w:r>
      <w:r>
        <w:t xml:space="preserve">of Corruption) as the regime classifier. Regime boundaries are</w:t>
      </w:r>
      <w:r>
        <w:t xml:space="preserve"> </w:t>
      </w:r>
      <w:r>
        <w:t xml:space="preserve">maintained at the same percentile thresholds; robustness requires</w:t>
      </w:r>
      <w:r>
        <w:t xml:space="preserve"> </w:t>
      </w:r>
      <w:r>
        <w:t xml:space="preserve">the ICRV gradient direction to be preserved.</w:t>
      </w:r>
    </w:p>
    <w:p>
      <w:pPr>
        <w:numPr>
          <w:ilvl w:val="0"/>
          <w:numId w:val="1003"/>
        </w:numPr>
        <w:pStyle w:val="Compact"/>
      </w:pPr>
      <w:r>
        <w:rPr>
          <w:bCs/>
          <w:b/>
        </w:rPr>
        <w:t xml:space="preserve">Temporal restriction.</w:t>
      </w:r>
      <w:r>
        <w:t xml:space="preserve"> </w:t>
      </w:r>
      <w:r>
        <w:t xml:space="preserve">The sample is restricted to post-2000</w:t>
      </w:r>
      <w:r>
        <w:t xml:space="preserve"> </w:t>
      </w:r>
      <w:r>
        <w:t xml:space="preserve">studies (</w:t>
      </w:r>
      <w:r>
        <w:rPr>
          <w:iCs/>
          <w:i/>
        </w:rPr>
        <w:t xml:space="preserve">k</w:t>
      </w:r>
      <w:r>
        <w:t xml:space="preserve"> </w:t>
      </w:r>
      <w:r>
        <w:t xml:space="preserve">≈ 180) to test whether vintage effects (older studies</w:t>
      </w:r>
      <w:r>
        <w:t xml:space="preserve"> </w:t>
      </w:r>
      <w:r>
        <w:t xml:space="preserve">averaging lower digital infrastructure environments) account for DPL</w:t>
      </w:r>
      <w:r>
        <w:t xml:space="preserve"> </w:t>
      </w:r>
      <w:r>
        <w:t xml:space="preserve">phase findings independently of the theoretical mechanism.</w:t>
      </w:r>
    </w:p>
    <w:bookmarkEnd w:id="38"/>
    <w:bookmarkEnd w:id="39"/>
    <w:bookmarkStart w:id="47" w:name="results"/>
    <w:p>
      <w:pPr>
        <w:pStyle w:val="Heading2"/>
      </w:pPr>
      <w:r>
        <w:t xml:space="preserve">4. Results</w:t>
      </w:r>
    </w:p>
    <w:bookmarkStart w:id="40" w:name="X919d8d711cf606d2dd3f7af57602ee0032ae633"/>
    <w:p>
      <w:pPr>
        <w:pStyle w:val="Heading3"/>
      </w:pPr>
      <w:r>
        <w:t xml:space="preserve">4.1 Sample Description and Inter-Coder Reliability</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w:t>
      </w:r>
    </w:p>
    <w:p>
      <w:pPr>
        <w:pStyle w:val="BodyText"/>
      </w:pPr>
      <w:r>
        <w:rPr>
          <w:bCs/>
          <w:b/>
        </w:rPr>
        <w:t xml:space="preserve">Table 3.1, Inter-coder reliability</w:t>
      </w:r>
      <w:r>
        <w:t xml:space="preserve"> </w:t>
      </w:r>
      <w:r>
        <w:rPr>
          <w:iCs/>
          <w:i/>
        </w:rPr>
        <w:t xml:space="preserve">(two authors independently code a 20% stratified subsample, k = 47 studies, blind to each other’s codes)</w:t>
      </w:r>
    </w:p>
    <w:tbl>
      <w:tblPr>
        <w:tblStyle w:val="Table"/>
        <w:tblW w:type="pct" w:w="5000"/>
        <w:tblLook w:firstRow="1" w:lastRow="0" w:firstColumn="0" w:lastColumn="0" w:noHBand="0" w:noVBand="0" w:val="0020"/>
        <w:jc w:val="start"/>
      </w:tblPr>
      <w:tblGrid>
        <w:gridCol w:w="2217"/>
        <w:gridCol w:w="1900"/>
        <w:gridCol w:w="1161"/>
        <w:gridCol w:w="739"/>
        <w:gridCol w:w="1900"/>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Statistic</w:t>
            </w:r>
          </w:p>
        </w:tc>
        <w:tc>
          <w:tcPr/>
          <w:p>
            <w:pPr>
              <w:pStyle w:val="Compact"/>
              <w:jc w:val="left"/>
            </w:pPr>
            <w:r>
              <w:t xml:space="preserve">Value</w:t>
            </w:r>
          </w:p>
        </w:tc>
        <w:tc>
          <w:tcPr/>
          <w:p>
            <w:pPr>
              <w:pStyle w:val="Compact"/>
              <w:jc w:val="left"/>
            </w:pPr>
            <w:r>
              <w:t xml:space="preserve">Target threshold</w:t>
            </w:r>
          </w:p>
        </w:tc>
      </w:tr>
      <w:tr>
        <w:tc>
          <w:tcPr/>
          <w:p>
            <w:pPr>
              <w:pStyle w:val="Compact"/>
              <w:jc w:val="left"/>
            </w:pPr>
            <w:r>
              <w:t xml:space="preserve">ICRV regime</w:t>
            </w:r>
          </w:p>
        </w:tc>
        <w:tc>
          <w:tcPr/>
          <w:p>
            <w:pPr>
              <w:pStyle w:val="Compact"/>
              <w:jc w:val="left"/>
            </w:pPr>
            <w:r>
              <w:t xml:space="preserve">Categorical (5)</w:t>
            </w:r>
          </w:p>
        </w:tc>
        <w:tc>
          <w:tcPr/>
          <w:p>
            <w:pPr>
              <w:pStyle w:val="Compact"/>
              <w:jc w:val="left"/>
            </w:pPr>
            <w:r>
              <w:t xml:space="preserve">Cohen’s κ</w:t>
            </w:r>
          </w:p>
        </w:tc>
        <w:tc>
          <w:tcPr/>
          <w:p>
            <w:pPr>
              <w:pStyle w:val="Compact"/>
              <w:jc w:val="left"/>
            </w:pPr>
            <w:r>
              <w:t xml:space="preserve">[insert after dual-coding]</w:t>
            </w:r>
          </w:p>
        </w:tc>
        <w:tc>
          <w:tcPr/>
          <w:p>
            <w:pPr>
              <w:pStyle w:val="Compact"/>
              <w:jc w:val="left"/>
            </w:pPr>
            <w:r>
              <w:t xml:space="preserve">≥ 0.70</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[insert after dual-coding]</w:t>
            </w:r>
          </w:p>
        </w:tc>
        <w:tc>
          <w:tcPr/>
          <w:p>
            <w:pPr>
              <w:pStyle w:val="Compact"/>
              <w:jc w:val="left"/>
            </w:pPr>
            <w:r>
              <w:t xml:space="preserve">≥ 0.70</w:t>
            </w:r>
          </w:p>
        </w:tc>
      </w:tr>
      <w:tr>
        <w:tc>
          <w:tcPr/>
          <w:p>
            <w:pPr>
              <w:pStyle w:val="Compact"/>
              <w:jc w:val="left"/>
            </w:pPr>
            <w:r>
              <w:t xml:space="preserve">Industry sector</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[insert after dual-coding]</w:t>
            </w:r>
          </w:p>
        </w:tc>
        <w:tc>
          <w:tcPr/>
          <w:p>
            <w:pPr>
              <w:pStyle w:val="Compact"/>
              <w:jc w:val="left"/>
            </w:pPr>
            <w:r>
              <w:t xml:space="preserve">≥ 0.70</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[insert after dual-coding]</w:t>
            </w:r>
          </w:p>
        </w:tc>
        <w:tc>
          <w:tcPr/>
          <w:p>
            <w:pPr>
              <w:pStyle w:val="Compact"/>
              <w:jc w:val="left"/>
            </w:pPr>
            <w:r>
              <w:t xml:space="preserve">≥ 0.70</w:t>
            </w:r>
          </w:p>
        </w:tc>
      </w:tr>
      <w:tr>
        <w:tc>
          <w:tcPr/>
          <w:p>
            <w:pPr>
              <w:pStyle w:val="Compact"/>
              <w:jc w:val="left"/>
            </w:pPr>
            <w:r>
              <w:t xml:space="preserve">Performance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[insert after dual-coding]</w:t>
            </w:r>
          </w:p>
        </w:tc>
        <w:tc>
          <w:tcPr/>
          <w:p>
            <w:pPr>
              <w:pStyle w:val="Compact"/>
              <w:jc w:val="left"/>
            </w:pPr>
            <w:r>
              <w:t xml:space="preserve">≥ 0.70</w:t>
            </w:r>
          </w:p>
        </w:tc>
      </w:tr>
      <w:tr>
        <w:tc>
          <w:tcPr/>
          <w:p>
            <w:pPr>
              <w:pStyle w:val="Compact"/>
              <w:jc w:val="left"/>
            </w:pPr>
            <w:r>
              <w:t xml:space="preserve">cDAI score</w:t>
            </w:r>
          </w:p>
        </w:tc>
        <w:tc>
          <w:tcPr/>
          <w:p>
            <w:pPr>
              <w:pStyle w:val="Compact"/>
              <w:jc w:val="left"/>
            </w:pPr>
            <w:r>
              <w:t xml:space="preserve">Continuous (0–1)</w:t>
            </w:r>
          </w:p>
        </w:tc>
        <w:tc>
          <w:tcPr/>
          <w:p>
            <w:pPr>
              <w:pStyle w:val="Compact"/>
              <w:jc w:val="left"/>
            </w:pPr>
            <w:r>
              <w:t xml:space="preserve">ICC(2, 1)</w:t>
            </w:r>
          </w:p>
        </w:tc>
        <w:tc>
          <w:tcPr/>
          <w:p>
            <w:pPr>
              <w:pStyle w:val="Compact"/>
              <w:jc w:val="left"/>
            </w:pPr>
            <w:r>
              <w:t xml:space="preserve">[insert after dual-coding]</w:t>
            </w:r>
          </w:p>
        </w:tc>
        <w:tc>
          <w:tcPr/>
          <w:p>
            <w:pPr>
              <w:pStyle w:val="Compact"/>
              <w:jc w:val="left"/>
            </w:pPr>
            <w:r>
              <w:t xml:space="preserve">≥ 0.80</w:t>
            </w:r>
          </w:p>
        </w:tc>
      </w:tr>
    </w:tbl>
    <w:p>
      <w:pPr>
        <w:pStyle w:val="BodyText"/>
      </w:pPr>
      <w:r>
        <w:rPr>
          <w:iCs/>
          <w:i/>
        </w:rPr>
        <w:t xml:space="preserve">Note.</w:t>
      </w:r>
      <w:r>
        <w:t xml:space="preserve"> </w:t>
      </w:r>
      <w:r>
        <w:t xml:space="preserve">The full corpus is coded by the first author against the standardized codebook (Appendix B). For reliability, the two authors independently code a 20% stratified subsample (k = 47 studies), blind to each other’s codes; agreement is assessed with Cohen’s κ for the categorical moderators and ICC(2, 1) for the continuous cDAI index, against the Landis and Koch (1977) thresholds (κ ≥ 0.70; ICC ≥ 0.80). Disagreements are resolved by discussion, with Regime II/III boundary cases adjudicated by lookup of WGI Rule of Law vintage scores.</w:t>
      </w:r>
    </w:p>
    <w:p>
      <w:pPr>
        <w:pStyle w:val="BodyText"/>
      </w:pPr>
      <w:r>
        <w:rPr>
          <w:bCs/>
          <w:b/>
        </w:rPr>
        <w:t xml:space="preserve">Table 4.1, Sample composition</w:t>
      </w:r>
      <w:r>
        <w:t xml:space="preserve"> </w:t>
      </w:r>
      <w:r>
        <w:rPr>
          <w:iCs/>
          <w:i/>
        </w:rPr>
        <w:t xml:space="preserve">(K = 288 effect sizes, k = 238 coded studies)</w:t>
      </w:r>
    </w:p>
    <w:tbl>
      <w:tblPr>
        <w:tblStyle w:val="Table"/>
        <w:tblW w:type="pct" w:w="5000"/>
        <w:tblLook w:firstRow="1" w:lastRow="0" w:firstColumn="0" w:lastColumn="0" w:noHBand="0" w:noVBand="0" w:val="0020"/>
        <w:jc w:val="start"/>
      </w:tblPr>
      <w:tblGrid>
        <w:gridCol w:w="5840"/>
        <w:gridCol w:w="1040"/>
        <w:gridCol w:w="104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Advanced (e.g., Korea, Japan, Singapore, HK, Australia)</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ICRV Regime II,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Emerging (e.g., Vietnam, India,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≤2008)</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DPL Span (SPN, 2009–2013)</w:t>
            </w:r>
          </w:p>
        </w:tc>
        <w:tc>
          <w:tcPr/>
          <w:p>
            <w:pPr>
              <w:pStyle w:val="Compact"/>
              <w:jc w:val="left"/>
            </w:pPr>
            <w:r>
              <w:t xml:space="preserve">108</w:t>
            </w:r>
          </w:p>
        </w:tc>
        <w:tc>
          <w:tcPr/>
          <w:p>
            <w:pPr>
              <w:pStyle w:val="Compact"/>
              <w:jc w:val="left"/>
            </w:pPr>
            <w:r>
              <w:t xml:space="preserve">,</w:t>
            </w:r>
          </w:p>
        </w:tc>
      </w:tr>
      <w:tr>
        <w:tc>
          <w:tcPr/>
          <w:p>
            <w:pPr>
              <w:pStyle w:val="Compact"/>
              <w:jc w:val="left"/>
            </w:pPr>
            <w:r>
              <w:t xml:space="preserve">DPL Follow (FOL, ≥2014)</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246</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16</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the coded database (</w:t>
      </w:r>
      <w:r>
        <w:rPr>
          <w:rStyle w:val="VerbatimChar"/>
        </w:rPr>
        <w:t xml:space="preserve">p6/results/forest_data.csv</w:t>
      </w:r>
      <w:r>
        <w:t xml:space="preserve">,</w:t>
      </w:r>
      <w:r>
        <w:t xml:space="preserve"> </w:t>
      </w:r>
      <w:r>
        <w:t xml:space="preserve">K=288 rows, k=238 unique study IDs, updated 15/05/2026).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w:t>
      </w:r>
      <w:r>
        <w:t xml:space="preserve"> </w:t>
      </w:r>
      <w:r>
        <w:t xml:space="preserve">Study (</w:t>
      </w:r>
      <w:r>
        <w:rPr>
          <w:iCs/>
          <w:i/>
        </w:rPr>
        <w:t xml:space="preserve">k</w:t>
      </w:r>
      <w:r>
        <w:t xml:space="preserve">) counts by cDAI/DPL are reported after multi-effect deduplication.</w:t>
      </w:r>
    </w:p>
    <w:bookmarkEnd w:id="40"/>
    <w:bookmarkStart w:id="41" w:name="baseline-three-level-model"/>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r>
                <m:rPr>
                  <m:sty m:val="p"/>
                </m:rPr>
                <m:t>[</m:t>
              </m:r>
              <m:r>
                <m:t>0.05</m:t>
              </m:r>
              <m:r>
                <m:rPr>
                  <m:sty m:val="p"/>
                </m:rPr>
                <m:t>,</m:t>
              </m:r>
              <m:r>
                <m:t>0.09</m:t>
              </m:r>
              <m:r>
                <m:rPr>
                  <m:sty m:val="p"/>
                </m:rPr>
                <m:t>]</m:t>
              </m:r>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(metafor REML, k = 238 studies, K = 288</w:t>
      </w:r>
      <w:r>
        <w:t xml:space="preserve"> </w:t>
      </w:r>
      <w:r>
        <w:t xml:space="preserve">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0.00878</w:t>
            </w:r>
          </w:p>
        </w:tc>
      </w:tr>
      <w:tr>
        <w:tc>
          <w:tcPr/>
          <w:p>
            <w:pPr>
              <w:pStyle w:val="Compact"/>
              <w:jc w:val="left"/>
            </w:pPr>
            <w:r>
              <w:t xml:space="preserve">σ²_(3) between-study</w:t>
            </w:r>
          </w:p>
        </w:tc>
        <w:tc>
          <w:tcPr/>
          <w:p>
            <w:pPr>
              <w:pStyle w:val="Compact"/>
              <w:jc w:val="left"/>
            </w:pPr>
            <w:r>
              <w:t xml:space="preserve">0.00136</w:t>
            </w:r>
          </w:p>
        </w:tc>
      </w:tr>
      <w:tr>
        <w:tc>
          <w:tcPr/>
          <w:p>
            <w:pPr>
              <w:pStyle w:val="Compact"/>
              <w:jc w:val="left"/>
            </w:pPr>
            <w:r>
              <w:rPr>
                <w:iCs/>
                <w:i/>
              </w:rPr>
              <w:t xml:space="preserve">I</w:t>
            </w:r>
            <w:r>
              <w:t xml:space="preserve">²_(2) within-study</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8.4%</w:t>
            </w:r>
          </w:p>
        </w:tc>
      </w:tr>
      <w:tr>
        <w:tc>
          <w:tcPr/>
          <w:p>
            <w:pPr>
              <w:pStyle w:val="Compact"/>
              <w:jc w:val="left"/>
            </w:pPr>
            <w:r>
              <w:rPr>
                <w:iCs/>
                <w:i/>
              </w:rPr>
              <w:t xml:space="preserve">I</w:t>
            </w:r>
            <w:r>
              <w:t xml:space="preserve">²_total</w:t>
            </w:r>
          </w:p>
        </w:tc>
        <w:tc>
          <w:tcPr/>
          <w:p>
            <w:pPr>
              <w:pStyle w:val="Compact"/>
              <w:jc w:val="left"/>
            </w:pPr>
            <w:r>
              <w:t xml:space="preserve">62.5%</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1,895.58 (</w:t>
            </w:r>
            <w:r>
              <w:rPr>
                <w:iCs/>
                <w:i/>
              </w:rPr>
              <w:t xml:space="preserve">df</w:t>
            </w:r>
            <w:r>
              <w:t xml:space="preserve"> </w:t>
            </w:r>
            <w:r>
              <w:t xml:space="preserve">= 286,</w:t>
            </w:r>
            <w:r>
              <w:t xml:space="preserve"> </w:t>
            </w:r>
            <w:r>
              <w:rPr>
                <w:iCs/>
                <w:i/>
              </w:rPr>
              <w:t xml:space="preserve">p</w:t>
            </w:r>
            <w:r>
              <w:t xml:space="preserve"> </w:t>
            </w:r>
            <w:r>
              <w:t xml:space="preserve">&lt; .001)</w:t>
            </w:r>
          </w:p>
        </w:tc>
      </w:tr>
    </w:tbl>
    <w:p>
      <w:pPr>
        <w:pStyle w:val="BodyText"/>
      </w:pPr>
      <w:r>
        <w:t xml:space="preserve">The three-level pooled estimate (</w:t>
      </w:r>
      <w:r>
        <w:rPr>
          <w:iCs/>
          <w:i/>
        </w:rPr>
        <w:t xml:space="preserve">r̂</w:t>
      </w:r>
      <w:r>
        <w:t xml:space="preserve"> </w:t>
      </w:r>
      <w:r>
        <w:t xml:space="preserve">= 0.074) is consistent with the</w:t>
      </w:r>
      <w:r>
        <w:t xml:space="preserve"> </w:t>
      </w:r>
      <w:r>
        <w:t xml:space="preserve">ICBEF 2025 single-level baseline (</w:t>
      </w:r>
      <w:r>
        <w:rPr>
          <w:iCs/>
          <w:i/>
        </w:rPr>
        <w:t xml:space="preserve">r</w:t>
      </w:r>
      <w:r>
        <w:t xml:space="preserve"> </w:t>
      </w:r>
      <w:r>
        <w:t xml:space="preserve">= 0.07), confirming no systematic</w:t>
      </w:r>
      <w:r>
        <w:t xml:space="preserve"> </w:t>
      </w:r>
      <w:r>
        <w:t xml:space="preserve">upward bias from ignoring multilevel nesting in the earlier analysis.</w:t>
      </w:r>
      <w:r>
        <w:t xml:space="preserve"> </w:t>
      </w:r>
      <w:r>
        <w:t xml:space="preserve">Three-level decomposition reveals that the larger share of systematic</w:t>
      </w:r>
      <w:r>
        <w:t xml:space="preserve"> </w:t>
      </w:r>
      <w:r>
        <w:t xml:space="preserve">heterogeneity lies within studies (Level 2,</w:t>
      </w:r>
      <w:r>
        <w:t xml:space="preserve"> </w:t>
      </w:r>
      <w:r>
        <w:rPr>
          <w:iCs/>
          <w:i/>
        </w:rPr>
        <w:t xml:space="preserve">I</w:t>
      </w:r>
      <w:r>
        <w:t xml:space="preserve">²_(2) = 54.1%),</w:t>
      </w:r>
      <w:r>
        <w:t xml:space="preserve"> </w:t>
      </w:r>
      <w:r>
        <w:t xml:space="preserve">attributable to within-paper variation in DOI operationalization,</w:t>
      </w:r>
      <w:r>
        <w:t xml:space="preserve"> </w:t>
      </w:r>
      <w:r>
        <w:t xml:space="preserve">performance measure type, and control variable specification across</w:t>
      </w:r>
      <w:r>
        <w:t xml:space="preserve"> </w:t>
      </w:r>
      <w:r>
        <w:t xml:space="preserve">multiple reported models. Between-study variance (Level 3,</w:t>
      </w:r>
      <w:r>
        <w:t xml:space="preserve"> </w:t>
      </w:r>
      <w:r>
        <w:rPr>
          <w:iCs/>
          <w:i/>
        </w:rPr>
        <w:t xml:space="preserve">I</w:t>
      </w:r>
      <w:r>
        <w:t xml:space="preserve">²_(3) =</w:t>
      </w:r>
      <w:r>
        <w:t xml:space="preserve"> </w:t>
      </w:r>
      <w:r>
        <w:t xml:space="preserve">8.4%) represents country-context differences that ICRV, cDAI, and DPL</w:t>
      </w:r>
      <w:r>
        <w:t xml:space="preserve"> </w:t>
      </w:r>
      <w:r>
        <w:t xml:space="preserve">phase were designed to explain. Total</w:t>
      </w:r>
      <w:r>
        <w:t xml:space="preserve"> </w:t>
      </w:r>
      <w:r>
        <w:rPr>
          <w:iCs/>
          <w:i/>
        </w:rPr>
        <w:t xml:space="preserve">I</w:t>
      </w:r>
      <w:r>
        <w:t xml:space="preserve">² = 62.5%, indicating</w:t>
      </w:r>
      <w:r>
        <w:t xml:space="preserve"> </w:t>
      </w:r>
      <w:r>
        <w:t xml:space="preserve">substantial heterogeneity beyond sampling error, the motivation for</w:t>
      </w:r>
      <w:r>
        <w:t xml:space="preserve"> </w:t>
      </w:r>
      <w:r>
        <w:t xml:space="preserve">moderator analysis, though the moderator analyses in §§4.3–4.5 do not</w:t>
      </w:r>
      <w:r>
        <w:t xml:space="preserve"> </w:t>
      </w:r>
      <w:r>
        <w:t xml:space="preserve">resolve this heterogeneity significantly.</w:t>
      </w:r>
    </w:p>
    <w:bookmarkEnd w:id="41"/>
    <w:bookmarkStart w:id="42" w:name="icrv-5-regime-moderation-h1"/>
    <w:p>
      <w:pPr>
        <w:pStyle w:val="Heading3"/>
      </w:pPr>
      <w:r>
        <w:t xml:space="preserve">4.3 ICRV 5-Regime Moderation (H1)</w:t>
      </w:r>
    </w:p>
    <w:p>
      <w:pPr>
        <w:pStyle w:val="FirstParagraph"/>
      </w:pPr>
      <w:r>
        <w:rPr>
          <w:iCs/>
          <w:i/>
        </w:rPr>
        <w:t xml:space="preserve">Q</w:t>
      </w:r>
      <w:r>
        <w:t xml:space="preserve">_M(ICRV) = 17.35 (</w:t>
      </w:r>
      <w:r>
        <w:rPr>
          <w:iCs/>
          <w:i/>
        </w:rPr>
        <w:t xml:space="preserve">df</w:t>
      </w:r>
      <w:r>
        <w:t xml:space="preserve"> </w:t>
      </w:r>
      <w:r>
        <w:t xml:space="preserve">= 4,</w:t>
      </w:r>
      <w:r>
        <w:t xml:space="preserve"> </w:t>
      </w:r>
      <w:r>
        <w:rPr>
          <w:iCs/>
          <w:i/>
        </w:rPr>
        <w:t xml:space="preserve">p</w:t>
      </w:r>
      <w:r>
        <w:t xml:space="preserve"> </w:t>
      </w:r>
      <w:r>
        <w:t xml:space="preserve">= .002). H1</w:t>
      </w:r>
      <w:r>
        <w:t xml:space="preserve"> </w:t>
      </w:r>
      <w:r>
        <w:rPr>
          <w:bCs/>
          <w:b/>
        </w:rPr>
        <w:t xml:space="preserve">confirmed</w:t>
      </w:r>
      <w:r>
        <w:t xml:space="preserve">, the</w:t>
      </w:r>
      <w:r>
        <w:t xml:space="preserve"> </w:t>
      </w:r>
      <w:r>
        <w:t xml:space="preserve">between-regime Q_M test is statistically significant as hypothesized.</w:t>
      </w:r>
      <w:r>
        <w:t xml:space="preserve"> </w:t>
      </w:r>
      <w:r>
        <w:t xml:space="preserve">Exploratory Propositions E1a (Advanced largest) and E1b (Frontier</w:t>
      </w:r>
      <w:r>
        <w:t xml:space="preserve"> </w:t>
      </w:r>
      <w:r>
        <w:t xml:space="preserve">smallest) are</w:t>
      </w:r>
      <w:r>
        <w:t xml:space="preserve"> </w:t>
      </w:r>
      <w:r>
        <w:rPr>
          <w:bCs/>
          <w:b/>
        </w:rPr>
        <w:t xml:space="preserve">not meta-analytically confirmed</w:t>
      </w:r>
      <w:r>
        <w:t xml:space="preserve">: the significant Q_M</w:t>
      </w:r>
      <w:r>
        <w:t xml:space="preserve"> </w:t>
      </w:r>
      <w:r>
        <w:t xml:space="preserve">is driven by the</w:t>
      </w:r>
      <w:r>
        <w:t xml:space="preserve"> </w:t>
      </w:r>
      <w:r>
        <w:rPr>
          <w:iCs/>
          <w:i/>
        </w:rPr>
        <w:t xml:space="preserve">k</w:t>
      </w:r>
      <w:r>
        <w:t xml:space="preserve"> </w:t>
      </w:r>
      <w:r>
        <w:t xml:space="preserve">= 3 Frontier-group anomaly rather than a monotone</w:t>
      </w:r>
      <w:r>
        <w:t xml:space="preserve"> </w:t>
      </w:r>
      <w:r>
        <w:t xml:space="preserve">institutional gradient; see below.</w:t>
      </w:r>
    </w:p>
    <w:p>
      <w:pPr>
        <w:pStyle w:val="BodyText"/>
      </w:pPr>
      <w:r>
        <w:rPr>
          <w:bCs/>
          <w:b/>
        </w:rPr>
        <w:t xml:space="preserve">Table 4.1, ICRV regime subgroup results</w:t>
      </w:r>
      <w:r>
        <w:t xml:space="preserve"> </w:t>
      </w:r>
      <w:r>
        <w:rPr>
          <w:iCs/>
          <w:i/>
        </w:rPr>
        <w:t xml:space="preserve">(actual MARA output,</w:t>
      </w:r>
      <w:r>
        <w:rPr>
          <w:iCs/>
          <w:i/>
        </w:rPr>
        <w:t xml:space="preserve"> </w:t>
      </w:r>
      <w:r>
        <w:rPr>
          <w:iCs/>
          <w:i/>
        </w:rPr>
        <w:t xml:space="preserve">k=238/K=288)</w:t>
      </w:r>
    </w:p>
    <w:tbl>
      <w:tblPr>
        <w:tblStyle w:val="Table"/>
        <w:tblW w:type="pct" w:w="5000"/>
        <w:tblLook w:firstRow="1" w:lastRow="0" w:firstColumn="0" w:lastColumn="0" w:noHBand="0" w:noVBand="0" w:val="0020"/>
        <w:jc w:val="start"/>
      </w:tblPr>
      <w:tblGrid>
        <w:gridCol w:w="2282"/>
        <w:gridCol w:w="223"/>
        <w:gridCol w:w="313"/>
        <w:gridCol w:w="805"/>
        <w:gridCol w:w="4295"/>
      </w:tblGrid>
      <w:tr>
        <w:trPr>
          <w:tblHeader w:val="true"/>
        </w:trPr>
        <w:tc>
          <w:tcPr/>
          <w:p>
            <w:pPr>
              <w:pStyle w:val="Compact"/>
              <w:jc w:val="left"/>
            </w:pPr>
            <w:r>
              <w:t xml:space="preserve">Regime</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Note</w:t>
            </w:r>
          </w:p>
        </w:tc>
      </w:tr>
      <w:tr>
        <w:tc>
          <w:tcPr/>
          <w:p>
            <w:pPr>
              <w:pStyle w:val="Compact"/>
              <w:jc w:val="left"/>
            </w:pPr>
            <w:r>
              <w:t xml:space="preserve">I, Advanced-Innovation (SG, HK, KR, JP, UK, US…)</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[0.058, 0.099]</w:t>
            </w:r>
          </w:p>
        </w:tc>
        <w:tc>
          <w:tcPr/>
          <w:p>
            <w:pPr>
              <w:pStyle w:val="Compact"/>
              <w:jc w:val="left"/>
            </w:pPr>
            <w:r>
              <w:t xml:space="preserve">Largest group; broadly consistent with H1</w:t>
            </w:r>
          </w:p>
        </w:tc>
      </w:tr>
      <w:tr>
        <w:tc>
          <w:tcPr/>
          <w:p>
            <w:pPr>
              <w:pStyle w:val="Compact"/>
              <w:jc w:val="left"/>
            </w:pPr>
            <w:r>
              <w:t xml:space="preserve">II, Upper-middle</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ns vs. Group I (b = −0.014,</w:t>
            </w:r>
            <w:r>
              <w:t xml:space="preserve"> </w:t>
            </w:r>
            <w:r>
              <w:rPr>
                <w:iCs/>
                <w:i/>
              </w:rPr>
              <w:t xml:space="preserve">p</w:t>
            </w:r>
            <w:r>
              <w:t xml:space="preserve"> </w:t>
            </w:r>
            <w:r>
              <w:t xml:space="preserve">= .581)</w:t>
            </w:r>
          </w:p>
        </w:tc>
      </w:tr>
      <w:tr>
        <w:tc>
          <w:tcPr/>
          <w:p>
            <w:pPr>
              <w:pStyle w:val="Compact"/>
              <w:jc w:val="left"/>
            </w:pPr>
            <w:r>
              <w:t xml:space="preserve">III, Emerging (VN, IN, CN, PH…)</w:t>
            </w:r>
          </w:p>
        </w:tc>
        <w:tc>
          <w:tcPr/>
          <w:p>
            <w:pPr>
              <w:pStyle w:val="Compact"/>
              <w:jc w:val="left"/>
            </w:pPr>
            <w:r>
              <w:t xml:space="preserve">91</w:t>
            </w:r>
          </w:p>
        </w:tc>
        <w:tc>
          <w:tcPr/>
          <w:p>
            <w:pPr>
              <w:pStyle w:val="Compact"/>
              <w:jc w:val="left"/>
            </w:pPr>
            <w:r>
              <w:t xml:space="preserve">0.068</w:t>
            </w:r>
          </w:p>
        </w:tc>
        <w:tc>
          <w:tcPr/>
          <w:p>
            <w:pPr>
              <w:pStyle w:val="Compact"/>
              <w:jc w:val="left"/>
            </w:pPr>
            <w:r>
              <w:t xml:space="preserve">[0.044, 0.092]</w:t>
            </w:r>
          </w:p>
        </w:tc>
        <w:tc>
          <w:tcPr/>
          <w:p>
            <w:pPr>
              <w:pStyle w:val="Compact"/>
              <w:jc w:val="left"/>
            </w:pPr>
            <w:r>
              <w:t xml:space="preserve">ns vs. Group I (b = −0.011,</w:t>
            </w:r>
            <w:r>
              <w:t xml:space="preserve"> </w:t>
            </w:r>
            <w:r>
              <w:rPr>
                <w:iCs/>
                <w:i/>
              </w:rPr>
              <w:t xml:space="preserve">p</w:t>
            </w:r>
            <w:r>
              <w:t xml:space="preserve"> </w:t>
            </w:r>
            <w:r>
              <w:t xml:space="preserve">= .502)</w:t>
            </w:r>
          </w:p>
        </w:tc>
      </w:tr>
      <w:tr>
        <w:tc>
          <w:tcPr/>
          <w:p>
            <w:pPr>
              <w:pStyle w:val="Compact"/>
              <w:jc w:val="left"/>
            </w:pPr>
            <w:r>
              <w:t xml:space="preserve">FR, Frontier</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[0.217, 0.468]</w:t>
            </w:r>
          </w:p>
        </w:tc>
        <w:tc>
          <w:tcPr/>
          <w:p>
            <w:pPr>
              <w:pStyle w:val="Compact"/>
              <w:jc w:val="left"/>
            </w:pPr>
            <w:r>
              <w:t xml:space="preserve">⚠️</w:t>
            </w:r>
            <w:r>
              <w:t xml:space="preserve"> </w:t>
            </w:r>
            <w:r>
              <w:rPr>
                <w:iCs/>
                <w:i/>
              </w:rPr>
              <w:t xml:space="preserve">k</w:t>
            </w:r>
            <w:r>
              <w:t xml:space="preserve"> </w:t>
            </w:r>
            <w:r>
              <w:t xml:space="preserve">= 3 only; estimate unreliable (one outlier: Pouresmaeili et al.,</w:t>
            </w:r>
            <w:r>
              <w:t xml:space="preserve"> </w:t>
            </w:r>
            <w:r>
              <w:rPr>
                <w:iCs/>
                <w:i/>
              </w:rPr>
              <w:t xml:space="preserve">r</w:t>
            </w:r>
            <w:r>
              <w:t xml:space="preserve"> </w:t>
            </w:r>
            <w:r>
              <w:t xml:space="preserve">= 0.69,</w:t>
            </w:r>
            <w:r>
              <w:t xml:space="preserve"> </w:t>
            </w:r>
            <w:r>
              <w:rPr>
                <w:iCs/>
                <w:i/>
              </w:rPr>
              <w:t xml:space="preserve">n</w:t>
            </w:r>
            <w:r>
              <w:t xml:space="preserve"> </w:t>
            </w:r>
            <w:r>
              <w:t xml:space="preserve">= 226)</w:t>
            </w:r>
          </w:p>
        </w:tc>
      </w:tr>
      <w:tr>
        <w:tc>
          <w:tcPr/>
          <w:p>
            <w:pPr>
              <w:pStyle w:val="Compact"/>
              <w:jc w:val="left"/>
            </w:pPr>
            <w:r>
              <w:t xml:space="preserve">MX, Multi-country / Mixed</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ns vs. Group I (b = −0.026,</w:t>
            </w:r>
            <w:r>
              <w:t xml:space="preserve"> </w:t>
            </w:r>
            <w:r>
              <w:rPr>
                <w:iCs/>
                <w:i/>
              </w:rPr>
              <w:t xml:space="preserve">p</w:t>
            </w:r>
            <w:r>
              <w:t xml:space="preserve"> </w:t>
            </w:r>
            <w:r>
              <w:t xml:space="preserve">= .269)</w:t>
            </w:r>
          </w:p>
        </w:tc>
      </w:tr>
    </w:tbl>
    <w:p>
      <w:pPr>
        <w:pStyle w:val="BodyText"/>
      </w:pPr>
      <w:r>
        <w:t xml:space="preserve">Figure 2: ICRV 5-regime forest plot, subgroup pooled effects with 95%</w:t>
      </w:r>
      <w:r>
        <w:t xml:space="preserve"> </w:t>
      </w:r>
      <w:r>
        <w:t xml:space="preserve">CI</w:t>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per coded</w:t>
      </w:r>
      <w:r>
        <w:t xml:space="preserve"> </w:t>
      </w:r>
      <w:r>
        <w:t xml:space="preserve">institutional regime.</w:t>
      </w:r>
    </w:p>
    <w:p>
      <w:pPr>
        <w:pStyle w:val="BodyText"/>
      </w:pPr>
      <w:r>
        <w:t xml:space="preserve">The</w:t>
      </w:r>
      <w:r>
        <w:t xml:space="preserve"> </w:t>
      </w:r>
      <w:r>
        <w:rPr>
          <w:iCs/>
          <w:i/>
        </w:rPr>
        <w:t xml:space="preserve">Q</w:t>
      </w:r>
      <w:r>
        <w:t xml:space="preserve">_M = 17.35 is statistically significant (</w:t>
      </w:r>
      <w:r>
        <w:rPr>
          <w:iCs/>
          <w:i/>
        </w:rPr>
        <w:t xml:space="preserve">p</w:t>
      </w:r>
      <w:r>
        <w:t xml:space="preserve"> </w:t>
      </w:r>
      <w:r>
        <w:t xml:space="preserve">= .002) but the</w:t>
      </w:r>
      <w:r>
        <w:t xml:space="preserve"> </w:t>
      </w:r>
      <w:r>
        <w:t xml:space="preserve">between-group pattern does not confirm the hypothesized monotone</w:t>
      </w:r>
      <w:r>
        <w:t xml:space="preserve"> </w:t>
      </w:r>
      <w:r>
        <w:t xml:space="preserve">gradient (I &gt; II &gt; III &gt; Frontier). Pairwise contrasts against Group</w:t>
      </w:r>
      <w:r>
        <w:t xml:space="preserve"> </w:t>
      </w:r>
      <w:r>
        <w:t xml:space="preserve">I (intercept) reveal that Group II (</w:t>
      </w:r>
      <w:r>
        <w:rPr>
          <w:iCs/>
          <w:i/>
        </w:rPr>
        <w:t xml:space="preserve">p</w:t>
      </w:r>
      <w:r>
        <w:t xml:space="preserve"> </w:t>
      </w:r>
      <w:r>
        <w:t xml:space="preserve">= .581), Group III (</w:t>
      </w:r>
      <w:r>
        <w:rPr>
          <w:iCs/>
          <w:i/>
        </w:rPr>
        <w:t xml:space="preserve">p</w:t>
      </w:r>
      <w:r>
        <w:t xml:space="preserve"> </w:t>
      </w:r>
      <w:r>
        <w:t xml:space="preserve">= .502),</w:t>
      </w:r>
      <w:r>
        <w:t xml:space="preserve"> </w:t>
      </w:r>
      <w:r>
        <w:t xml:space="preserve">and MX (</w:t>
      </w:r>
      <w:r>
        <w:rPr>
          <w:iCs/>
          <w:i/>
        </w:rPr>
        <w:t xml:space="preserve">p</w:t>
      </w:r>
      <w:r>
        <w:t xml:space="preserve"> </w:t>
      </w:r>
      <w:r>
        <w:t xml:space="preserve">= .269) do not differ significantly from Advanced-Innovation</w:t>
      </w:r>
      <w:r>
        <w:t xml:space="preserve"> </w:t>
      </w:r>
      <w:r>
        <w:t xml:space="preserve">contexts. The only significant contrast is Group I vs. Frontier (b =</w:t>
      </w:r>
      <w:r>
        <w:t xml:space="preserve"> </w:t>
      </w:r>
      <w:r>
        <w:t xml:space="preserve">+0.285,</w:t>
      </w:r>
      <w:r>
        <w:t xml:space="preserve"> </w:t>
      </w:r>
      <w:r>
        <w:rPr>
          <w:iCs/>
          <w:i/>
        </w:rPr>
        <w:t xml:space="preserve">p</w:t>
      </w:r>
      <w:r>
        <w:t xml:space="preserve"> </w:t>
      </w:r>
      <w:r>
        <w:t xml:space="preserve">&lt; .001), driven entirely by the</w:t>
      </w:r>
      <w:r>
        <w:t xml:space="preserve"> </w:t>
      </w:r>
      <w:r>
        <w:rPr>
          <w:iCs/>
          <w:i/>
        </w:rPr>
        <w:t xml:space="preserve">k</w:t>
      </w:r>
      <w:r>
        <w:t xml:space="preserve"> </w:t>
      </w:r>
      <w:r>
        <w:t xml:space="preserve">= 3 Frontier-group</w:t>
      </w:r>
      <w:r>
        <w:t xml:space="preserve"> </w:t>
      </w:r>
      <w:r>
        <w:t xml:space="preserve">estimate, which is dominated by one outlier study (Pouresmaeili et al.,</w:t>
      </w:r>
      <w:r>
        <w:t xml:space="preserve"> </w:t>
      </w:r>
      <w:r>
        <w:t xml:space="preserve">2018,</w:t>
      </w:r>
      <w:r>
        <w:t xml:space="preserve"> </w:t>
      </w:r>
      <w:r>
        <w:rPr>
          <w:iCs/>
          <w:i/>
        </w:rPr>
        <w:t xml:space="preserve">r</w:t>
      </w:r>
      <w:r>
        <w:t xml:space="preserve"> </w:t>
      </w:r>
      <w:r>
        <w:t xml:space="preserve">= 0.69). Excluding the Frontier group, no between-group</w:t>
      </w:r>
      <w:r>
        <w:t xml:space="preserve"> </w:t>
      </w:r>
      <w:r>
        <w:t xml:space="preserve">differences approach significance.</w:t>
      </w:r>
    </w:p>
    <w:p>
      <w:pPr>
        <w:pStyle w:val="BodyText"/>
      </w:pPr>
      <w:r>
        <w:t xml:space="preserve">Group I (k=139, primarily Western MNEs and Asian advanced economies)</w:t>
      </w:r>
      <w:r>
        <w:t xml:space="preserve"> </w:t>
      </w:r>
      <w:r>
        <w:t xml:space="preserve">shows the highest reliable I→P effect (</w:t>
      </w:r>
      <w:r>
        <w:rPr>
          <w:iCs/>
          <w:i/>
        </w:rPr>
        <w:t xml:space="preserve">r̄</w:t>
      </w:r>
      <w:r>
        <w:t xml:space="preserve"> </w:t>
      </w:r>
      <w:r>
        <w:t xml:space="preserve">= 0.079), and Group III</w:t>
      </w:r>
      <w:r>
        <w:t xml:space="preserve"> </w:t>
      </w:r>
      <w:r>
        <w:t xml:space="preserve">(k=91, Emerging) shows</w:t>
      </w:r>
      <w:r>
        <w:t xml:space="preserve"> </w:t>
      </w:r>
      <w:r>
        <w:rPr>
          <w:iCs/>
          <w:i/>
        </w:rPr>
        <w:t xml:space="preserve">r̄</w:t>
      </w:r>
      <w:r>
        <w:t xml:space="preserve"> </w:t>
      </w:r>
      <w:r>
        <w:t xml:space="preserve">= 0.068, a difference of 0.011 that is</w:t>
      </w:r>
      <w:r>
        <w:t xml:space="preserve"> </w:t>
      </w:r>
      <w:r>
        <w:t xml:space="preserve">directionally consistent with CIMT but not statistically significant</w:t>
      </w:r>
      <w:r>
        <w:t xml:space="preserve"> </w:t>
      </w:r>
      <w:r>
        <w:t xml:space="preserve">given within-group heterogeneity. H1 (between-regime heterogeneity</w:t>
      </w:r>
      <w:r>
        <w:t xml:space="preserve"> </w:t>
      </w:r>
      <w:r>
        <w:rPr>
          <w:iCs/>
          <w:i/>
        </w:rPr>
        <w:t xml:space="preserve">Q</w:t>
      </w:r>
      <w:r>
        <w:t xml:space="preserve">_M significant) is confirmed, establishing that I→P effect sizes</w:t>
      </w:r>
      <w:r>
        <w:t xml:space="preserve"> </w:t>
      </w:r>
      <w:r>
        <w:t xml:space="preserve">vary systematically across ICRV regimes. However, E1a’s predicted</w:t>
      </w:r>
      <w:r>
        <w:t xml:space="preserve"> </w:t>
      </w:r>
      <w:r>
        <w:t xml:space="preserve">directional ordering (Advanced &gt; Emerging) and E1b’s predicted Frontier</w:t>
      </w:r>
      <w:r>
        <w:t xml:space="preserve"> </w:t>
      </w:r>
      <w:r>
        <w:t xml:space="preserve">floor are not statistically confirmable at</w:t>
      </w:r>
      <w:r>
        <w:t xml:space="preserve"> </w:t>
      </w:r>
      <w:r>
        <w:rPr>
          <w:iCs/>
          <w:i/>
        </w:rPr>
        <w:t xml:space="preserve">k</w:t>
      </w:r>
      <w:r>
        <w:t xml:space="preserve"> </w:t>
      </w:r>
      <w:r>
        <w:t xml:space="preserve">= 3 Frontier. The</w:t>
      </w:r>
      <w:r>
        <w:t xml:space="preserve"> </w:t>
      </w:r>
      <w:r>
        <w:t xml:space="preserve">gradient-specific propositions require larger</w:t>
      </w:r>
      <w:r>
        <w:t xml:space="preserve"> </w:t>
      </w:r>
      <w:r>
        <w:rPr>
          <w:iCs/>
          <w:i/>
        </w:rPr>
        <w:t xml:space="preserve">k</w:t>
      </w:r>
      <w:r>
        <w:t xml:space="preserve"> </w:t>
      </w:r>
      <w:r>
        <w:t xml:space="preserve">per regime before they</w:t>
      </w:r>
      <w:r>
        <w:t xml:space="preserve"> </w:t>
      </w:r>
      <w:r>
        <w:t xml:space="preserve">can be properly tested.</w:t>
      </w:r>
    </w:p>
    <w:bookmarkEnd w:id="42"/>
    <w:bookmarkStart w:id="43" w:name="cdai-moderation-h3"/>
    <w:p>
      <w:pPr>
        <w:pStyle w:val="Heading3"/>
      </w:pPr>
      <w:r>
        <w:t xml:space="preserve">4.4 cDAI Moderation (H3)</w:t>
      </w:r>
    </w:p>
    <w:p>
      <w:pPr>
        <w:pStyle w:val="FirstParagraph"/>
      </w:pPr>
      <w:r>
        <w:rPr>
          <w:iCs/>
          <w:i/>
        </w:rPr>
        <w:t xml:space="preserve">Q</w:t>
      </w:r>
      <w:r>
        <w:t xml:space="preserve">_M(cDAI) = 1.34 (</w:t>
      </w:r>
      <w:r>
        <w:rPr>
          <w:iCs/>
          <w:i/>
        </w:rPr>
        <w:t xml:space="preserve">df</w:t>
      </w:r>
      <w:r>
        <w:t xml:space="preserve"> </w:t>
      </w:r>
      <w:r>
        <w:t xml:space="preserve">= 2,</w:t>
      </w:r>
      <w:r>
        <w:t xml:space="preserve"> </w:t>
      </w:r>
      <w:r>
        <w:rPr>
          <w:iCs/>
          <w:i/>
        </w:rPr>
        <w:t xml:space="preserve">p</w:t>
      </w:r>
      <w:r>
        <w:t xml:space="preserve"> </w:t>
      </w:r>
      <w:r>
        <w:t xml:space="preserve">= .513). H3</w:t>
      </w:r>
      <w:r>
        <w:t xml:space="preserve"> </w:t>
      </w:r>
      <w:r>
        <w:rPr>
          <w:bCs/>
          <w:b/>
        </w:rPr>
        <w:t xml:space="preserve">not supported</w:t>
      </w:r>
      <w:r>
        <w:t xml:space="preserve">.</w:t>
      </w:r>
    </w:p>
    <w:p>
      <w:pPr>
        <w:pStyle w:val="BodyText"/>
      </w:pPr>
      <w:r>
        <w:t xml:space="preserve">Meta-regression with continuous cDAI score: β_cDAI = +0.003 (</w:t>
      </w:r>
      <w:r>
        <w:rPr>
          <w:iCs/>
          <w:i/>
        </w:rPr>
        <w:t xml:space="preserve">SE</w:t>
      </w:r>
      <w:r>
        <w:t xml:space="preserve"> </w:t>
      </w:r>
      <w:r>
        <w:t xml:space="preserve">=</w:t>
      </w:r>
      <w:r>
        <w:t xml:space="preserve"> </w:t>
      </w:r>
      <w:r>
        <w:t xml:space="preserve">0.010,</w:t>
      </w:r>
      <w:r>
        <w:t xml:space="preserve"> </w:t>
      </w:r>
      <w:r>
        <w:rPr>
          <w:iCs/>
          <w:i/>
        </w:rPr>
        <w:t xml:space="preserve">p</w:t>
      </w:r>
      <w:r>
        <w:t xml:space="preserve"> </w:t>
      </w:r>
      <w:r>
        <w:t xml:space="preserve">= .744). Neither the categorical between-group test nor the</w:t>
      </w:r>
      <w:r>
        <w:t xml:space="preserve"> </w:t>
      </w:r>
      <w:r>
        <w:t xml:space="preserve">continuous linear trend shows significant cDAI moderation.</w:t>
      </w:r>
    </w:p>
    <w:p>
      <w:pPr>
        <w:pStyle w:val="BodyText"/>
      </w:pPr>
      <w:r>
        <w:rPr>
          <w:bCs/>
          <w:b/>
        </w:rPr>
        <w:t xml:space="preserve">Table 4.2, cDAI subgroup</w:t>
      </w:r>
      <w:r>
        <w:t xml:space="preserve"> </w:t>
      </w:r>
      <w:r>
        <w:rPr>
          <w:iCs/>
          <w:i/>
        </w:rPr>
        <w:t xml:space="preserve">(actual MARA output)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cDAI Group</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Low</w:t>
            </w:r>
          </w:p>
        </w:tc>
      </w:tr>
      <w:tr>
        <w:tc>
          <w:tcPr/>
          <w:p>
            <w:pPr>
              <w:pStyle w:val="Compact"/>
              <w:jc w:val="left"/>
            </w:pPr>
            <w:r>
              <w:t xml:space="preserve">Low</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c>
          <w:tcPr/>
          <w:p>
            <w:pPr>
              <w:pStyle w:val="Compact"/>
              <w:jc w:val="left"/>
            </w:pPr>
            <w:r>
              <w:t xml:space="preserve">,</w:t>
            </w:r>
          </w:p>
        </w:tc>
      </w:tr>
      <w:tr>
        <w:tc>
          <w:tcPr/>
          <w:p>
            <w:pPr>
              <w:pStyle w:val="Compact"/>
              <w:jc w:val="left"/>
            </w:pPr>
            <w:r>
              <w:t xml:space="preserve">Medium</w:t>
            </w:r>
          </w:p>
        </w:tc>
        <w:tc>
          <w:tcPr/>
          <w:p>
            <w:pPr>
              <w:pStyle w:val="Compact"/>
              <w:jc w:val="left"/>
            </w:pPr>
            <w:r>
              <w:t xml:space="preserve">76</w:t>
            </w:r>
          </w:p>
        </w:tc>
        <w:tc>
          <w:tcPr/>
          <w:p>
            <w:pPr>
              <w:pStyle w:val="Compact"/>
              <w:jc w:val="left"/>
            </w:pPr>
            <w:r>
              <w:t xml:space="preserve">0.063</w:t>
            </w:r>
          </w:p>
        </w:tc>
        <w:tc>
          <w:tcPr/>
          <w:p>
            <w:pPr>
              <w:pStyle w:val="Compact"/>
              <w:jc w:val="left"/>
            </w:pPr>
            <w:r>
              <w:t xml:space="preserve">[0.036, 0.090]</w:t>
            </w:r>
          </w:p>
        </w:tc>
        <w:tc>
          <w:tcPr/>
          <w:p>
            <w:pPr>
              <w:pStyle w:val="Compact"/>
              <w:jc w:val="left"/>
            </w:pPr>
            <w:r>
              <w:t xml:space="preserve">b = −0.012,</w:t>
            </w:r>
            <w:r>
              <w:t xml:space="preserve"> </w:t>
            </w:r>
            <w:r>
              <w:rPr>
                <w:iCs/>
                <w:i/>
              </w:rPr>
              <w:t xml:space="preserve">p</w:t>
            </w:r>
            <w:r>
              <w:t xml:space="preserve"> </w:t>
            </w:r>
            <w:r>
              <w:t xml:space="preserve">= .489</w:t>
            </w:r>
          </w:p>
        </w:tc>
      </w:tr>
      <w:tr>
        <w:tc>
          <w:tcPr/>
          <w:p>
            <w:pPr>
              <w:pStyle w:val="Compact"/>
              <w:jc w:val="left"/>
            </w:pPr>
            <w:r>
              <w:t xml:space="preserve">High</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c>
          <w:tcPr/>
          <w:p>
            <w:pPr>
              <w:pStyle w:val="Compact"/>
              <w:jc w:val="left"/>
            </w:pPr>
            <w:r>
              <w:t xml:space="preserve">b = +0.016,</w:t>
            </w:r>
            <w:r>
              <w:t xml:space="preserve"> </w:t>
            </w:r>
            <w:r>
              <w:rPr>
                <w:iCs/>
                <w:i/>
              </w:rPr>
              <w:t xml:space="preserve">p</w:t>
            </w:r>
            <w:r>
              <w:t xml:space="preserve"> </w:t>
            </w:r>
            <w:r>
              <w:t xml:space="preserve">= .469</w:t>
            </w:r>
          </w:p>
        </w:tc>
      </w:tr>
    </w:tbl>
    <w:p>
      <w:pPr>
        <w:pStyle w:val="BodyText"/>
      </w:pPr>
      <w:r>
        <w:t xml:space="preserve">The three cDAI subgroup means are all significantly positive (</w:t>
      </w:r>
      <w:r>
        <w:rPr>
          <w:iCs/>
          <w:i/>
        </w:rPr>
        <w:t xml:space="preserve">p</w:t>
      </w:r>
      <w:r>
        <w:t xml:space="preserve"> </w:t>
      </w:r>
      <w:r>
        <w:t xml:space="preserve">&lt;</w:t>
      </w:r>
      <w:r>
        <w:t xml:space="preserve"> </w:t>
      </w:r>
      <w:r>
        <w:t xml:space="preserve">.001) but do not differ significantly from each other. The non-monotone</w:t>
      </w:r>
      <w:r>
        <w:t xml:space="preserve"> </w:t>
      </w:r>
      <w:r>
        <w:t xml:space="preserve">ordering (Low &gt; Medium &lt; High) and small, non-significant contrasts</w:t>
      </w:r>
      <w:r>
        <w:t xml:space="preserve"> </w:t>
      </w:r>
      <w:r>
        <w:t xml:space="preserve">fail to support the predicted positive linear gradient. The cDAI × DPL</w:t>
      </w:r>
      <w:r>
        <w:t xml:space="preserve"> </w:t>
      </w:r>
      <w:r>
        <w:t xml:space="preserve">interaction cannot be reliably estimated in the current sample given the</w:t>
      </w:r>
      <w:r>
        <w:t xml:space="preserve"> </w:t>
      </w:r>
      <w:r>
        <w:t xml:space="preserve">non-significant main moderation. H3 is not supported: country-level</w:t>
      </w:r>
      <w:r>
        <w:t xml:space="preserve"> </w:t>
      </w:r>
      <w:r>
        <w:t xml:space="preserve">digital adoption (cDAI, measured via World Bank DAI / ITU Digital</w:t>
      </w:r>
      <w:r>
        <w:t xml:space="preserve"> </w:t>
      </w:r>
      <w:r>
        <w:t xml:space="preserve">Development Index) does not significantly amplify the pooled I→P effect</w:t>
      </w:r>
      <w:r>
        <w:t xml:space="preserve"> </w:t>
      </w:r>
      <w:r>
        <w:t xml:space="preserve">in this</w:t>
      </w:r>
      <w:r>
        <w:t xml:space="preserve"> </w:t>
      </w:r>
      <w:r>
        <w:rPr>
          <w:iCs/>
          <w:i/>
        </w:rPr>
        <w:t xml:space="preserve">k</w:t>
      </w:r>
      <w:r>
        <w:t xml:space="preserve"> </w:t>
      </w:r>
      <w:r>
        <w:t xml:space="preserve">= 238 sample. A larger sample with better resolution across</w:t>
      </w:r>
      <w:r>
        <w:t xml:space="preserve"> </w:t>
      </w:r>
      <w:r>
        <w:t xml:space="preserve">the cDAI spectrum is required to test the cDAI amplification (H3) gradient hypothesis.</w:t>
      </w:r>
    </w:p>
    <w:bookmarkEnd w:id="43"/>
    <w:bookmarkStart w:id="44" w:name="dpl-phase-moderation-h2"/>
    <w:p>
      <w:pPr>
        <w:pStyle w:val="Heading3"/>
      </w:pPr>
      <w:r>
        <w:t xml:space="preserve">4.5 DPL Phase Moderation (H2)</w:t>
      </w:r>
    </w:p>
    <w:p>
      <w:pPr>
        <w:pStyle w:val="FirstParagraph"/>
      </w:pPr>
      <w:r>
        <w:rPr>
          <w:iCs/>
          <w:i/>
        </w:rPr>
        <w:t xml:space="preserve">Q</w:t>
      </w:r>
      <w:r>
        <w:t xml:space="preserve">_M(DPL) = 0.62 (</w:t>
      </w:r>
      <w:r>
        <w:rPr>
          <w:iCs/>
          <w:i/>
        </w:rPr>
        <w:t xml:space="preserve">df</w:t>
      </w:r>
      <w:r>
        <w:t xml:space="preserve"> </w:t>
      </w:r>
      <w:r>
        <w:t xml:space="preserve">= 2,</w:t>
      </w:r>
      <w:r>
        <w:t xml:space="preserve"> </w:t>
      </w:r>
      <w:r>
        <w:rPr>
          <w:iCs/>
          <w:i/>
        </w:rPr>
        <w:t xml:space="preserve">p</w:t>
      </w:r>
      <w:r>
        <w:t xml:space="preserve"> </w:t>
      </w:r>
      <w:r>
        <w:t xml:space="preserve">= .734). H2</w:t>
      </w:r>
      <w:r>
        <w:t xml:space="preserve"> </w:t>
      </w:r>
      <w:r>
        <w:rPr>
          <w:bCs/>
          <w:b/>
        </w:rPr>
        <w:t xml:space="preserve">not supported</w:t>
      </w:r>
      <w:r>
        <w:t xml:space="preserve">.</w:t>
      </w:r>
    </w:p>
    <w:p>
      <w:pPr>
        <w:pStyle w:val="BodyText"/>
      </w:pPr>
      <w:r>
        <w:rPr>
          <w:bCs/>
          <w:b/>
        </w:rPr>
        <w:t xml:space="preserve">Table 4.3, DPL phase subgroup</w:t>
      </w:r>
      <w:r>
        <w:t xml:space="preserve"> </w:t>
      </w:r>
      <w:r>
        <w:rPr>
          <w:iCs/>
          <w:i/>
        </w:rPr>
        <w:t xml:space="preserve">(actual MARA output)</w:t>
      </w:r>
    </w:p>
    <w:tbl>
      <w:tblPr>
        <w:tblStyle w:val="Table"/>
        <w:tblW w:type="pct" w:w="5000"/>
        <w:tblLook w:firstRow="1" w:lastRow="0" w:firstColumn="0" w:lastColumn="0" w:noHBand="0" w:noVBand="0" w:val="0020"/>
        <w:jc w:val="start"/>
      </w:tblPr>
      <w:tblGrid>
        <w:gridCol w:w="1120"/>
        <w:gridCol w:w="2764"/>
        <w:gridCol w:w="373"/>
        <w:gridCol w:w="523"/>
        <w:gridCol w:w="1344"/>
        <w:gridCol w:w="1793"/>
      </w:tblGrid>
      <w:tr>
        <w:trPr>
          <w:tblHeader w:val="true"/>
        </w:trPr>
        <w:tc>
          <w:tcPr/>
          <w:p>
            <w:pPr>
              <w:pStyle w:val="Compact"/>
              <w:jc w:val="left"/>
            </w:pPr>
            <w:r>
              <w:t xml:space="preserve">DPL Phase</w:t>
            </w:r>
          </w:p>
        </w:tc>
        <w:tc>
          <w:tcPr/>
          <w:p>
            <w:pPr>
              <w:pStyle w:val="Compact"/>
              <w:jc w:val="left"/>
            </w:pPr>
            <w:r>
              <w:t xml:space="preserve">Definition</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PRE</w:t>
            </w:r>
          </w:p>
        </w:tc>
      </w:tr>
      <w:tr>
        <w:tc>
          <w:tcPr/>
          <w:p>
            <w:pPr>
              <w:pStyle w:val="Compact"/>
              <w:jc w:val="left"/>
            </w:pPr>
            <w:r>
              <w:t xml:space="preserve">Precede (PRE)</w:t>
            </w:r>
          </w:p>
        </w:tc>
        <w:tc>
          <w:tcPr/>
          <w:p>
            <w:pPr>
              <w:pStyle w:val="Compact"/>
              <w:jc w:val="left"/>
            </w:pPr>
            <w:r>
              <w:t xml:space="preserve">Sample data predominantly pre-2009</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c>
          <w:tcPr/>
          <w:p>
            <w:pPr>
              <w:pStyle w:val="Compact"/>
              <w:jc w:val="left"/>
            </w:pPr>
            <w:r>
              <w:t xml:space="preserve">,</w:t>
            </w:r>
          </w:p>
        </w:tc>
      </w:tr>
      <w:tr>
        <w:tc>
          <w:tcPr/>
          <w:p>
            <w:pPr>
              <w:pStyle w:val="Compact"/>
              <w:jc w:val="left"/>
            </w:pPr>
            <w:r>
              <w:t xml:space="preserve">Span (SPN)</w:t>
            </w:r>
          </w:p>
        </w:tc>
        <w:tc>
          <w:tcPr/>
          <w:p>
            <w:pPr>
              <w:pStyle w:val="Compact"/>
              <w:jc w:val="left"/>
            </w:pPr>
            <w:r>
              <w:t xml:space="preserve">Sample spans the 2009 inflection</w:t>
            </w:r>
          </w:p>
        </w:tc>
        <w:tc>
          <w:tcPr/>
          <w:p>
            <w:pPr>
              <w:pStyle w:val="Compact"/>
              <w:jc w:val="left"/>
            </w:pPr>
            <w:r>
              <w:t xml:space="preserve">108</w:t>
            </w:r>
          </w:p>
        </w:tc>
        <w:tc>
          <w:tcPr/>
          <w:p>
            <w:pPr>
              <w:pStyle w:val="Compact"/>
              <w:jc w:val="left"/>
            </w:pPr>
            <w:r>
              <w:t xml:space="preserve">0.068</w:t>
            </w:r>
          </w:p>
        </w:tc>
        <w:tc>
          <w:tcPr/>
          <w:p>
            <w:pPr>
              <w:pStyle w:val="Compact"/>
              <w:jc w:val="left"/>
            </w:pPr>
            <w:r>
              <w:t xml:space="preserve">[0.045, 0.091]</w:t>
            </w:r>
          </w:p>
        </w:tc>
        <w:tc>
          <w:tcPr/>
          <w:p>
            <w:pPr>
              <w:pStyle w:val="Compact"/>
              <w:jc w:val="left"/>
            </w:pPr>
            <w:r>
              <w:t xml:space="preserve">b = −0.014,</w:t>
            </w:r>
            <w:r>
              <w:t xml:space="preserve"> </w:t>
            </w:r>
            <w:r>
              <w:rPr>
                <w:iCs/>
                <w:i/>
              </w:rPr>
              <w:t xml:space="preserve">p</w:t>
            </w:r>
            <w:r>
              <w:t xml:space="preserve"> </w:t>
            </w:r>
            <w:r>
              <w:t xml:space="preserve">= .434</w:t>
            </w:r>
          </w:p>
        </w:tc>
      </w:tr>
      <w:tr>
        <w:tc>
          <w:tcPr/>
          <w:p>
            <w:pPr>
              <w:pStyle w:val="Compact"/>
              <w:jc w:val="left"/>
            </w:pPr>
            <w:r>
              <w:t xml:space="preserve">Follow (FOL)</w:t>
            </w:r>
          </w:p>
        </w:tc>
        <w:tc>
          <w:tcPr/>
          <w:p>
            <w:pPr>
              <w:pStyle w:val="Compact"/>
              <w:jc w:val="left"/>
            </w:pPr>
            <w:r>
              <w:t xml:space="preserve">Sample data predominantly post-2014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c>
          <w:tcPr/>
          <w:p>
            <w:pPr>
              <w:pStyle w:val="Compact"/>
              <w:jc w:val="left"/>
            </w:pPr>
            <w:r>
              <w:t xml:space="preserve">b = −0.009,</w:t>
            </w:r>
            <w:r>
              <w:t xml:space="preserve"> </w:t>
            </w:r>
            <w:r>
              <w:rPr>
                <w:iCs/>
                <w:i/>
              </w:rPr>
              <w:t xml:space="preserve">p</w:t>
            </w:r>
            <w:r>
              <w:t xml:space="preserve"> </w:t>
            </w:r>
            <w:r>
              <w:t xml:space="preserve">= .645</w:t>
            </w:r>
          </w:p>
        </w:tc>
      </w:tr>
    </w:tbl>
    <w:p>
      <w:pPr>
        <w:pStyle w:val="BodyText"/>
      </w:pPr>
      <w:r>
        <w:t xml:space="preserve">Pairwise comparisons: PRE vs. FOL (</w:t>
      </w:r>
      <w:r>
        <w:rPr>
          <w:iCs/>
          <w:i/>
        </w:rPr>
        <w:t xml:space="preserve">z</w:t>
      </w:r>
      <w:r>
        <w:t xml:space="preserve"> </w:t>
      </w:r>
      <w:r>
        <w:t xml:space="preserve">= 0.46,</w:t>
      </w:r>
      <w:r>
        <w:t xml:space="preserve"> </w:t>
      </w:r>
      <w:r>
        <w:rPr>
          <w:iCs/>
          <w:i/>
        </w:rPr>
        <w:t xml:space="preserve">p</w:t>
      </w:r>
      <w:r>
        <w:t xml:space="preserve"> </w:t>
      </w:r>
      <w:r>
        <w:t xml:space="preserve">= .645); PRE vs. SPN</w:t>
      </w:r>
      <w:r>
        <w:t xml:space="preserve"> </w:t>
      </w:r>
      <w:r>
        <w:t xml:space="preserve">(</w:t>
      </w:r>
      <w:r>
        <w:rPr>
          <w:iCs/>
          <w:i/>
        </w:rPr>
        <w:t xml:space="preserve">z</w:t>
      </w:r>
      <w:r>
        <w:t xml:space="preserve"> </w:t>
      </w:r>
      <w:r>
        <w:t xml:space="preserve">= 0.78,</w:t>
      </w:r>
      <w:r>
        <w:t xml:space="preserve"> </w:t>
      </w:r>
      <w:r>
        <w:rPr>
          <w:iCs/>
          <w:i/>
        </w:rPr>
        <w:t xml:space="preserve">p</w:t>
      </w:r>
      <w:r>
        <w:t xml:space="preserve"> </w:t>
      </w:r>
      <w:r>
        <w:t xml:space="preserve">= .434); FOL vs. SPN (</w:t>
      </w:r>
      <w:r>
        <w:rPr>
          <w:iCs/>
          <w:i/>
        </w:rPr>
        <w:t xml:space="preserve">z</w:t>
      </w:r>
      <w:r>
        <w:t xml:space="preserve"> </w:t>
      </w:r>
      <w:r>
        <w:t xml:space="preserve">= 0.28,</w:t>
      </w:r>
      <w:r>
        <w:t xml:space="preserve"> </w:t>
      </w:r>
      <w:r>
        <w:rPr>
          <w:iCs/>
          <w:i/>
        </w:rPr>
        <w:t xml:space="preserve">p</w:t>
      </w:r>
      <w:r>
        <w:t xml:space="preserve"> </w:t>
      </w:r>
      <w:r>
        <w:t xml:space="preserve">= .782). No</w:t>
      </w:r>
      <w:r>
        <w:t xml:space="preserve"> </w:t>
      </w:r>
      <w:r>
        <w:t xml:space="preserve">pairwise difference approaches significance.</w:t>
      </w:r>
    </w:p>
    <w:p>
      <w:pPr>
        <w:pStyle w:val="BodyText"/>
      </w:pPr>
      <w:r>
        <w:t xml:space="preserve">The ordering (PRE &gt; FOL &gt; SPN) is opposite to H2’s prediction (FOL &gt;</w:t>
      </w:r>
      <w:r>
        <w:t xml:space="preserve"> </w:t>
      </w:r>
      <w:r>
        <w:t xml:space="preserve">SPN &gt; PRE). However, the between-group differences are negligible and</w:t>
      </w:r>
      <w:r>
        <w:t xml:space="preserve"> </w:t>
      </w:r>
      <w:r>
        <w:t xml:space="preserve">non-significant, so this pattern should not be over-interpreted. The</w:t>
      </w:r>
      <w:r>
        <w:t xml:space="preserve"> </w:t>
      </w:r>
      <w:r>
        <w:t xml:space="preserve">null DPL result may reflect that the</w:t>
      </w:r>
      <w:r>
        <w:t xml:space="preserve"> </w:t>
      </w:r>
      <w:r>
        <w:rPr>
          <w:iCs/>
          <w:i/>
        </w:rPr>
        <w:t xml:space="preserve">k</w:t>
      </w:r>
      <w:r>
        <w:t xml:space="preserve"> </w:t>
      </w:r>
      <w:r>
        <w:t xml:space="preserve">= 238 sample does not have</w:t>
      </w:r>
      <w:r>
        <w:t xml:space="preserve"> </w:t>
      </w:r>
      <w:r>
        <w:t xml:space="preserve">sufficient power to detect small temporal trends, that DPL phase is</w:t>
      </w:r>
      <w:r>
        <w:t xml:space="preserve"> </w:t>
      </w:r>
      <w:r>
        <w:t xml:space="preserve">confounded with ICRV composition (pre-2009 studies concentrated in</w:t>
      </w:r>
      <w:r>
        <w:t xml:space="preserve"> </w:t>
      </w:r>
      <w:r>
        <w:t xml:space="preserve">advanced economies), or that the Digital Paradox Lifecycle inflection</w:t>
      </w:r>
      <w:r>
        <w:t xml:space="preserve"> </w:t>
      </w:r>
      <w:r>
        <w:t xml:space="preserve">does not manifest at meta-analytic resolution with the current sample</w:t>
      </w:r>
      <w:r>
        <w:t xml:space="preserve"> </w:t>
      </w:r>
      <w:r>
        <w:t xml:space="preserve">size. H2 is not supported.</w:t>
      </w:r>
    </w:p>
    <w:p>
      <w:pPr>
        <w:pStyle w:val="BodyText"/>
      </w:pPr>
      <w:r>
        <w:t xml:space="preserve">Figure 3: DPL phase moderation, pooled I→P effect by digital adoption</w:t>
      </w:r>
      <w:r>
        <w:t xml:space="preserve"> </w:t>
      </w:r>
      <w:r>
        <w:t xml:space="preserve">epoch</w:t>
      </w:r>
    </w:p>
    <w:p>
      <w:pPr>
        <w:pStyle w:val="BodyText"/>
      </w:pPr>
      <w:r>
        <w:rPr>
          <w:iCs/>
          <w:i/>
        </w:rPr>
        <w:t xml:space="preserve">Figure 3.</w:t>
      </w:r>
      <w:r>
        <w:t xml:space="preserve"> </w:t>
      </w:r>
      <w:r>
        <w:t xml:space="preserve">DPL phase subgroup results. Pooled effect sizes by Precede /</w:t>
      </w:r>
      <w:r>
        <w:t xml:space="preserve"> </w:t>
      </w:r>
      <w:r>
        <w:t xml:space="preserve">Span / Follow epoch with 95% CI. The between-phase differences are small</w:t>
      </w:r>
      <w:r>
        <w:t xml:space="preserve"> </w:t>
      </w:r>
      <w:r>
        <w:t xml:space="preserve">and non-significant.</w:t>
      </w:r>
    </w:p>
    <w:bookmarkEnd w:id="44"/>
    <w:bookmarkStart w:id="45" w:name="publication-bias-h4"/>
    <w:p>
      <w:pPr>
        <w:pStyle w:val="Heading3"/>
      </w:pPr>
      <w:r>
        <w:t xml:space="preserve">4.6 Publication Bias (H4)</w:t>
      </w:r>
    </w:p>
    <w:p>
      <w:pPr>
        <w:pStyle w:val="FirstParagraph"/>
      </w:pPr>
      <w:r>
        <w:t xml:space="preserve">H4</w:t>
      </w:r>
      <w:r>
        <w:t xml:space="preserve"> </w:t>
      </w:r>
      <w:r>
        <w:rPr>
          <w:bCs/>
          <w:b/>
        </w:rPr>
        <w:t xml:space="preserve">supported</w:t>
      </w:r>
      <w:r>
        <w:t xml:space="preserve">: multiple indicators consistently detect publication</w:t>
      </w:r>
      <w:r>
        <w:t xml:space="preserve"> </w:t>
      </w:r>
      <w:r>
        <w:t xml:space="preserve">bias, though the positive I→P effect survives correction.</w:t>
      </w:r>
    </w:p>
    <w:p>
      <w:pPr>
        <w:pStyle w:val="BodyText"/>
      </w:pPr>
      <w:r>
        <w:rPr>
          <w:bCs/>
          <w:b/>
        </w:rPr>
        <w:t xml:space="preserve">Egger’s regression test</w:t>
      </w:r>
      <w:r>
        <w:t xml:space="preserve"> </w:t>
      </w:r>
      <w:r>
        <w:t xml:space="preserve">(SE as moderator):</w:t>
      </w:r>
      <w:r>
        <w:t xml:space="preserve"> </w:t>
      </w:r>
      <w:r>
        <w:rPr>
          <w:iCs/>
          <w:i/>
        </w:rPr>
        <w:t xml:space="preserve">b</w:t>
      </w:r>
      <w:r>
        <w:t xml:space="preserve"> </w:t>
      </w:r>
      <w:r>
        <w:t xml:space="preserve">= 0.487 (</w:t>
      </w:r>
      <w:r>
        <w:rPr>
          <w:iCs/>
          <w:i/>
        </w:rPr>
        <w:t xml:space="preserve">SE</w:t>
      </w:r>
      <w:r>
        <w:t xml:space="preserve"> </w:t>
      </w:r>
      <w:r>
        <w:t xml:space="preserve">=</w:t>
      </w:r>
      <w:r>
        <w:t xml:space="preserve"> </w:t>
      </w:r>
      <w:r>
        <w:t xml:space="preserve">0.251,</w:t>
      </w:r>
      <w:r>
        <w:t xml:space="preserve"> </w:t>
      </w:r>
      <w:r>
        <w:rPr>
          <w:iCs/>
          <w:i/>
        </w:rPr>
        <w:t xml:space="preserve">p</w:t>
      </w:r>
      <w:r>
        <w:t xml:space="preserve"> </w:t>
      </w:r>
      <w:r>
        <w:t xml:space="preserve">= .052), just above the conventional α = .05 threshold; this</w:t>
      </w:r>
      <w:r>
        <w:t xml:space="preserve"> </w:t>
      </w:r>
      <w:r>
        <w:t xml:space="preserve">criterion does not reach statistical significance, and funnel asymmetry</w:t>
      </w:r>
      <w:r>
        <w:t xml:space="preserve"> </w:t>
      </w:r>
      <w:r>
        <w:t xml:space="preserve">by Egger’s test alone is not confirmed.</w:t>
      </w:r>
    </w:p>
    <w:p>
      <w:pPr>
        <w:pStyle w:val="BodyText"/>
      </w:pPr>
      <w:r>
        <w:rPr>
          <w:bCs/>
          <w:b/>
        </w:rPr>
        <w:t xml:space="preserve">Begg’s rank correlation</w:t>
      </w:r>
      <w:r>
        <w:t xml:space="preserve"> </w:t>
      </w:r>
      <w:r>
        <w:t xml:space="preserve">(Kendall’s τ): τ = −0.132,</w:t>
      </w:r>
      <w:r>
        <w:t xml:space="preserve"> </w:t>
      </w:r>
      <w:r>
        <w:rPr>
          <w:iCs/>
          <w:i/>
        </w:rPr>
        <w:t xml:space="preserve">p</w:t>
      </w:r>
      <w:r>
        <w:t xml:space="preserve"> </w:t>
      </w:r>
      <w:r>
        <w:t xml:space="preserve">= .001</w:t>
      </w:r>
      <w:r>
        <w:t xml:space="preserve"> </w:t>
      </w:r>
      <w:r>
        <w:t xml:space="preserve">significant funnel asymmetry; studies with larger standard errors</w:t>
      </w:r>
      <w:r>
        <w:t xml:space="preserve"> </w:t>
      </w:r>
      <w:r>
        <w:t xml:space="preserve">(smaller</w:t>
      </w:r>
      <w:r>
        <w:t xml:space="preserve"> </w:t>
      </w:r>
      <w:r>
        <w:rPr>
          <w:iCs/>
          <w:i/>
        </w:rPr>
        <w:t xml:space="preserve">n</w:t>
      </w:r>
      <w:r>
        <w:t xml:space="preserve">) report systematically lower effect sizes, consistent with</w:t>
      </w:r>
      <w:r>
        <w:t xml:space="preserve"> </w:t>
      </w:r>
      <w:r>
        <w:t xml:space="preserve">publication bias against null or negative findings.</w:t>
      </w:r>
    </w:p>
    <w:p>
      <w:pPr>
        <w:pStyle w:val="BodyText"/>
      </w:pPr>
      <w:r>
        <w:rPr>
          <w:bCs/>
          <w:b/>
        </w:rPr>
        <w:t xml:space="preserve">Trim-and-fill</w:t>
      </w:r>
      <w:r>
        <w:t xml:space="preserve">: imputes</w:t>
      </w:r>
      <w:r>
        <w:t xml:space="preserve"> </w:t>
      </w:r>
      <w:r>
        <w:rPr>
          <w:iCs/>
          <w:i/>
        </w:rPr>
        <w:t xml:space="preserve">k</w:t>
      </w:r>
      <w:r>
        <w:t xml:space="preserve"> </w:t>
      </w:r>
      <w:r>
        <w:t xml:space="preserve">= 57 missing studies (left side);</w:t>
      </w:r>
      <w:r>
        <w:t xml:space="preserve"> </w:t>
      </w:r>
      <w:r>
        <w:t xml:space="preserve">adjusted pooled</w:t>
      </w:r>
      <w:r>
        <w:t xml:space="preserve"> </w:t>
      </w:r>
      <w:r>
        <w:rPr>
          <w:iCs/>
          <w:i/>
        </w:rPr>
        <w:t xml:space="preserve">r̄</w:t>
      </w:r>
      <w:r>
        <w:t xml:space="preserve"> </w:t>
      </w:r>
      <w:r>
        <w:t xml:space="preserve">= 0.035 (95% CI [0.018, 0.051]), a conservative</w:t>
      </w:r>
      <w:r>
        <w:t xml:space="preserve"> </w:t>
      </w:r>
      <w:r>
        <w:t xml:space="preserve">lower bound. The effect remains positive and significant but is</w:t>
      </w:r>
      <w:r>
        <w:t xml:space="preserve"> </w:t>
      </w:r>
      <w:r>
        <w:t xml:space="preserve">substantially attenuated from the raw estimate (0.074 →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44,782, far exceeding the</w:t>
      </w:r>
      <w:r>
        <w:t xml:space="preserve"> </w:t>
      </w:r>
      <w:r>
        <w:t xml:space="preserve">criterion of 5</w:t>
      </w:r>
      <w:r>
        <w:rPr>
          <w:iCs/>
          <w:i/>
        </w:rPr>
        <w:t xml:space="preserve">k</w:t>
      </w:r>
      <w:r>
        <w:t xml:space="preserve"> </w:t>
      </w:r>
      <w:r>
        <w:t xml:space="preserve">+ 10 = 1,195; even under extreme publication</w:t>
      </w:r>
      <w:r>
        <w:t xml:space="preserve"> </w:t>
      </w:r>
      <w:r>
        <w:t xml:space="preserve">suppression assumptions, a trivially small effect would require 44,782</w:t>
      </w:r>
      <w:r>
        <w:t xml:space="preserve"> </w:t>
      </w:r>
      <w:r>
        <w:t xml:space="preserve">unpublished null studies, implausible.</w:t>
      </w:r>
    </w:p>
    <w:p>
      <w:pPr>
        <w:pStyle w:val="BodyText"/>
      </w:pPr>
      <w:r>
        <w:t xml:space="preserve">The trim-and-fill correction (</w:t>
      </w:r>
      <w:r>
        <w:rPr>
          <w:iCs/>
          <w:i/>
        </w:rPr>
        <w:t xml:space="preserve">k</w:t>
      </w:r>
      <w:r>
        <w:t xml:space="preserve"> </w:t>
      </w:r>
      <w:r>
        <w:t xml:space="preserve">= 57 imputed, adj.</w:t>
      </w:r>
      <w:r>
        <w:t xml:space="preserve"> </w:t>
      </w:r>
      <w:r>
        <w:rPr>
          <w:iCs/>
          <w:i/>
        </w:rPr>
        <w:t xml:space="preserve">r</w:t>
      </w:r>
      <w:r>
        <w:t xml:space="preserve"> </w:t>
      </w:r>
      <w:r>
        <w:t xml:space="preserve">= 0.035) is the</w:t>
      </w:r>
      <w:r>
        <w:t xml:space="preserve"> </w:t>
      </w:r>
      <w:r>
        <w:t xml:space="preserve">most conservative bias-corrected estimate and represents a meaningful</w:t>
      </w:r>
      <w:r>
        <w:t xml:space="preserve"> </w:t>
      </w:r>
      <w:r>
        <w:t xml:space="preserve">reduction from the raw</w:t>
      </w:r>
      <w:r>
        <w:t xml:space="preserve"> </w:t>
      </w:r>
      <w:r>
        <w:rPr>
          <w:iCs/>
          <w:i/>
        </w:rPr>
        <w:t xml:space="preserve">r</w:t>
      </w:r>
      <w:r>
        <w:t xml:space="preserve"> </w:t>
      </w:r>
      <w:r>
        <w:t xml:space="preserve">= 0.074. Together with the substantial</w:t>
      </w:r>
      <w:r>
        <w:t xml:space="preserve"> </w:t>
      </w:r>
      <w:r>
        <w:t xml:space="preserve">unexplained heterogeneity (</w:t>
      </w:r>
      <w:r>
        <w:rPr>
          <w:iCs/>
          <w:i/>
        </w:rPr>
        <w:t xml:space="preserve">I</w:t>
      </w:r>
      <w:r>
        <w:t xml:space="preserve">² = 62.5%) and non-significant moderator</w:t>
      </w:r>
      <w:r>
        <w:t xml:space="preserve"> </w:t>
      </w:r>
      <w:r>
        <w:t xml:space="preserve">tests (§§4.3–4.5), the publication bias evidence suggests that the</w:t>
      </w:r>
      <w:r>
        <w:t xml:space="preserve"> </w:t>
      </w:r>
      <w:r>
        <w:t xml:space="preserve">apparent average I→P effect is upwardly inflated in the published</w:t>
      </w:r>
      <w:r>
        <w:t xml:space="preserve"> </w:t>
      </w:r>
      <w:r>
        <w:t xml:space="preserve">literature. The true population effect may be closer to</w:t>
      </w:r>
      <w:r>
        <w:t xml:space="preserve"> </w:t>
      </w:r>
      <w:r>
        <w:rPr>
          <w:iCs/>
          <w:i/>
        </w:rPr>
        <w:t xml:space="preserve">r</w:t>
      </w:r>
      <w:r>
        <w:t xml:space="preserve"> </w:t>
      </w:r>
      <w:r>
        <w:t xml:space="preserve">≈ 0.035.</w:t>
      </w:r>
    </w:p>
    <w:p>
      <w:pPr>
        <w:pStyle w:val="BodyText"/>
      </w:pPr>
      <w:r>
        <w:t xml:space="preserve">Figure 5: Funnel plot with trim-and-fill imputed studies</w:t>
      </w:r>
    </w:p>
    <w:p>
      <w:pPr>
        <w:pStyle w:val="BodyText"/>
      </w:pPr>
      <w:r>
        <w:rPr>
          <w:iCs/>
          <w:i/>
        </w:rPr>
        <w:t xml:space="preserve">Figure 5.</w:t>
      </w:r>
      <w:r>
        <w:t xml:space="preserve"> </w:t>
      </w:r>
      <w:r>
        <w:t xml:space="preserve">Funnel plot of effect sizes against standard errors. Open</w:t>
      </w:r>
      <w:r>
        <w:t xml:space="preserve"> </w:t>
      </w:r>
      <w:r>
        <w:t xml:space="preserve">circles = original studies; filled circles = trim-and-fill imputed</w:t>
      </w:r>
      <w:r>
        <w:t xml:space="preserve"> </w:t>
      </w:r>
      <w:r>
        <w:t xml:space="preserve">studies (</w:t>
      </w:r>
      <w:r>
        <w:rPr>
          <w:iCs/>
          <w:i/>
        </w:rPr>
        <w:t xml:space="preserve">k</w:t>
      </w:r>
      <w:r>
        <w:t xml:space="preserve"> </w:t>
      </w:r>
      <w:r>
        <w:t xml:space="preserve">= 57). Substantial left-side asymmetry is visible; the</w:t>
      </w:r>
      <w:r>
        <w:t xml:space="preserve"> </w:t>
      </w:r>
      <w:r>
        <w:t xml:space="preserve">adjusted pooled effect is</w:t>
      </w:r>
      <w:r>
        <w:t xml:space="preserve"> </w:t>
      </w:r>
      <w:r>
        <w:rPr>
          <w:iCs/>
          <w:i/>
        </w:rPr>
        <w:t xml:space="preserve">r</w:t>
      </w:r>
      <w:r>
        <w:t xml:space="preserve"> </w:t>
      </w:r>
      <w:r>
        <w:t xml:space="preserve">= 0.035.</w:t>
      </w:r>
    </w:p>
    <w:bookmarkEnd w:id="45"/>
    <w:bookmarkStart w:id="46" w:name="robustness"/>
    <w:p>
      <w:pPr>
        <w:pStyle w:val="Heading3"/>
      </w:pPr>
      <w:r>
        <w:t xml:space="preserve">4.7 Robustness</w:t>
      </w:r>
    </w:p>
    <w:tbl>
      <w:tblPr>
        <w:tblStyle w:val="Table"/>
        <w:tblW w:type="pct" w:w="5000"/>
        <w:tblLook w:firstRow="1" w:lastRow="0" w:firstColumn="0" w:lastColumn="0" w:noHBand="0" w:noVBand="0" w:val="0020"/>
        <w:jc w:val="start"/>
      </w:tblPr>
      <w:tblGrid>
        <w:gridCol w:w="2854"/>
        <w:gridCol w:w="356"/>
        <w:gridCol w:w="1284"/>
        <w:gridCol w:w="1284"/>
        <w:gridCol w:w="2140"/>
      </w:tblGrid>
      <w:tr>
        <w:trPr>
          <w:tblHeader w:val="true"/>
        </w:trPr>
        <w:tc>
          <w:tcPr/>
          <w:p>
            <w:pPr>
              <w:pStyle w:val="Compact"/>
              <w:jc w:val="left"/>
            </w:pPr>
            <w:r>
              <w:t xml:space="preserve">Check</w:t>
            </w:r>
          </w:p>
        </w:tc>
        <w:tc>
          <w:tcPr/>
          <w:p>
            <w:pPr>
              <w:pStyle w:val="Compact"/>
              <w:jc w:val="left"/>
            </w:pPr>
            <w: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Note</w:t>
            </w:r>
          </w:p>
        </w:tc>
      </w:tr>
      <w:tr>
        <w:tc>
          <w:tcPr/>
          <w:p>
            <w:pPr>
              <w:pStyle w:val="Compact"/>
              <w:jc w:val="left"/>
            </w:pPr>
            <w:r>
              <w:t xml:space="preserve">Main analysis</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w:t>
            </w:r>
            <w:r>
              <w:t xml:space="preserve"> </w:t>
            </w:r>
            <w:r>
              <w:rPr>
                <w:iCs/>
                <w:i/>
              </w:rPr>
              <w:t xml:space="preserve">r</w:t>
            </w:r>
            <w:r>
              <w:t xml:space="preserve"> </w:t>
            </w:r>
            <w:r>
              <w:t xml:space="preserve">only (exclude estimated)</w:t>
            </w:r>
          </w:p>
        </w:tc>
        <w:tc>
          <w:tcPr/>
          <w:p>
            <w:pPr>
              <w:pStyle w:val="Compact"/>
              <w:jc w:val="left"/>
            </w:pPr>
            <w:r>
              <w:t xml:space="preserve">240</w:t>
            </w:r>
          </w:p>
        </w:tc>
        <w:tc>
          <w:tcPr/>
          <w:p>
            <w:pPr>
              <w:pStyle w:val="Compact"/>
              <w:jc w:val="left"/>
            </w:pPr>
            <w:r>
              <w:t xml:space="preserve">0.077</w:t>
            </w:r>
          </w:p>
        </w:tc>
        <w:tc>
          <w:tcPr/>
          <w:p>
            <w:pPr>
              <w:pStyle w:val="Compact"/>
              <w:jc w:val="left"/>
            </w:pPr>
            <w:r>
              <w:t xml:space="preserve">[0.059, 0.094]</w:t>
            </w:r>
          </w:p>
        </w:tc>
        <w:tc>
          <w:tcPr/>
          <w:p>
            <w:pPr>
              <w:pStyle w:val="Compact"/>
              <w:jc w:val="left"/>
            </w:pPr>
            <w:r>
              <w:t xml:space="preserve">Consistent</w:t>
            </w:r>
          </w:p>
        </w:tc>
      </w:tr>
      <w:tr>
        <w:tc>
          <w:tcPr/>
          <w:p>
            <w:pPr>
              <w:pStyle w:val="Compact"/>
              <w:jc w:val="left"/>
            </w:pPr>
            <w:r>
              <w:t xml:space="preserve">Exclude</w:t>
            </w:r>
            <w:r>
              <w:t xml:space="preserve"> </w:t>
            </w:r>
            <w:r>
              <w:rPr>
                <w:iCs/>
                <w:i/>
              </w:rPr>
              <w:t xml:space="preserve">n</w:t>
            </w:r>
            <w:r>
              <w:t xml:space="preserve"> </w:t>
            </w:r>
            <w:r>
              <w:t xml:space="preserve">&lt; 30</w:t>
            </w:r>
          </w:p>
        </w:tc>
        <w:tc>
          <w:tcPr/>
          <w:p>
            <w:pPr>
              <w:pStyle w:val="Compact"/>
              <w:jc w:val="left"/>
            </w:pPr>
            <w:r>
              <w:t xml:space="preserve">285</w:t>
            </w:r>
          </w:p>
        </w:tc>
        <w:tc>
          <w:tcPr/>
          <w:p>
            <w:pPr>
              <w:pStyle w:val="Compact"/>
              <w:jc w:val="left"/>
            </w:pPr>
            <w:r>
              <w:t xml:space="preserve">0.073</w:t>
            </w:r>
          </w:p>
        </w:tc>
        <w:tc>
          <w:tcPr/>
          <w:p>
            <w:pPr>
              <w:pStyle w:val="Compact"/>
              <w:jc w:val="left"/>
            </w:pPr>
            <w:r>
              <w:t xml:space="preserve">[0.059, 0.088]</w:t>
            </w:r>
          </w:p>
        </w:tc>
        <w:tc>
          <w:tcPr/>
          <w:p>
            <w:pPr>
              <w:pStyle w:val="Compact"/>
              <w:jc w:val="left"/>
            </w:pPr>
            <w:r>
              <w:t xml:space="preserve">Consistent</w:t>
            </w:r>
          </w:p>
        </w:tc>
      </w:tr>
      <w:tr>
        <w:tc>
          <w:tcPr/>
          <w:p>
            <w:pPr>
              <w:pStyle w:val="Compact"/>
              <w:jc w:val="left"/>
            </w:pPr>
            <w:r>
              <w:t xml:space="preserve">ACC performance only</w:t>
            </w:r>
          </w:p>
        </w:tc>
        <w:tc>
          <w:tcPr/>
          <w:p>
            <w:pPr>
              <w:pStyle w:val="Compact"/>
              <w:jc w:val="left"/>
            </w:pPr>
            <w:r>
              <w:t xml:space="preserve">246</w:t>
            </w:r>
          </w:p>
        </w:tc>
        <w:tc>
          <w:tcPr/>
          <w:p>
            <w:pPr>
              <w:pStyle w:val="Compact"/>
              <w:jc w:val="left"/>
            </w:pPr>
            <w:r>
              <w:t xml:space="preserve">0.075</w:t>
            </w:r>
          </w:p>
        </w:tc>
        <w:tc>
          <w:tcPr/>
          <w:p>
            <w:pPr>
              <w:pStyle w:val="Compact"/>
              <w:jc w:val="left"/>
            </w:pPr>
            <w:r>
              <w:t xml:space="preserve">[0.059, 0.091]</w:t>
            </w:r>
          </w:p>
        </w:tc>
        <w:tc>
          <w:tcPr/>
          <w:p>
            <w:pPr>
              <w:pStyle w:val="Compact"/>
              <w:jc w:val="left"/>
            </w:pPr>
            <w:r>
              <w:t xml:space="preserve">Consistent</w:t>
            </w:r>
          </w:p>
        </w:tc>
      </w:tr>
      <w:tr>
        <w:tc>
          <w:tcPr/>
          <w:p>
            <w:pPr>
              <w:pStyle w:val="Compact"/>
              <w:jc w:val="left"/>
            </w:pPr>
            <w:r>
              <w:t xml:space="preserve">FSTS DOI measure only</w:t>
            </w:r>
          </w:p>
        </w:tc>
        <w:tc>
          <w:tcPr/>
          <w:p>
            <w:pPr>
              <w:pStyle w:val="Compact"/>
              <w:jc w:val="left"/>
            </w:pPr>
            <w:r>
              <w:t xml:space="preserve">137</w:t>
            </w:r>
          </w:p>
        </w:tc>
        <w:tc>
          <w:tcPr/>
          <w:p>
            <w:pPr>
              <w:pStyle w:val="Compact"/>
              <w:jc w:val="left"/>
            </w:pPr>
            <w:r>
              <w:t xml:space="preserve">0.060</w:t>
            </w:r>
          </w:p>
        </w:tc>
        <w:tc>
          <w:tcPr/>
          <w:p>
            <w:pPr>
              <w:pStyle w:val="Compact"/>
              <w:jc w:val="left"/>
            </w:pPr>
            <w:r>
              <w:t xml:space="preserve">[0.041, 0.078]</w:t>
            </w:r>
          </w:p>
        </w:tc>
        <w:tc>
          <w:tcPr/>
          <w:p>
            <w:pPr>
              <w:pStyle w:val="Compact"/>
              <w:jc w:val="left"/>
            </w:pPr>
            <w:r>
              <w:t xml:space="preserve">Attenuated but positive</w:t>
            </w:r>
          </w:p>
        </w:tc>
      </w:tr>
      <w:tr>
        <w:tc>
          <w:tcPr/>
          <w:p>
            <w:pPr>
              <w:pStyle w:val="Compact"/>
              <w:jc w:val="left"/>
            </w:pPr>
            <w:r>
              <w:t xml:space="preserve">DL estimator (two-level)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0.086]</w:t>
            </w:r>
          </w:p>
        </w:tc>
        <w:tc>
          <w:tcPr/>
          <w:p>
            <w:pPr>
              <w:pStyle w:val="Compact"/>
              <w:jc w:val="left"/>
            </w:pPr>
            <w:r>
              <w:t xml:space="preserve">Δ</w:t>
            </w:r>
            <w:r>
              <w:rPr>
                <w:iCs/>
                <w:i/>
              </w:rPr>
              <w:t xml:space="preserve">r</w:t>
            </w:r>
            <w:r>
              <w:t xml:space="preserve"> </w:t>
            </w:r>
            <w:r>
              <w:t xml:space="preserve">&lt; 0.01 vs. three-level</w:t>
            </w:r>
          </w:p>
        </w:tc>
      </w:tr>
      <w:tr>
        <w:tc>
          <w:tcPr/>
          <w:p>
            <w:pPr>
              <w:pStyle w:val="Compact"/>
              <w:jc w:val="left"/>
            </w:pPr>
            <w:r>
              <w:t xml:space="preserve">Leave-one-out range</w:t>
            </w:r>
          </w:p>
        </w:tc>
        <w:tc>
          <w:tcPr/>
          <w:p>
            <w:pPr>
              <w:pStyle w:val="Compact"/>
              <w:jc w:val="left"/>
            </w:pPr>
            <w:r>
              <w:t xml:space="preserve">288</w:t>
            </w:r>
          </w:p>
        </w:tc>
        <w:tc>
          <w:tcPr/>
          <w:p>
            <w:pPr>
              <w:pStyle w:val="Compact"/>
              <w:jc w:val="left"/>
            </w:pPr>
            <w:r>
              <w:t xml:space="preserve">[0.071, 0.075]</w:t>
            </w:r>
          </w:p>
        </w:tc>
        <w:tc>
          <w:tcPr/>
          <w:p>
            <w:pPr>
              <w:pStyle w:val="Compact"/>
              <w:jc w:val="left"/>
            </w:pPr>
            <w:r>
              <w:t xml:space="preserve">,</w:t>
            </w:r>
          </w:p>
        </w:tc>
        <w:tc>
          <w:tcPr/>
          <w:p>
            <w:pPr>
              <w:pStyle w:val="Compact"/>
              <w:jc w:val="left"/>
            </w:pPr>
            <w:r>
              <w:t xml:space="preserve">0/288 change direction</w:t>
            </w:r>
          </w:p>
        </w:tc>
      </w:tr>
    </w:tbl>
    <w:p>
      <w:pPr>
        <w:pStyle w:val="BodyText"/>
      </w:pPr>
      <w:r>
        <w:t xml:space="preserve">The baseline</w:t>
      </w:r>
      <w:r>
        <w:t xml:space="preserve"> </w:t>
      </w:r>
      <w:r>
        <w:rPr>
          <w:iCs/>
          <w:i/>
        </w:rPr>
        <w:t xml:space="preserve">r</w:t>
      </w:r>
      <w:r>
        <w:t xml:space="preserve"> </w:t>
      </w:r>
      <w:r>
        <w:t xml:space="preserve">= 0.074 is robust across all sensitivity checks. The</w:t>
      </w:r>
      <w:r>
        <w:t xml:space="preserve"> </w:t>
      </w:r>
      <w:r>
        <w:t xml:space="preserve">leave-one-out range [0.071, 0.075] confirms no single study drives the</w:t>
      </w:r>
      <w:r>
        <w:t xml:space="preserve"> </w:t>
      </w:r>
      <w:r>
        <w:t xml:space="preserve">result. The DL two-level estimator gives an identical point estimate</w:t>
      </w:r>
      <w:r>
        <w:t xml:space="preserve"> </w:t>
      </w:r>
      <w:r>
        <w:t xml:space="preserve">(0.074), confirming that three-level nesting adds precision without</w:t>
      </w:r>
      <w:r>
        <w:t xml:space="preserve"> </w:t>
      </w:r>
      <w:r>
        <w:t xml:space="preserve">biasing the pooled effect. The FSTS-only restriction (</w:t>
      </w:r>
      <w:r>
        <w:rPr>
          <w:iCs/>
          <w:i/>
        </w:rPr>
        <w:t xml:space="preserve">r̄</w:t>
      </w:r>
      <w:r>
        <w:t xml:space="preserve"> </w:t>
      </w:r>
      <w:r>
        <w:t xml:space="preserve">= 0.060) is</w:t>
      </w:r>
      <w:r>
        <w:t xml:space="preserve"> </w:t>
      </w:r>
      <w:r>
        <w:t xml:space="preserve">the most conservative check and remains positive and significant,</w:t>
      </w:r>
      <w:r>
        <w:t xml:space="preserve"> </w:t>
      </w:r>
      <w:r>
        <w:t xml:space="preserve">suggesting that DOI operationalization heterogeneity partially inflates</w:t>
      </w:r>
      <w:r>
        <w:t xml:space="preserve"> </w:t>
      </w:r>
      <w:r>
        <w:t xml:space="preserve">the pooled effect when broader DOI measures are included.</w:t>
      </w:r>
    </w:p>
    <w:p>
      <w:pPr>
        <w:pStyle w:val="BodyText"/>
      </w:pPr>
      <w:r>
        <w:t xml:space="preserve">Figure 4: Leave-one-out sensitivity, pooled</w:t>
      </w:r>
      <w:r>
        <w:t xml:space="preserve"> </w:t>
      </w:r>
      <w:r>
        <w:rPr>
          <w:iCs/>
          <w:i/>
        </w:rPr>
        <w:t xml:space="preserve">r̄</w:t>
      </w:r>
      <w:r>
        <w:t xml:space="preserve"> </w:t>
      </w:r>
      <w:r>
        <w:t xml:space="preserve">range across</w:t>
      </w:r>
      <w:r>
        <w:t xml:space="preserve"> </w:t>
      </w:r>
      <w:r>
        <w:t xml:space="preserve">leave-one-out iterations</w:t>
      </w:r>
    </w:p>
    <w:p>
      <w:pPr>
        <w:pStyle w:val="BodyText"/>
      </w:pPr>
      <w:r>
        <w:rPr>
          <w:iCs/>
          <w:i/>
        </w:rPr>
        <w:t xml:space="preserve">Figure 4.</w:t>
      </w:r>
      <w:r>
        <w:t xml:space="preserve"> </w:t>
      </w:r>
      <w:r>
        <w:t xml:space="preserve">Leave-one-out sensitivity analysis. Each point is the pooled</w:t>
      </w:r>
      <w:r>
        <w:t xml:space="preserve"> </w:t>
      </w:r>
      <w:r>
        <w:rPr>
          <w:iCs/>
          <w:i/>
        </w:rPr>
        <w:t xml:space="preserve">r̄</w:t>
      </w:r>
      <w:r>
        <w:t xml:space="preserve"> </w:t>
      </w:r>
      <w:r>
        <w:t xml:space="preserve">with 95% CI after removing one study. The narrow range confirms no</w:t>
      </w:r>
      <w:r>
        <w:t xml:space="preserve"> </w:t>
      </w:r>
      <w:r>
        <w:t xml:space="preserve">single study drives the results.</w:t>
      </w:r>
    </w:p>
    <w:bookmarkEnd w:id="46"/>
    <w:bookmarkEnd w:id="47"/>
    <w:bookmarkStart w:id="52" w:name="discussion"/>
    <w:p>
      <w:pPr>
        <w:pStyle w:val="Heading2"/>
      </w:pPr>
      <w:r>
        <w:t xml:space="preserve">5. Discussion</w:t>
      </w:r>
    </w:p>
    <w:bookmarkStart w:id="48" w:name="alignment-with-country-level-evidence"/>
    <w:p>
      <w:pPr>
        <w:pStyle w:val="Heading3"/>
      </w:pPr>
      <w:r>
        <w:t xml:space="preserve">5.1 Alignment with Country-Level Evidence</w:t>
      </w:r>
    </w:p>
    <w:p>
      <w:pPr>
        <w:pStyle w:val="FirstParagraph"/>
      </w:pPr>
      <w:r>
        <w:t xml:space="preserve">The meta-analytic baseline (</w:t>
      </w:r>
      <w:r>
        <w:rPr>
          <w:iCs/>
          <w:i/>
        </w:rPr>
        <w:t xml:space="preserve">r</w:t>
      </w:r>
      <w:r>
        <w:t xml:space="preserve"> </w:t>
      </w:r>
      <w:r>
        <w:t xml:space="preserve">= 0.074,</w:t>
      </w:r>
      <w:r>
        <w:t xml:space="preserve"> </w:t>
      </w:r>
      <w:r>
        <w:rPr>
          <w:iCs/>
          <w:i/>
        </w:rPr>
        <w:t xml:space="preserve">k</w:t>
      </w:r>
      <w:r>
        <w:t xml:space="preserve"> </w:t>
      </w:r>
      <w:r>
        <w:t xml:space="preserve">= 238, 49 economies) is</w:t>
      </w:r>
      <w:r>
        <w:t xml:space="preserve"> </w:t>
      </w:r>
      <w:r>
        <w:t xml:space="preserve">consistent with country-level evidence from across the global study</w:t>
      </w:r>
      <w:r>
        <w:t xml:space="preserve"> </w:t>
      </w:r>
      <w:r>
        <w:t xml:space="preserve">corpus, including the Asia-Pacific primary studies underlying the ICBEF</w:t>
      </w:r>
      <w:r>
        <w:t xml:space="preserve"> </w:t>
      </w:r>
      <w:r>
        <w:t xml:space="preserve">2025 baseline (Do &amp; Phan, 2024). The pooled effect is positive and</w:t>
      </w:r>
      <w:r>
        <w:t xml:space="preserve"> </w:t>
      </w:r>
      <w:r>
        <w:t xml:space="preserve">significant, confirming that export-intensive firms tend to outperform</w:t>
      </w:r>
      <w:r>
        <w:t xml:space="preserve"> </w:t>
      </w:r>
      <w:r>
        <w:t xml:space="preserve">domestically focused peers even after adjusting for firm size, age, and</w:t>
      </w:r>
      <w:r>
        <w:t xml:space="preserve"> </w:t>
      </w:r>
      <w:r>
        <w:t xml:space="preserve">industry.</w:t>
      </w:r>
    </w:p>
    <w:p>
      <w:pPr>
        <w:pStyle w:val="BodyText"/>
      </w:pPr>
      <w:r>
        <w:rPr>
          <w:bCs/>
          <w:b/>
        </w:rPr>
        <w:t xml:space="preserve">Advanced-I contexts (Group I, k = 139;</w:t>
      </w:r>
      <w:r>
        <w:rPr>
          <w:bCs/>
          <w:b/>
        </w:rPr>
        <w:t xml:space="preserve"> </w:t>
      </w:r>
      <w:r>
        <w:rPr>
          <w:iCs/>
          <w:i/>
          <w:bCs/>
          <w:b/>
        </w:rPr>
        <w:t xml:space="preserve">r̄</w:t>
      </w:r>
      <w:r>
        <w:rPr>
          <w:bCs/>
          <w:b/>
        </w:rPr>
        <w:t xml:space="preserve"> </w:t>
      </w:r>
      <w:r>
        <w:rPr>
          <w:bCs/>
          <w:b/>
        </w:rPr>
        <w:t xml:space="preserve">= 0.079):</w:t>
      </w:r>
      <w:r>
        <w:t xml:space="preserve"> </w:t>
      </w:r>
      <w:r>
        <w:t xml:space="preserve">The Group I</w:t>
      </w:r>
      <w:r>
        <w:t xml:space="preserve"> </w:t>
      </w:r>
      <w:r>
        <w:t xml:space="preserve">mean (</w:t>
      </w:r>
      <w:r>
        <w:rPr>
          <w:iCs/>
          <w:i/>
        </w:rPr>
        <w:t xml:space="preserve">r̄</w:t>
      </w:r>
      <w:r>
        <w:t xml:space="preserve"> </w:t>
      </w:r>
      <w:r>
        <w:t xml:space="preserve">= 0.079) is the highest reliable estimate and is directionally</w:t>
      </w:r>
      <w:r>
        <w:t xml:space="preserve"> </w:t>
      </w:r>
      <w:r>
        <w:t xml:space="preserve">consistent with institutional complementarity theory: strong contract</w:t>
      </w:r>
      <w:r>
        <w:t xml:space="preserve"> </w:t>
      </w:r>
      <w:r>
        <w:t xml:space="preserve">enforcement, IP protection, and low liability of foreignness (Zaheer,</w:t>
      </w:r>
      <w:r>
        <w:t xml:space="preserve"> </w:t>
      </w:r>
      <w:r>
        <w:t xml:space="preserve">1995) allow firms to sustain productive internationalization without the</w:t>
      </w:r>
      <w:r>
        <w:t xml:space="preserve"> </w:t>
      </w:r>
      <w:r>
        <w:t xml:space="preserve">coordination cost penalties visible in weaker environments (North, 1990;</w:t>
      </w:r>
      <w:r>
        <w:t xml:space="preserve"> </w:t>
      </w:r>
      <w:r>
        <w:t xml:space="preserve">Peng et al., 2008). However, the magnitude is much smaller than CIMT</w:t>
      </w:r>
      <w:r>
        <w:t xml:space="preserve"> </w:t>
      </w:r>
      <w:r>
        <w:t xml:space="preserve">predicted, and the I→III difference is not statistically significant</w:t>
      </w:r>
      <w:r>
        <w:t xml:space="preserve"> </w:t>
      </w:r>
      <w:r>
        <w:t xml:space="preserve">(</w:t>
      </w:r>
      <w:r>
        <w:rPr>
          <w:iCs/>
          <w:i/>
        </w:rPr>
        <w:t xml:space="preserve">p</w:t>
      </w:r>
      <w:r>
        <w:t xml:space="preserve"> </w:t>
      </w:r>
      <w:r>
        <w:t xml:space="preserve">= .502).</w:t>
      </w:r>
    </w:p>
    <w:p>
      <w:pPr>
        <w:pStyle w:val="BodyText"/>
      </w:pPr>
      <w:r>
        <w:rPr>
          <w:bCs/>
          <w:b/>
        </w:rPr>
        <w:t xml:space="preserve">Emerging contexts (Group III, k = 91;</w:t>
      </w:r>
      <w:r>
        <w:rPr>
          <w:bCs/>
          <w:b/>
        </w:rPr>
        <w:t xml:space="preserve"> </w:t>
      </w:r>
      <w:r>
        <w:rPr>
          <w:iCs/>
          <w:i/>
          <w:bCs/>
          <w:b/>
        </w:rPr>
        <w:t xml:space="preserve">r̄</w:t>
      </w:r>
      <w:r>
        <w:rPr>
          <w:bCs/>
          <w:b/>
        </w:rPr>
        <w:t xml:space="preserve"> </w:t>
      </w:r>
      <w:r>
        <w:rPr>
          <w:bCs/>
          <w:b/>
        </w:rPr>
        <w:t xml:space="preserve">= 0.068):</w:t>
      </w:r>
      <w:r>
        <w:t xml:space="preserve"> </w:t>
      </w:r>
      <w:r>
        <w:t xml:space="preserve">The Emerging</w:t>
      </w:r>
      <w:r>
        <w:t xml:space="preserve"> </w:t>
      </w:r>
      <w:r>
        <w:t xml:space="preserve">group shows</w:t>
      </w:r>
      <w:r>
        <w:t xml:space="preserve"> </w:t>
      </w:r>
      <w:r>
        <w:rPr>
          <w:iCs/>
          <w:i/>
        </w:rPr>
        <w:t xml:space="preserve">r̄</w:t>
      </w:r>
      <w:r>
        <w:t xml:space="preserve"> </w:t>
      </w:r>
      <w:r>
        <w:t xml:space="preserve">= 0.068, directionally below the Advanced group,</w:t>
      </w:r>
      <w:r>
        <w:t xml:space="preserve"> </w:t>
      </w:r>
      <w:r>
        <w:t xml:space="preserve">consistent with CIMT’s institutional friction argument. At the</w:t>
      </w:r>
      <w:r>
        <w:t xml:space="preserve"> </w:t>
      </w:r>
      <w:r>
        <w:t xml:space="preserve">primary-study level, Do &amp; Phan (2025) document a negative aggregate DOI</w:t>
      </w:r>
      <w:r>
        <w:t xml:space="preserve"> </w:t>
      </w:r>
      <w:r>
        <w:t xml:space="preserve">coefficient on 380 Indian WBES firms (FGLS estimation), with manager</w:t>
      </w:r>
      <w:r>
        <w:t xml:space="preserve"> </w:t>
      </w:r>
      <w:r>
        <w:t xml:space="preserve">experience and female top-management leadership as positive moderating</w:t>
      </w:r>
      <w:r>
        <w:t xml:space="preserve"> </w:t>
      </w:r>
      <w:r>
        <w:t xml:space="preserve">factors, a pattern consistent with CIMT’s prediction that firm-level</w:t>
      </w:r>
      <w:r>
        <w:t xml:space="preserve"> </w:t>
      </w:r>
      <w:r>
        <w:t xml:space="preserve">compensating resources partially offset institutional friction in</w:t>
      </w:r>
      <w:r>
        <w:t xml:space="preserve"> </w:t>
      </w:r>
      <w:r>
        <w:t xml:space="preserve">Emerging environments.</w:t>
      </w:r>
    </w:p>
    <w:p>
      <w:pPr>
        <w:pStyle w:val="BodyText"/>
      </w:pPr>
      <w:r>
        <w:rPr>
          <w:bCs/>
          <w:b/>
        </w:rPr>
        <w:t xml:space="preserve">Frontier contexts (FR, k = 3;</w:t>
      </w:r>
      <w:r>
        <w:rPr>
          <w:bCs/>
          <w:b/>
        </w:rPr>
        <w:t xml:space="preserve"> </w:t>
      </w:r>
      <w:r>
        <w:rPr>
          <w:iCs/>
          <w:i/>
          <w:bCs/>
          <w:b/>
        </w:rPr>
        <w:t xml:space="preserve">r̄</w:t>
      </w:r>
      <w:r>
        <w:rPr>
          <w:bCs/>
          <w:b/>
        </w:rPr>
        <w:t xml:space="preserve"> </w:t>
      </w:r>
      <w:r>
        <w:rPr>
          <w:bCs/>
          <w:b/>
        </w:rPr>
        <w:t xml:space="preserve">= 0.349):</w:t>
      </w:r>
      <w:r>
        <w:t xml:space="preserve"> </w:t>
      </w:r>
      <w:r>
        <w:t xml:space="preserve">The</w:t>
      </w:r>
      <w:r>
        <w:t xml:space="preserve"> </w:t>
      </w:r>
      <w:r>
        <w:rPr>
          <w:iCs/>
          <w:i/>
        </w:rPr>
        <w:t xml:space="preserve">k</w:t>
      </w:r>
      <w:r>
        <w:t xml:space="preserve"> </w:t>
      </w:r>
      <w:r>
        <w:t xml:space="preserve">= 3 Frontier</w:t>
      </w:r>
      <w:r>
        <w:t xml:space="preserve"> </w:t>
      </w:r>
      <w:r>
        <w:t xml:space="preserve">estimate is driven by one outlier study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This estimate cannot be</w:t>
      </w:r>
      <w:r>
        <w:t xml:space="preserve"> </w:t>
      </w:r>
      <w:r>
        <w:t xml:space="preserve">interpreted as a reliable Frontier I→P effect; it instead reflects the</w:t>
      </w:r>
      <w:r>
        <w:t xml:space="preserve"> </w:t>
      </w:r>
      <w:r>
        <w:t xml:space="preserve">near-impossibility of drawing meta-analytic conclusions when only three</w:t>
      </w:r>
      <w:r>
        <w:t xml:space="preserve"> </w:t>
      </w:r>
      <w:r>
        <w:t xml:space="preserve">studies populate a regime cell. The actual Frontier I→P effect could be</w:t>
      </w:r>
      <w:r>
        <w:t xml:space="preserve"> </w:t>
      </w:r>
      <w:r>
        <w:t xml:space="preserve">zero, positive, or negative, larger</w:t>
      </w:r>
      <w:r>
        <w:t xml:space="preserve"> </w:t>
      </w:r>
      <w:r>
        <w:rPr>
          <w:iCs/>
          <w:i/>
        </w:rPr>
        <w:t xml:space="preserve">k</w:t>
      </w:r>
      <w:r>
        <w:t xml:space="preserve"> </w:t>
      </w:r>
      <w:r>
        <w:t xml:space="preserve">is required.</w:t>
      </w:r>
    </w:p>
    <w:p>
      <w:pPr>
        <w:pStyle w:val="BodyText"/>
      </w:pPr>
      <w:r>
        <w:rPr>
          <w:bCs/>
          <w:b/>
        </w:rPr>
        <w:t xml:space="preserve">Synthesis:</w:t>
      </w:r>
      <w:r>
        <w:t xml:space="preserve"> </w:t>
      </w:r>
      <w:r>
        <w:t xml:space="preserve">H1 is confirmed, the ICRV between-regime Q_M test</w:t>
      </w:r>
      <w:r>
        <w:t xml:space="preserve"> </w:t>
      </w:r>
      <w:r>
        <w:t xml:space="preserve">(</w:t>
      </w:r>
      <w:r>
        <w:rPr>
          <w:iCs/>
          <w:i/>
        </w:rPr>
        <w:t xml:space="preserve">Q</w:t>
      </w:r>
      <w:r>
        <w:t xml:space="preserve">_M = 17.35,</w:t>
      </w:r>
      <w:r>
        <w:t xml:space="preserve"> </w:t>
      </w:r>
      <w:r>
        <w:rPr>
          <w:iCs/>
          <w:i/>
        </w:rPr>
        <w:t xml:space="preserve">p</w:t>
      </w:r>
      <w:r>
        <w:t xml:space="preserve"> </w:t>
      </w:r>
      <w:r>
        <w:t xml:space="preserve">= .002) is statistically significant, establishing</w:t>
      </w:r>
      <w:r>
        <w:t xml:space="preserve"> </w:t>
      </w:r>
      <w:r>
        <w:t xml:space="preserve">that I→P effect sizes vary across institutional regimes as theorized.</w:t>
      </w:r>
      <w:r>
        <w:t xml:space="preserve"> </w:t>
      </w:r>
      <w:r>
        <w:t xml:space="preserve">The Q_M significance is driven by the</w:t>
      </w:r>
      <w:r>
        <w:t xml:space="preserve"> </w:t>
      </w:r>
      <w:r>
        <w:rPr>
          <w:iCs/>
          <w:i/>
        </w:rPr>
        <w:t xml:space="preserve">k</w:t>
      </w:r>
      <w:r>
        <w:t xml:space="preserve"> </w:t>
      </w:r>
      <w:r>
        <w:t xml:space="preserve">= 3 Frontier contrast rather</w:t>
      </w:r>
      <w:r>
        <w:t xml:space="preserve"> </w:t>
      </w:r>
      <w:r>
        <w:t xml:space="preserve">than by well-powered pairwise contrasts across the</w:t>
      </w:r>
      <w:r>
        <w:t xml:space="preserve"> </w:t>
      </w:r>
      <w:r>
        <w:t xml:space="preserve">Advanced/Upper-middle/Emerging cells, so the directional gradient</w:t>
      </w:r>
      <w:r>
        <w:t xml:space="preserve"> </w:t>
      </w:r>
      <w:r>
        <w:t xml:space="preserve">propositions E1a and E1b are not meta-analytically confirmed in the</w:t>
      </w:r>
      <w:r>
        <w:t xml:space="preserve"> </w:t>
      </w:r>
      <w:r>
        <w:t xml:space="preserve">current sample. The substantiated finding is that the baseline I→P</w:t>
      </w:r>
      <w:r>
        <w:t xml:space="preserve"> </w:t>
      </w:r>
      <w:r>
        <w:t xml:space="preserve">effect (</w:t>
      </w:r>
      <w:r>
        <w:rPr>
          <w:iCs/>
          <w:i/>
        </w:rPr>
        <w:t xml:space="preserve">r</w:t>
      </w:r>
      <w:r>
        <w:t xml:space="preserve"> </w:t>
      </w:r>
      <w:r>
        <w:t xml:space="preserve">= 0.074) is broadly consistent across well-populated regime</w:t>
      </w:r>
      <w:r>
        <w:t xml:space="preserve"> </w:t>
      </w:r>
      <w:r>
        <w:t xml:space="preserve">groups (I, II, III, MX), and the magnitude of the Advanced-Emerging gap</w:t>
      </w:r>
      <w:r>
        <w:t xml:space="preserve"> </w:t>
      </w:r>
      <w:r>
        <w:t xml:space="preserve">(</w:t>
      </w:r>
      <w:r>
        <w:rPr>
          <w:iCs/>
          <w:i/>
        </w:rPr>
        <w:t xml:space="preserve">r̄</w:t>
      </w:r>
      <w:r>
        <w:t xml:space="preserve"> </w:t>
      </w:r>
      <w:r>
        <w:t xml:space="preserve">= 0.079 vs. 0.068) does not reach significance, a result that</w:t>
      </w:r>
      <w:r>
        <w:t xml:space="preserve"> </w:t>
      </w:r>
      <w:r>
        <w:t xml:space="preserve">bounds, rather than refutes, CIMT’s institutional gradient prediction.</w:t>
      </w:r>
    </w:p>
    <w:bookmarkEnd w:id="48"/>
    <w:bookmarkStart w:id="49" w:name="theoretical-contributions"/>
    <w:p>
      <w:pPr>
        <w:pStyle w:val="Heading3"/>
      </w:pPr>
      <w:r>
        <w:t xml:space="preserve">5.2 Theoretical Contributions</w:t>
      </w:r>
    </w:p>
    <w:p>
      <w:pPr>
        <w:pStyle w:val="FirstParagraph"/>
      </w:pPr>
      <w:r>
        <w:rPr>
          <w:bCs/>
          <w:b/>
        </w:rPr>
        <w:t xml:space="preserve">Contribution 1: Largest globally representative I→P meta-analysis to</w:t>
      </w:r>
      <w:r>
        <w:rPr>
          <w:bCs/>
          <w:b/>
        </w:rPr>
        <w:t xml:space="preserve"> </w:t>
      </w:r>
      <w:r>
        <w:rPr>
          <w:bCs/>
          <w:b/>
        </w:rPr>
        <w:t xml:space="preserve">date.</w:t>
      </w:r>
      <w:r>
        <w:t xml:space="preserve"> </w:t>
      </w:r>
      <w:r>
        <w:t xml:space="preserve">The three-level MARA with</w:t>
      </w:r>
      <w:r>
        <w:t xml:space="preserve"> </w:t>
      </w:r>
      <w:r>
        <w:rPr>
          <w:iCs/>
          <w:i/>
        </w:rPr>
        <w:t xml:space="preserve">k</w:t>
      </w:r>
      <w:r>
        <w:t xml:space="preserve"> </w:t>
      </w:r>
      <w:r>
        <w:t xml:space="preserve">= 238 studies from 49 economies</w:t>
      </w:r>
      <w:r>
        <w:t xml:space="preserve"> </w:t>
      </w:r>
      <w:r>
        <w:t xml:space="preserve">(</w:t>
      </w:r>
      <w:r>
        <w:rPr>
          <w:iCs/>
          <w:i/>
        </w:rPr>
        <w:t xml:space="preserve">K</w:t>
      </w:r>
      <w:r>
        <w:t xml:space="preserve"> </w:t>
      </w:r>
      <w:r>
        <w:t xml:space="preserve">= 288 effects) is the most comprehensive quantitative synthesis of</w:t>
      </w:r>
      <w:r>
        <w:t xml:space="preserve"> </w:t>
      </w:r>
      <w:r>
        <w:t xml:space="preserve">I→P evidence to apply three-level modeling, extending the ICBEF 2025</w:t>
      </w:r>
      <w:r>
        <w:t xml:space="preserve"> </w:t>
      </w:r>
      <w:r>
        <w:t xml:space="preserve">Asia-Pacific baseline (</w:t>
      </w:r>
      <w:r>
        <w:rPr>
          <w:iCs/>
          <w:i/>
        </w:rPr>
        <w:t xml:space="preserve">k</w:t>
      </w:r>
      <w:r>
        <w:t xml:space="preserve"> </w:t>
      </w:r>
      <w:r>
        <w:t xml:space="preserve">= 113) by 124 studies with a globally</w:t>
      </w:r>
      <w:r>
        <w:t xml:space="preserve"> </w:t>
      </w:r>
      <w:r>
        <w:t xml:space="preserve">inclusive ICRV-coded corpus. Three-level modeling correctly partitions</w:t>
      </w:r>
      <w:r>
        <w:t xml:space="preserve"> </w:t>
      </w:r>
      <w:r>
        <w:t xml:space="preserve">within-study and between-study variance, and the baseline</w:t>
      </w:r>
      <w:r>
        <w:t xml:space="preserve"> </w:t>
      </w:r>
      <w:r>
        <w:rPr>
          <w:iCs/>
          <w:i/>
        </w:rPr>
        <w:t xml:space="preserve">r</w:t>
      </w:r>
      <w:r>
        <w:t xml:space="preserve"> </w:t>
      </w:r>
      <w:r>
        <w:t xml:space="preserve">= 0.074</w:t>
      </w:r>
      <w:r>
        <w:t xml:space="preserve"> </w:t>
      </w:r>
      <w:r>
        <w:t xml:space="preserve">replicates prior estimates while remaining robust across seven</w:t>
      </w:r>
      <w:r>
        <w:t xml:space="preserve"> </w:t>
      </w:r>
      <w:r>
        <w:t xml:space="preserve">sensitivity checks.</w:t>
      </w:r>
    </w:p>
    <w:p>
      <w:pPr>
        <w:pStyle w:val="BodyText"/>
      </w:pPr>
      <w:r>
        <w:rPr>
          <w:bCs/>
          <w:b/>
        </w:rPr>
        <w:t xml:space="preserve">Contribution 2: First meta-analytic test of ICRV, cDAI, and DPL</w:t>
      </w:r>
      <w:r>
        <w:rPr>
          <w:bCs/>
          <w:b/>
        </w:rPr>
        <w:t xml:space="preserve"> </w:t>
      </w:r>
      <w:r>
        <w:rPr>
          <w:bCs/>
          <w:b/>
        </w:rPr>
        <w:t xml:space="preserve">moderators.</w:t>
      </w:r>
      <w:r>
        <w:t xml:space="preserve"> </w:t>
      </w:r>
      <w:r>
        <w:t xml:space="preserve">This paper is the first to formally test ICRV</w:t>
      </w:r>
      <w:r>
        <w:t xml:space="preserve"> </w:t>
      </w:r>
      <w:r>
        <w:t xml:space="preserve">institutional regime, national digital adoption (cDAI), and Digital</w:t>
      </w:r>
      <w:r>
        <w:t xml:space="preserve"> </w:t>
      </w:r>
      <w:r>
        <w:t xml:space="preserve">Paradox Lifecycle phase as moderators in a three-level MARA. H1</w:t>
      </w:r>
      <w:r>
        <w:t xml:space="preserve"> </w:t>
      </w:r>
      <w:r>
        <w:t xml:space="preserve">(between-regime Q_M test) is confirmed (</w:t>
      </w:r>
      <w:r>
        <w:rPr>
          <w:iCs/>
          <w:i/>
        </w:rPr>
        <w:t xml:space="preserve">Q</w:t>
      </w:r>
      <w:r>
        <w:t xml:space="preserve">_M = 17.35,</w:t>
      </w:r>
      <w:r>
        <w:t xml:space="preserve"> </w:t>
      </w:r>
      <w:r>
        <w:rPr>
          <w:iCs/>
          <w:i/>
        </w:rPr>
        <w:t xml:space="preserve">p</w:t>
      </w:r>
      <w:r>
        <w:t xml:space="preserve"> </w:t>
      </w:r>
      <w:r>
        <w:t xml:space="preserve">= .002),</w:t>
      </w:r>
      <w:r>
        <w:t xml:space="preserve"> </w:t>
      </w:r>
      <w:r>
        <w:t xml:space="preserve">establishing that I→P effect sizes vary systematically across</w:t>
      </w:r>
      <w:r>
        <w:t xml:space="preserve"> </w:t>
      </w:r>
      <w:r>
        <w:t xml:space="preserve">institutional regimes. However, the directional gradient propositions</w:t>
      </w:r>
      <w:r>
        <w:t xml:space="preserve"> </w:t>
      </w:r>
      <w:r>
        <w:t xml:space="preserve">(E1a/E1b) and the cDAI and DPL hypotheses (H2, H3) are not confirmed</w:t>
      </w:r>
      <w:r>
        <w:t xml:space="preserve"> </w:t>
      </w:r>
      <w:r>
        <w:t xml:space="preserve">under rigorous between-group testing. These results set theoretically</w:t>
      </w:r>
      <w:r>
        <w:t xml:space="preserve"> </w:t>
      </w:r>
      <w:r>
        <w:t xml:space="preserve">informative bounds: the</w:t>
      </w:r>
      <w:r>
        <w:t xml:space="preserve"> </w:t>
      </w:r>
      <w:r>
        <w:rPr>
          <w:iCs/>
          <w:i/>
        </w:rPr>
        <w:t xml:space="preserve">k</w:t>
      </w:r>
      <w:r>
        <w:t xml:space="preserve"> </w:t>
      </w:r>
      <w:r>
        <w:t xml:space="preserve">= 238 sample lacks sufficient between-regime</w:t>
      </w:r>
      <w:r>
        <w:t xml:space="preserve"> </w:t>
      </w:r>
      <w:r>
        <w:t xml:space="preserve">variation (particularly Frontier,</w:t>
      </w:r>
      <w:r>
        <w:t xml:space="preserve"> </w:t>
      </w:r>
      <w:r>
        <w:rPr>
          <w:iCs/>
          <w:i/>
        </w:rPr>
        <w:t xml:space="preserve">k</w:t>
      </w:r>
      <w:r>
        <w:t xml:space="preserve"> </w:t>
      </w:r>
      <w:r>
        <w:t xml:space="preserve">= 3; SIDS,</w:t>
      </w:r>
      <w:r>
        <w:t xml:space="preserve"> </w:t>
      </w:r>
      <w:r>
        <w:rPr>
          <w:iCs/>
          <w:i/>
        </w:rPr>
        <w:t xml:space="preserve">k</w:t>
      </w:r>
      <w:r>
        <w:t xml:space="preserve"> </w:t>
      </w:r>
      <w:r>
        <w:t xml:space="preserve">= 0) to detect the</w:t>
      </w:r>
      <w:r>
        <w:t xml:space="preserve"> </w:t>
      </w:r>
      <w:r>
        <w:t xml:space="preserve">CIMT gradient, and cDAI and DPL phase do not explain between-study</w:t>
      </w:r>
      <w:r>
        <w:t xml:space="preserve"> </w:t>
      </w:r>
      <w:r>
        <w:t xml:space="preserve">heterogeneity in the present corpus. Future replications with targeted regime-level sampling should test whether the</w:t>
      </w:r>
      <w:r>
        <w:t xml:space="preserve"> </w:t>
      </w:r>
      <w:r>
        <w:t xml:space="preserve">gradient emerges with richer between-regime representation.</w:t>
      </w:r>
    </w:p>
    <w:p>
      <w:pPr>
        <w:pStyle w:val="BodyText"/>
      </w:pPr>
      <w:r>
        <w:rPr>
          <w:bCs/>
          <w:b/>
        </w:rPr>
        <w:t xml:space="preserve">Contribution 3: Substantial publication bias identified.</w:t>
      </w:r>
      <w:r>
        <w:t xml:space="preserve"> </w:t>
      </w:r>
      <w:r>
        <w:t xml:space="preserve">The</w:t>
      </w:r>
      <w:r>
        <w:t xml:space="preserve"> </w:t>
      </w:r>
      <w:r>
        <w:t xml:space="preserve">trim-and-fill-corrected estimate (</w:t>
      </w:r>
      <w:r>
        <w:rPr>
          <w:iCs/>
          <w:i/>
        </w:rPr>
        <w:t xml:space="preserve">r</w:t>
      </w:r>
      <w:r>
        <w:t xml:space="preserve"> </w:t>
      </w:r>
      <w:r>
        <w:t xml:space="preserve">= 0.035,</w:t>
      </w:r>
      <w:r>
        <w:t xml:space="preserve"> </w:t>
      </w:r>
      <w:r>
        <w:rPr>
          <w:iCs/>
          <w:i/>
        </w:rPr>
        <w:t xml:space="preserve">k</w:t>
      </w:r>
      <w:r>
        <w:t xml:space="preserve"> </w:t>
      </w:r>
      <w:r>
        <w:t xml:space="preserve">= 57 imputed studies)</w:t>
      </w:r>
      <w:r>
        <w:t xml:space="preserve"> </w:t>
      </w:r>
      <w:r>
        <w:t xml:space="preserve">and significant Begg’s τ (</w:t>
      </w:r>
      <w:r>
        <w:rPr>
          <w:iCs/>
          <w:i/>
        </w:rPr>
        <w:t xml:space="preserve">p</w:t>
      </w:r>
      <w:r>
        <w:t xml:space="preserve"> </w:t>
      </w:r>
      <w:r>
        <w:t xml:space="preserve">= .001) together indicate that the I→P</w:t>
      </w:r>
      <w:r>
        <w:t xml:space="preserve"> </w:t>
      </w:r>
      <w:r>
        <w:t xml:space="preserve">literature has a substantial positive publication bias. The raw pooled</w:t>
      </w:r>
      <w:r>
        <w:t xml:space="preserve"> </w:t>
      </w:r>
      <w:r>
        <w:t xml:space="preserve">effect (</w:t>
      </w:r>
      <w:r>
        <w:rPr>
          <w:iCs/>
          <w:i/>
        </w:rPr>
        <w:t xml:space="preserve">r</w:t>
      </w:r>
      <w:r>
        <w:t xml:space="preserve"> </w:t>
      </w:r>
      <w:r>
        <w:t xml:space="preserve">= 0.074) likely overstates the true average causal effect by</w:t>
      </w:r>
      <w:r>
        <w:t xml:space="preserve"> </w:t>
      </w:r>
      <w:r>
        <w:t xml:space="preserve">approximately 50–100%, with the bias-corrected estimate (</w:t>
      </w:r>
      <w:r>
        <w:rPr>
          <w:iCs/>
          <w:i/>
        </w:rPr>
        <w:t xml:space="preserve">r</w:t>
      </w:r>
      <w:r>
        <w:t xml:space="preserve"> </w:t>
      </w:r>
      <w:r>
        <w:t xml:space="preserve">= 0.035)</w:t>
      </w:r>
      <w:r>
        <w:t xml:space="preserve"> </w:t>
      </w:r>
      <w:r>
        <w:t xml:space="preserve">providing a conservative lower bound. This finding, from the most</w:t>
      </w:r>
      <w:r>
        <w:t xml:space="preserve"> </w:t>
      </w:r>
      <w:r>
        <w:t xml:space="preserve">globally comprehensive three-level MARA of I→P to date, is the most</w:t>
      </w:r>
      <w:r>
        <w:t xml:space="preserve"> </w:t>
      </w:r>
      <w:r>
        <w:t xml:space="preserve">actionable theoretical contribution: it suggests that the IB</w:t>
      </w:r>
      <w:r>
        <w:t xml:space="preserve"> </w:t>
      </w:r>
      <w:r>
        <w:t xml:space="preserve">literature’s widely cited</w:t>
      </w:r>
      <w:r>
        <w:t xml:space="preserve"> </w:t>
      </w:r>
      <w:r>
        <w:t xml:space="preserve">“</w:t>
      </w:r>
      <w:r>
        <w:t xml:space="preserve">positive I→P relationship</w:t>
      </w:r>
      <w:r>
        <w:t xml:space="preserve">”</w:t>
      </w:r>
      <w:r>
        <w:t xml:space="preserve"> </w:t>
      </w:r>
      <w:r>
        <w:t xml:space="preserve">is partially an</w:t>
      </w:r>
      <w:r>
        <w:t xml:space="preserve"> </w:t>
      </w:r>
      <w:r>
        <w:t xml:space="preserve">artifact of selective publication rather than a robust phenomenon.</w:t>
      </w:r>
    </w:p>
    <w:bookmarkEnd w:id="49"/>
    <w:bookmarkStart w:id="50" w:name="managerial-and-policy-implications"/>
    <w:p>
      <w:pPr>
        <w:pStyle w:val="Heading3"/>
      </w:pPr>
      <w:r>
        <w:t xml:space="preserve">5.3 Managerial and Policy Implications</w:t>
      </w:r>
    </w:p>
    <w:p>
      <w:pPr>
        <w:pStyle w:val="FirstParagraph"/>
      </w:pPr>
      <w:r>
        <w:t xml:space="preserve">The non-confirmation of the three hypothesized moderators limits strong</w:t>
      </w:r>
      <w:r>
        <w:t xml:space="preserve"> </w:t>
      </w:r>
      <w:r>
        <w:t xml:space="preserve">prescriptive conclusions about institutional regime or digital context,</w:t>
      </w:r>
      <w:r>
        <w:t xml:space="preserve"> </w:t>
      </w:r>
      <w:r>
        <w:t xml:space="preserve">but the baseline finding and publication bias result carry practical</w:t>
      </w:r>
      <w:r>
        <w:t xml:space="preserve"> </w:t>
      </w:r>
      <w:r>
        <w:t xml:space="preserve">significance.</w:t>
      </w:r>
    </w:p>
    <w:p>
      <w:pPr>
        <w:pStyle w:val="BodyText"/>
      </w:pPr>
      <w:r>
        <w:rPr>
          <w:bCs/>
          <w:b/>
        </w:rPr>
        <w:t xml:space="preserve">For firms across all institutional contexts:</w:t>
      </w:r>
      <w:r>
        <w:t xml:space="preserve"> </w:t>
      </w:r>
      <w:r>
        <w:t xml:space="preserve">The bias-corrected</w:t>
      </w:r>
      <w:r>
        <w:t xml:space="preserve"> </w:t>
      </w:r>
      <w:r>
        <w:t xml:space="preserve">baseline (</w:t>
      </w:r>
      <w:r>
        <w:rPr>
          <w:iCs/>
          <w:i/>
        </w:rPr>
        <w:t xml:space="preserve">r</w:t>
      </w:r>
      <w:r>
        <w:t xml:space="preserve"> </w:t>
      </w:r>
      <w:r>
        <w:t xml:space="preserve">= 0.035) rather than the raw</w:t>
      </w:r>
      <w:r>
        <w:t xml:space="preserve"> </w:t>
      </w:r>
      <w:r>
        <w:rPr>
          <w:iCs/>
          <w:i/>
        </w:rPr>
        <w:t xml:space="preserve">r</w:t>
      </w:r>
      <w:r>
        <w:t xml:space="preserve"> </w:t>
      </w:r>
      <w:r>
        <w:t xml:space="preserve">= 0.074 is the better</w:t>
      </w:r>
      <w:r>
        <w:t xml:space="preserve"> </w:t>
      </w:r>
      <w:r>
        <w:t xml:space="preserve">estimate of the true average performance return to internationalization.</w:t>
      </w:r>
      <w:r>
        <w:t xml:space="preserve"> </w:t>
      </w:r>
      <w:r>
        <w:t xml:space="preserve">Firms that expect large productivity gains from export intensification</w:t>
      </w:r>
      <w:r>
        <w:t xml:space="preserve"> </w:t>
      </w:r>
      <w:r>
        <w:t xml:space="preserve">alone are likely to be disappointed, the published literature</w:t>
      </w:r>
      <w:r>
        <w:t xml:space="preserve"> </w:t>
      </w:r>
      <w:r>
        <w:t xml:space="preserve">systematically over-reports positive effects. Internationalization</w:t>
      </w:r>
      <w:r>
        <w:t xml:space="preserve"> </w:t>
      </w:r>
      <w:r>
        <w:t xml:space="preserve">strategy should be driven by firm-specific competitive advantages and</w:t>
      </w:r>
      <w:r>
        <w:t xml:space="preserve"> </w:t>
      </w:r>
      <w:r>
        <w:t xml:space="preserve">market-specific learning, not by the assumption that</w:t>
      </w:r>
      <w:r>
        <w:t xml:space="preserve"> </w:t>
      </w:r>
      <w:r>
        <w:t xml:space="preserve">“</w:t>
      </w:r>
      <w:r>
        <w:t xml:space="preserve">internationalization improves performance</w:t>
      </w:r>
      <w:r>
        <w:t xml:space="preserve">”</w:t>
      </w:r>
      <w:r>
        <w:t xml:space="preserve"> </w:t>
      </w:r>
      <w:r>
        <w:t xml:space="preserve">unconditionally.</w:t>
      </w:r>
    </w:p>
    <w:p>
      <w:pPr>
        <w:pStyle w:val="BodyText"/>
      </w:pPr>
      <w:r>
        <w:rPr>
          <w:bCs/>
          <w:b/>
        </w:rPr>
        <w:t xml:space="preserve">For researchers:</w:t>
      </w:r>
      <w:r>
        <w:t xml:space="preserve"> </w:t>
      </w:r>
      <w:r>
        <w:t xml:space="preserve">The substantial publication bias (</w:t>
      </w:r>
      <w:r>
        <w:rPr>
          <w:iCs/>
          <w:i/>
        </w:rPr>
        <w:t xml:space="preserve">k</w:t>
      </w:r>
      <w:r>
        <w:t xml:space="preserve"> </w:t>
      </w:r>
      <w:r>
        <w:t xml:space="preserve">= 57 imputed,</w:t>
      </w:r>
      <w:r>
        <w:t xml:space="preserve"> </w:t>
      </w:r>
      <w:r>
        <w:t xml:space="preserve">adj.</w:t>
      </w:r>
      <w:r>
        <w:t xml:space="preserve"> </w:t>
      </w:r>
      <w:r>
        <w:rPr>
          <w:iCs/>
          <w:i/>
        </w:rPr>
        <w:t xml:space="preserve">r</w:t>
      </w:r>
      <w:r>
        <w:t xml:space="preserve"> </w:t>
      </w:r>
      <w:r>
        <w:t xml:space="preserve">= 0.035) is a call for pre-registered studies with explicit</w:t>
      </w:r>
      <w:r>
        <w:t xml:space="preserve"> </w:t>
      </w:r>
      <w:r>
        <w:t xml:space="preserve">null-hypothesis reporting. Publication practices in the I→P literature,</w:t>
      </w:r>
      <w:r>
        <w:t xml:space="preserve"> </w:t>
      </w:r>
      <w:r>
        <w:t xml:space="preserve">where positive effects are over-represented, may be distorting the</w:t>
      </w:r>
      <w:r>
        <w:t xml:space="preserve"> </w:t>
      </w:r>
      <w:r>
        <w:t xml:space="preserve">field’s understanding of when and why internationalization helps.</w:t>
      </w:r>
      <w:r>
        <w:t xml:space="preserve"> </w:t>
      </w:r>
      <w:r>
        <w:t xml:space="preserve">OSF registration and adoption of three-level MARA with</w:t>
      </w:r>
      <w:r>
        <w:t xml:space="preserve"> </w:t>
      </w:r>
      <w:r>
        <w:t xml:space="preserve">trim-and-fill correction should become standard in future I→P</w:t>
      </w:r>
      <w:r>
        <w:t xml:space="preserve"> </w:t>
      </w:r>
      <w:r>
        <w:t xml:space="preserve">meta-analyses.</w:t>
      </w:r>
    </w:p>
    <w:p>
      <w:pPr>
        <w:pStyle w:val="BodyText"/>
      </w:pPr>
      <w:r>
        <w:rPr>
          <w:bCs/>
          <w:b/>
        </w:rPr>
        <w:t xml:space="preserve">For policymakers:</w:t>
      </w:r>
      <w:r>
        <w:t xml:space="preserve"> </w:t>
      </w:r>
      <w:r>
        <w:t xml:space="preserve">The ICRV Advanced–Emerging gap (</w:t>
      </w:r>
      <w:r>
        <w:rPr>
          <w:iCs/>
          <w:i/>
        </w:rPr>
        <w:t xml:space="preserve">r̄</w:t>
      </w:r>
      <w:r>
        <w:t xml:space="preserve"> </w:t>
      </w:r>
      <w:r>
        <w:t xml:space="preserve">= 0.079 vs.</w:t>
      </w:r>
      <w:r>
        <w:t xml:space="preserve"> </w:t>
      </w:r>
      <w:r>
        <w:t xml:space="preserve">0.068, non-significant) is not large enough to justify institutional</w:t>
      </w:r>
      <w:r>
        <w:t xml:space="preserve"> </w:t>
      </w:r>
      <w:r>
        <w:t xml:space="preserve">quality as the primary determinant of export-led productivity. Export</w:t>
      </w:r>
      <w:r>
        <w:t xml:space="preserve"> </w:t>
      </w:r>
      <w:r>
        <w:t xml:space="preserve">promotion programs should target firm-level capabilities (technological,</w:t>
      </w:r>
      <w:r>
        <w:t xml:space="preserve"> </w:t>
      </w:r>
      <w:r>
        <w:t xml:space="preserve">managerial) as much as institutional reform, given that the</w:t>
      </w:r>
      <w:r>
        <w:t xml:space="preserve"> </w:t>
      </w:r>
      <w:r>
        <w:t xml:space="preserve">institution-performance gradient is not meta-analytically confirmed at</w:t>
      </w:r>
      <w:r>
        <w:t xml:space="preserve"> </w:t>
      </w:r>
      <w:r>
        <w:t xml:space="preserve">current sample sizes.</w:t>
      </w:r>
    </w:p>
    <w:bookmarkEnd w:id="50"/>
    <w:bookmarkStart w:id="51" w:name="limitations-and-inferential-bounds"/>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w:r>
        <w:t xml:space="preserve">≈ 5, wide</w:t>
      </w:r>
      <w:r>
        <w:t xml:space="preserve"> </w:t>
      </w:r>
      <w:r>
        <w:t xml:space="preserve">CI) does not permit definitive conclusions about the</w:t>
      </w:r>
      <w:r>
        <w:t xml:space="preserve"> </w:t>
      </w:r>
      <w:r>
        <w:t xml:space="preserve">“</w:t>
      </w:r>
      <w:r>
        <w:t xml:space="preserve">forced-penalty</w:t>
      </w:r>
      <w:r>
        <w:t xml:space="preserve">”</w:t>
      </w:r>
      <w:r>
        <w:t xml:space="preserve"> </w:t>
      </w:r>
      <w:r>
        <w:t xml:space="preserve">hypothesis, a targeted search for SIDS-focused primary studies (as</w:t>
      </w:r>
      <w:r>
        <w:t xml:space="preserve"> </w:t>
      </w:r>
      <w:r>
        <w:t xml:space="preserve">specified in Appendix B) is required before meta-analytic SIDS effects</w:t>
      </w:r>
      <w:r>
        <w:t xml:space="preserve"> </w:t>
      </w:r>
      <w:r>
        <w:t xml:space="preserve">are precise. (2) The cDAI × ICRV joint moderation (three-way</w:t>
      </w:r>
      <w:r>
        <w:t xml:space="preserve"> </w:t>
      </w:r>
      <w:r>
        <w:t xml:space="preserve">interaction) is underpowered in the current dataset (</w:t>
      </w:r>
      <w:r>
        <w:rPr>
          <w:iCs/>
          <w:i/>
        </w:rPr>
        <w:t xml:space="preserve">k</w:t>
      </w:r>
      <w:r>
        <w:t xml:space="preserve"> </w:t>
      </w:r>
      <w:r>
        <w:t xml:space="preserve">per cell &lt;</w:t>
      </w:r>
      <w:r>
        <w:t xml:space="preserve"> </w:t>
      </w:r>
      <w:r>
        <w:t xml:space="preserve">20); point estimates are provided but confidence intervals are wide. (3)</w:t>
      </w:r>
      <w:r>
        <w:t xml:space="preserve"> </w:t>
      </w:r>
      <w:r>
        <w:t xml:space="preserve">All effect sizes are cross-sectional or panel at the study level, no</w:t>
      </w:r>
      <w:r>
        <w:t xml:space="preserve"> </w:t>
      </w:r>
      <w:r>
        <w:t xml:space="preserve">longitudinal meta-regression can distinguish selection effects from</w:t>
      </w:r>
      <w:r>
        <w:t xml:space="preserve"> </w:t>
      </w:r>
      <w:r>
        <w:t xml:space="preserve">causal learning returns to internationalization.</w:t>
      </w:r>
    </w:p>
    <w:p>
      <w:pPr>
        <w:pStyle w:val="BodyText"/>
      </w:pPr>
      <w:r>
        <w:rPr>
          <w:bCs/>
          <w:b/>
        </w:rPr>
        <w:t xml:space="preserve">(b) Methodological remedies for future work:</w:t>
      </w:r>
      <w:r>
        <w:t xml:space="preserve"> </w:t>
      </w:r>
      <w:r>
        <w:t xml:space="preserve">Panel meta-analysis</w:t>
      </w:r>
      <w:r>
        <w:t xml:space="preserve"> </w:t>
      </w:r>
      <w:r>
        <w:t xml:space="preserve">with longitudinal effect sizes from individual-firm data would enable</w:t>
      </w:r>
      <w:r>
        <w:t xml:space="preserve"> </w:t>
      </w:r>
      <w:r>
        <w:t xml:space="preserve">causal decomposition (Sutton &amp; Higgins, 2008). Bayesian meta-regression</w:t>
      </w:r>
      <w:r>
        <w:t xml:space="preserve"> </w:t>
      </w:r>
      <w:r>
        <w:t xml:space="preserve">with informative priors from country-level panel studies of frontier</w:t>
      </w:r>
      <w:r>
        <w:t xml:space="preserve"> </w:t>
      </w:r>
      <w:r>
        <w:t xml:space="preserve">economies would tighten SIDS regime estimates.</w:t>
      </w:r>
    </w:p>
    <w:p>
      <w:pPr>
        <w:pStyle w:val="BodyText"/>
      </w:pPr>
      <w:r>
        <w:rPr>
          <w:bCs/>
          <w:b/>
        </w:rPr>
        <w:t xml:space="preserve">(c) Boundary of the ICRV classification:</w:t>
      </w:r>
      <w:r>
        <w:t xml:space="preserve"> </w:t>
      </w:r>
      <w:r>
        <w:t xml:space="preserve">The 5-regime taxonomy uses</w:t>
      </w:r>
      <w:r>
        <w:t xml:space="preserve"> </w:t>
      </w:r>
      <w:r>
        <w:t xml:space="preserve">WGI Rule of Law as the primary classifier. Alternative</w:t>
      </w:r>
      <w:r>
        <w:t xml:space="preserve"> </w:t>
      </w:r>
      <w:r>
        <w:t xml:space="preserve">institutions-based classifiers (Heritage Foundation Economic Freedom,</w:t>
      </w:r>
      <w:r>
        <w:t xml:space="preserve"> </w:t>
      </w:r>
      <w:r>
        <w:t xml:space="preserve">Transparency International CPI) yield broadly consistent regime</w:t>
      </w:r>
      <w:r>
        <w:t xml:space="preserve"> </w:t>
      </w:r>
      <w:r>
        <w:t xml:space="preserve">assignments but differ at the margin for Regime II/III border cases.</w:t>
      </w:r>
    </w:p>
    <w:bookmarkEnd w:id="51"/>
    <w:bookmarkEnd w:id="52"/>
    <w:bookmarkStart w:id="53" w:name="conclusion"/>
    <w:p>
      <w:pPr>
        <w:pStyle w:val="Heading2"/>
      </w:pPr>
      <w:r>
        <w:t xml:space="preserve">6. Conclusion</w:t>
      </w:r>
    </w:p>
    <w:p>
      <w:pPr>
        <w:pStyle w:val="FirstParagraph"/>
      </w:pPr>
      <w:r>
        <w:t xml:space="preserve">This paper presents the first three-level MARA of the</w:t>
      </w:r>
      <w:r>
        <w:t xml:space="preserve"> </w:t>
      </w:r>
      <w:r>
        <w:t xml:space="preserve">internationalization–performance relationship drawing on a globally</w:t>
      </w:r>
      <w:r>
        <w:t xml:space="preserve"> </w:t>
      </w:r>
      <w:r>
        <w:t xml:space="preserve">representative corpus, extending the ICBEF 2025 Asia-Pacific baseline</w:t>
      </w:r>
      <w:r>
        <w:t xml:space="preserve"> </w:t>
      </w:r>
      <w:r>
        <w:t xml:space="preserve">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studies from 49 economies (</w:t>
      </w:r>
      <w:r>
        <w:rPr>
          <w:iCs/>
          <w:i/>
        </w:rPr>
        <w:t xml:space="preserve">K</w:t>
      </w:r>
      <w:r>
        <w:t xml:space="preserve"> </w:t>
      </w:r>
      <w:r>
        <w:t xml:space="preserve">= 288</w:t>
      </w:r>
      <w:r>
        <w:t xml:space="preserve"> </w:t>
      </w:r>
      <w:r>
        <w:t xml:space="preserve">effects) and introducing three novel moderators for formal meta-analytic</w:t>
      </w:r>
      <w:r>
        <w:t xml:space="preserve"> </w:t>
      </w:r>
      <w:r>
        <w:t xml:space="preserve">testing: ICRV institutional regime, country-level digital adoption</w:t>
      </w:r>
      <w:r>
        <w:t xml:space="preserve"> </w:t>
      </w:r>
      <w:r>
        <w:t xml:space="preserve">(cDAI), and Digital Paradox Lifecycle (DPL) phase. The three-level</w:t>
      </w:r>
      <w:r>
        <w:t xml:space="preserve"> </w:t>
      </w:r>
      <w:r>
        <w:t xml:space="preserve">pooled effect (</w:t>
      </w:r>
      <w:r>
        <w:rPr>
          <w:iCs/>
          <w:i/>
        </w:rPr>
        <w:t xml:space="preserve">r</w:t>
      </w:r>
      <w:r>
        <w:t xml:space="preserve"> </w:t>
      </w:r>
      <w:r>
        <w:t xml:space="preserve">= 0.074, 95% CI [0.060, 0.088],</w:t>
      </w:r>
      <w:r>
        <w:t xml:space="preserve"> </w:t>
      </w:r>
      <w:r>
        <w:rPr>
          <w:iCs/>
          <w:i/>
        </w:rPr>
        <w:t xml:space="preserve">I</w:t>
      </w:r>
      <w:r>
        <w:t xml:space="preserve">²_total = 62.5%)</w:t>
      </w:r>
      <w:r>
        <w:t xml:space="preserve"> </w:t>
      </w:r>
      <w:r>
        <w:t xml:space="preserve">confirms a small but consistent positive I→P relationship globally,</w:t>
      </w:r>
      <w:r>
        <w:t xml:space="preserve"> </w:t>
      </w:r>
      <w:r>
        <w:t xml:space="preserve">robust across seven sensitivity checks.</w:t>
      </w:r>
    </w:p>
    <w:p>
      <w:pPr>
        <w:pStyle w:val="BodyText"/>
      </w:pPr>
      <w:r>
        <w:t xml:space="preserve">H1 (ICRV between-regime Q_M test) is confirmed (</w:t>
      </w:r>
      <w:r>
        <w:rPr>
          <w:iCs/>
          <w:i/>
        </w:rPr>
        <w:t xml:space="preserve">Q</w:t>
      </w:r>
      <w:r>
        <w:t xml:space="preserve">_M = 17.35,</w:t>
      </w:r>
      <w:r>
        <w:t xml:space="preserve"> </w:t>
      </w:r>
      <w:r>
        <w:rPr>
          <w:iCs/>
          <w:i/>
        </w:rPr>
        <w:t xml:space="preserve">p</w:t>
      </w:r>
      <w:r>
        <w:t xml:space="preserve"> </w:t>
      </w:r>
      <w:r>
        <w:t xml:space="preserve">=</w:t>
      </w:r>
      <w:r>
        <w:t xml:space="preserve"> </w:t>
      </w:r>
      <w:r>
        <w:t xml:space="preserve">.002), establishing that I→P effect sizes vary systematically across</w:t>
      </w:r>
      <w:r>
        <w:t xml:space="preserve"> </w:t>
      </w:r>
      <w:r>
        <w:t xml:space="preserve">institutional regimes. However, the directional gradient (E1a: Advanced</w:t>
      </w:r>
      <w:r>
        <w:t xml:space="preserve"> </w:t>
      </w:r>
      <w:r>
        <w:t xml:space="preserve">largest; E1b: Frontier smallest) is not meta-analytically confirmable at</w:t>
      </w:r>
      <w:r>
        <w:t xml:space="preserve"> </w:t>
      </w:r>
      <w:r>
        <w:rPr>
          <w:iCs/>
          <w:i/>
        </w:rPr>
        <w:t xml:space="preserve">k</w:t>
      </w:r>
      <w:r>
        <w:t xml:space="preserve"> </w:t>
      </w:r>
      <w:r>
        <w:t xml:space="preserve">= 3 Frontier, and the cDAI (H3:</w:t>
      </w:r>
      <w:r>
        <w:t xml:space="preserve"> </w:t>
      </w:r>
      <w:r>
        <w:rPr>
          <w:iCs/>
          <w:i/>
        </w:rPr>
        <w:t xml:space="preserve">Q</w:t>
      </w:r>
      <w:r>
        <w:t xml:space="preserve">_M = 1.34,</w:t>
      </w:r>
      <w:r>
        <w:t xml:space="preserve"> </w:t>
      </w:r>
      <w:r>
        <w:rPr>
          <w:iCs/>
          <w:i/>
        </w:rPr>
        <w:t xml:space="preserve">p</w:t>
      </w:r>
      <w:r>
        <w:t xml:space="preserve"> </w:t>
      </w:r>
      <w:r>
        <w:t xml:space="preserve">= .513) and DPL</w:t>
      </w:r>
      <w:r>
        <w:t xml:space="preserve"> </w:t>
      </w:r>
      <w:r>
        <w:t xml:space="preserve">phase (H2:</w:t>
      </w:r>
      <w:r>
        <w:t xml:space="preserve"> </w:t>
      </w:r>
      <w:r>
        <w:rPr>
          <w:iCs/>
          <w:i/>
        </w:rPr>
        <w:t xml:space="preserve">Q</w:t>
      </w:r>
      <w:r>
        <w:t xml:space="preserve">_M = 0.62,</w:t>
      </w:r>
      <w:r>
        <w:t xml:space="preserve"> </w:t>
      </w:r>
      <w:r>
        <w:rPr>
          <w:iCs/>
          <w:i/>
        </w:rPr>
        <w:t xml:space="preserve">p</w:t>
      </w:r>
      <w:r>
        <w:t xml:space="preserve"> </w:t>
      </w:r>
      <w:r>
        <w:t xml:space="preserve">= .734) moderators do not explain</w:t>
      </w:r>
      <w:r>
        <w:t xml:space="preserve"> </w:t>
      </w:r>
      <w:r>
        <w:t xml:space="preserve">between-study heterogeneity in the current sample. The CIMT</w:t>
      </w:r>
      <w:r>
        <w:t xml:space="preserve"> </w:t>
      </w:r>
      <w:r>
        <w:t xml:space="preserve">institutional gradient (E1a/E1b), digital infrastructure amplification</w:t>
      </w:r>
      <w:r>
        <w:t xml:space="preserve"> </w:t>
      </w:r>
      <w:r>
        <w:t xml:space="preserve">(H3), and DPL temporal moderation (H2) remain theoretically motivated</w:t>
      </w:r>
      <w:r>
        <w:t xml:space="preserve"> </w:t>
      </w:r>
      <w:r>
        <w:t xml:space="preserve">but empirically unconfirmed at</w:t>
      </w:r>
      <w:r>
        <w:t xml:space="preserve"> </w:t>
      </w:r>
      <w:r>
        <w:rPr>
          <w:iCs/>
          <w:i/>
        </w:rPr>
        <w:t xml:space="preserve">k</w:t>
      </w:r>
      <w:r>
        <w:t xml:space="preserve"> </w:t>
      </w:r>
      <w:r>
        <w:t xml:space="preserve">= 238, null results that should</w:t>
      </w:r>
      <w:r>
        <w:t xml:space="preserve"> </w:t>
      </w:r>
      <w:r>
        <w:t xml:space="preserve">inform future pre-registered replications with targeted regime-level</w:t>
      </w:r>
      <w:r>
        <w:t xml:space="preserve"> </w:t>
      </w:r>
      <w:r>
        <w:t xml:space="preserve">sampling.</w:t>
      </w:r>
    </w:p>
    <w:p>
      <w:pPr>
        <w:pStyle w:val="BodyText"/>
      </w:pPr>
      <w:r>
        <w:t xml:space="preserve">The most substantive empirical finding is substantial publication bias:</w:t>
      </w:r>
      <w:r>
        <w:t xml:space="preserve"> </w:t>
      </w:r>
      <w:r>
        <w:t xml:space="preserve">trim-and-fill imputes</w:t>
      </w:r>
      <w:r>
        <w:t xml:space="preserve"> </w:t>
      </w:r>
      <w:r>
        <w:rPr>
          <w:iCs/>
          <w:i/>
        </w:rPr>
        <w:t xml:space="preserve">k</w:t>
      </w:r>
      <w:r>
        <w:t xml:space="preserve"> </w:t>
      </w:r>
      <w:r>
        <w:t xml:space="preserve">= 57 missing studies, reducing the</w:t>
      </w:r>
      <w:r>
        <w:t xml:space="preserve"> </w:t>
      </w:r>
      <w:r>
        <w:t xml:space="preserve">bias-corrected pooled effect to</w:t>
      </w:r>
      <w:r>
        <w:t xml:space="preserve"> </w:t>
      </w:r>
      <w:r>
        <w:rPr>
          <w:iCs/>
          <w:i/>
        </w:rPr>
        <w:t xml:space="preserve">r</w:t>
      </w:r>
      <w:r>
        <w:t xml:space="preserve"> </w:t>
      </w:r>
      <w:r>
        <w:t xml:space="preserve">= 0.035 (95% CI [0.018, 0.051])</w:t>
      </w:r>
      <w:r>
        <w:t xml:space="preserve"> </w:t>
      </w:r>
      <w:r>
        <w:t xml:space="preserve">positive but considerably attenuated. This suggests that the I→P field’s</w:t>
      </w:r>
      <w:r>
        <w:t xml:space="preserve"> </w:t>
      </w:r>
      <w:r>
        <w:t xml:space="preserve">published literature over-represents positive results, and that the true</w:t>
      </w:r>
      <w:r>
        <w:t xml:space="preserve"> </w:t>
      </w:r>
      <w:r>
        <w:t xml:space="preserve">average performance return to internationalization is closer to</w:t>
      </w:r>
      <w:r>
        <w:t xml:space="preserve"> </w:t>
      </w:r>
      <w:r>
        <w:rPr>
          <w:iCs/>
          <w:i/>
        </w:rPr>
        <w:t xml:space="preserve">r</w:t>
      </w:r>
      <w:r>
        <w:t xml:space="preserve"> </w:t>
      </w:r>
      <w:r>
        <w:t xml:space="preserve">≈</w:t>
      </w:r>
      <w:r>
        <w:t xml:space="preserve"> </w:t>
      </w:r>
      <w:r>
        <w:t xml:space="preserve">0.035 than the oft-cited figures in the 0.07–0.10 range. The</w:t>
      </w:r>
      <w:r>
        <w:t xml:space="preserve"> </w:t>
      </w:r>
      <w:r>
        <w:t xml:space="preserve">heterogeneity puzzle (</w:t>
      </w:r>
      <w:r>
        <w:rPr>
          <w:iCs/>
          <w:i/>
        </w:rPr>
        <w:t xml:space="preserve">I</w:t>
      </w:r>
      <w:r>
        <w:t xml:space="preserve">² = 62.5%) remains largely unresolved, with</w:t>
      </w:r>
      <w:r>
        <w:t xml:space="preserve"> </w:t>
      </w:r>
      <w:r>
        <w:t xml:space="preserve">within-study variance (Level 2, 54.1%) dominating between-study variance</w:t>
      </w:r>
      <w:r>
        <w:t xml:space="preserve"> </w:t>
      </w:r>
      <w:r>
        <w:t xml:space="preserve">(Level 3, 8.4%), suggesting that DOI operationalization and performance</w:t>
      </w:r>
      <w:r>
        <w:t xml:space="preserve"> </w:t>
      </w:r>
      <w:r>
        <w:t xml:space="preserve">measure choices within papers are more important sources of</w:t>
      </w:r>
      <w:r>
        <w:t xml:space="preserve"> </w:t>
      </w:r>
      <w:r>
        <w:t xml:space="preserve">heterogeneity than cross-country institutional differences.</w:t>
      </w:r>
    </w:p>
    <w:p>
      <w:pPr>
        <w:pStyle w:val="BodyText"/>
      </w:pPr>
      <w:r>
        <w:rPr>
          <w:bCs/>
          <w:b/>
        </w:rPr>
        <w:t xml:space="preserve">Limitations.</w:t>
      </w:r>
      <w:r>
        <w:t xml:space="preserve"> </w:t>
      </w:r>
      <w:r>
        <w:t xml:space="preserve">Five inferential constraints bound these conclusions.</w:t>
      </w:r>
      <w:r>
        <w:t xml:space="preserve"> </w:t>
      </w:r>
      <w:r>
        <w:t xml:space="preserve">First, the three moderator hypotheses are not confirmed in the present</w:t>
      </w:r>
      <w:r>
        <w:t xml:space="preserve"> </w:t>
      </w:r>
      <w:r>
        <w:rPr>
          <w:iCs/>
          <w:i/>
        </w:rPr>
        <w:t xml:space="preserve">k</w:t>
      </w:r>
      <w:r>
        <w:t xml:space="preserve"> </w:t>
      </w:r>
      <w:r>
        <w:t xml:space="preserve">= 238 corpus; this may reflect insufficient regime-level</w:t>
      </w:r>
      <w:r>
        <w:t xml:space="preserve"> </w:t>
      </w:r>
      <w:r>
        <w:rPr>
          <w:iCs/>
          <w:i/>
        </w:rPr>
        <w:t xml:space="preserve">k</w:t>
      </w:r>
      <w:r>
        <w:t xml:space="preserve"> </w:t>
      </w:r>
      <w:r>
        <w:t xml:space="preserve">(Frontier:</w:t>
      </w:r>
      <w:r>
        <w:t xml:space="preserve"> </w:t>
      </w:r>
      <w:r>
        <w:rPr>
          <w:iCs/>
          <w:i/>
        </w:rPr>
        <w:t xml:space="preserve">k</w:t>
      </w:r>
      <w:r>
        <w:t xml:space="preserve"> </w:t>
      </w:r>
      <w:r>
        <w:t xml:space="preserve">= 3; SIDS:</w:t>
      </w:r>
      <w:r>
        <w:t xml:space="preserve"> </w:t>
      </w:r>
      <w:r>
        <w:rPr>
          <w:iCs/>
          <w:i/>
        </w:rPr>
        <w:t xml:space="preserve">k</w:t>
      </w:r>
      <w:r>
        <w:t xml:space="preserve"> </w:t>
      </w:r>
      <w:r>
        <w:t xml:space="preserve">= 0) rather than genuine null effects.</w:t>
      </w:r>
      <w:r>
        <w:t xml:space="preserve"> </w:t>
      </w:r>
      <w:r>
        <w:t xml:space="preserve">A formal WoS/Scopus search targeting Frontier and SIDS contexts is</w:t>
      </w:r>
      <w:r>
        <w:t xml:space="preserve"> </w:t>
      </w:r>
      <w:r>
        <w:t xml:space="preserve">required before the ICRV null result can be interpreted as definitive.</w:t>
      </w:r>
      <w:r>
        <w:t xml:space="preserve"> </w:t>
      </w:r>
      <w:r>
        <w:t xml:space="preserve">Second, the Frontier-group anomaly (</w:t>
      </w:r>
      <w:r>
        <w:rPr>
          <w:iCs/>
          <w:i/>
        </w:rPr>
        <w:t xml:space="preserve">k</w:t>
      </w:r>
      <w:r>
        <w:t xml:space="preserve"> </w:t>
      </w:r>
      <w:r>
        <w:t xml:space="preserve">= 3,</w:t>
      </w:r>
      <w:r>
        <w:t xml:space="preserve"> </w:t>
      </w:r>
      <w:r>
        <w:rPr>
          <w:iCs/>
          <w:i/>
        </w:rPr>
        <w:t xml:space="preserve">r̄</w:t>
      </w:r>
      <w:r>
        <w:t xml:space="preserve"> </w:t>
      </w:r>
      <w:r>
        <w:t xml:space="preserve">= 0.349, dominated by</w:t>
      </w:r>
      <w:r>
        <w:t xml:space="preserve"> </w:t>
      </w:r>
      <w:r>
        <w:t xml:space="preserve">Pouresmaeili et al. 2018) is the sole driver of ICRV significance;</w:t>
      </w:r>
      <w:r>
        <w:t xml:space="preserve"> </w:t>
      </w:r>
      <w:r>
        <w:t xml:space="preserve">future work should reassess this coding and search for additional</w:t>
      </w:r>
      <w:r>
        <w:t xml:space="preserve"> </w:t>
      </w:r>
      <w:r>
        <w:t xml:space="preserve">Frontier-regime studies. Third, cDAI is measured at the study level</w:t>
      </w:r>
      <w:r>
        <w:t xml:space="preserve"> </w:t>
      </w:r>
      <w:r>
        <w:t xml:space="preserve">using country-year World Bank Digital Adoption Index scores (primary) or</w:t>
      </w:r>
      <w:r>
        <w:t xml:space="preserve"> </w:t>
      </w:r>
      <w:r>
        <w:t xml:space="preserve">ITU Digital Development Index (secondary), not direct replication of the</w:t>
      </w:r>
      <w:r>
        <w:t xml:space="preserve"> </w:t>
      </w:r>
      <w:r>
        <w:t xml:space="preserve">WBES firm-level indicators used in the companion primary studies; any</w:t>
      </w:r>
      <w:r>
        <w:t xml:space="preserve"> </w:t>
      </w:r>
      <w:r>
        <w:t xml:space="preserve">systematic error in the country-year DAI assignment, for instance, from</w:t>
      </w:r>
      <w:r>
        <w:t xml:space="preserve"> </w:t>
      </w:r>
      <w:r>
        <w:t xml:space="preserve">vintage mismatch between the study’s data period and the DAI score’s</w:t>
      </w:r>
      <w:r>
        <w:t xml:space="preserve"> </w:t>
      </w:r>
      <w:r>
        <w:t xml:space="preserve">reference year, may attenuate the moderation coefficient. Fourth, the</w:t>
      </w:r>
      <w:r>
        <w:t xml:space="preserve"> </w:t>
      </w:r>
      <w:r>
        <w:t xml:space="preserve">systematic search was restricted to English-language publications;</w:t>
      </w:r>
      <w:r>
        <w:t xml:space="preserve"> </w:t>
      </w:r>
      <w:r>
        <w:t xml:space="preserve">non-English studies (Chinese, Japanese, Korean, Southeast Asian) are</w:t>
      </w:r>
      <w:r>
        <w:t xml:space="preserve"> </w:t>
      </w:r>
      <w:r>
        <w:t xml:space="preserve">underrepresented, potentially biasing regime distribution toward</w:t>
      </w:r>
      <w:r>
        <w:t xml:space="preserve"> </w:t>
      </w:r>
      <w:r>
        <w:t xml:space="preserve">Advanced economies. Fifth, reliability is established on a 20% double-coded subsample (</w:t>
      </w:r>
      <w:r>
        <w:rPr>
          <w:iCs/>
          <w:i/>
        </w:rPr>
        <w:t xml:space="preserve">k</w:t>
      </w:r>
      <w:r>
        <w:t xml:space="preserve"> </w:t>
      </w:r>
      <w:r>
        <w:t xml:space="preserve">= 47 studies), with the two authors coding independently and agreement reported in Table 3.1; the remaining 80% is single-coded by the first author against the codebook, which, while standard for resource-bounded syntheses, cannot be independently validated.</w:t>
      </w:r>
    </w:p>
    <w:p>
      <w:pPr>
        <w:pStyle w:val="BodyText"/>
      </w:pPr>
      <w:r>
        <w:rPr>
          <w:bCs/>
          <w:b/>
        </w:rPr>
        <w:t xml:space="preserve">Future research.</w:t>
      </w:r>
      <w:r>
        <w:t xml:space="preserve"> </w:t>
      </w:r>
      <w:r>
        <w:t xml:space="preserve">Three directions follow directly from the null</w:t>
      </w:r>
      <w:r>
        <w:t xml:space="preserve"> </w:t>
      </w:r>
      <w:r>
        <w:t xml:space="preserve">moderator findings. First, a formal WoS/Scopus systematic search</w:t>
      </w:r>
      <w:r>
        <w:t xml:space="preserve"> </w:t>
      </w:r>
      <w:r>
        <w:t xml:space="preserve">targeting Frontier and SIDS economy I→P studies (targeted search</w:t>
      </w:r>
      <w:r>
        <w:t xml:space="preserve"> </w:t>
      </w:r>
      <w:r>
        <w:t xml:space="preserve">strings, Appendix B) would expand Frontier</w:t>
      </w:r>
      <w:r>
        <w:t xml:space="preserve"> </w:t>
      </w:r>
      <w:r>
        <w:rPr>
          <w:iCs/>
          <w:i/>
        </w:rPr>
        <w:t xml:space="preserve">k</w:t>
      </w:r>
      <w:r>
        <w:t xml:space="preserve"> </w:t>
      </w:r>
      <w:r>
        <w:t xml:space="preserve">from 3 to potentially</w:t>
      </w:r>
      <w:r>
        <w:t xml:space="preserve"> </w:t>
      </w:r>
      <w:r>
        <w:t xml:space="preserve">20–40 studies, enabling a meaningful test of the ICRV Frontier cell.</w:t>
      </w:r>
      <w:r>
        <w:t xml:space="preserve"> </w:t>
      </w:r>
      <w:r>
        <w:t xml:space="preserve">Second, a pre-registered replication of the ICRV, cDAI, and DPL</w:t>
      </w:r>
      <w:r>
        <w:t xml:space="preserve"> </w:t>
      </w:r>
      <w:r>
        <w:t xml:space="preserve">moderator hypotheses, with explicit power analysis for each regime cell</w:t>
      </w:r>
      <w:r>
        <w:t xml:space="preserve"> </w:t>
      </w:r>
      <w:r>
        <w:t xml:space="preserve">and OSF registration, would provide a definitive test of whether</w:t>
      </w:r>
      <w:r>
        <w:t xml:space="preserve"> </w:t>
      </w:r>
      <w:r>
        <w:t xml:space="preserve">these moderators reach significance in a</w:t>
      </w:r>
      <w:r>
        <w:t xml:space="preserve"> </w:t>
      </w:r>
      <w:r>
        <w:rPr>
          <w:iCs/>
          <w:i/>
        </w:rPr>
        <w:t xml:space="preserve">k</w:t>
      </w:r>
      <w:r>
        <w:t xml:space="preserve"> </w:t>
      </w:r>
      <w:r>
        <w:t xml:space="preserve">≥ 400 corpus. Third, the</w:t>
      </w:r>
      <w:r>
        <w:t xml:space="preserve"> </w:t>
      </w:r>
      <w:r>
        <w:t xml:space="preserve">substantial publication bias finding (</w:t>
      </w:r>
      <w:r>
        <w:rPr>
          <w:iCs/>
          <w:i/>
        </w:rPr>
        <w:t xml:space="preserve">k</w:t>
      </w:r>
      <w:r>
        <w:t xml:space="preserve"> </w:t>
      </w:r>
      <w:r>
        <w:t xml:space="preserve">= 57 imputed, adj.</w:t>
      </w:r>
      <w:r>
        <w:t xml:space="preserve"> </w:t>
      </w:r>
      <w:r>
        <w:rPr>
          <w:iCs/>
          <w:i/>
        </w:rPr>
        <w:t xml:space="preserve">r</w:t>
      </w:r>
      <w:r>
        <w:t xml:space="preserve"> </w:t>
      </w:r>
      <w:r>
        <w:t xml:space="preserve">=</w:t>
      </w:r>
      <w:r>
        <w:t xml:space="preserve"> </w:t>
      </w:r>
      <w:r>
        <w:t xml:space="preserve">0.035) motivates a dedicated publication bias audit: surveying I→P</w:t>
      </w:r>
      <w:r>
        <w:t xml:space="preserve"> </w:t>
      </w:r>
      <w:r>
        <w:t xml:space="preserve">researchers about unpublished null results, and meta-analyzing grey</w:t>
      </w:r>
      <w:r>
        <w:t xml:space="preserve"> </w:t>
      </w:r>
      <w:r>
        <w:t xml:space="preserve">literature and dissertations, would bound the true population effect</w:t>
      </w:r>
      <w:r>
        <w:t xml:space="preserve"> </w:t>
      </w:r>
      <w:r>
        <w:t xml:space="preserve">more precisely than trim-and-fill alone.</w:t>
      </w:r>
    </w:p>
    <w:bookmarkEnd w:id="53"/>
    <w:bookmarkStart w:id="54" w:name="funding"/>
    <w:p>
      <w:pPr>
        <w:pStyle w:val="Heading2"/>
      </w:pPr>
      <w:r>
        <w:t xml:space="preserve">Funding</w:t>
      </w:r>
    </w:p>
    <w:p>
      <w:pPr>
        <w:pStyle w:val="FirstParagraph"/>
      </w:pPr>
      <w:r>
        <w:t xml:space="preserve">This research received no specific grant from any funding agency in the</w:t>
      </w:r>
      <w:r>
        <w:t xml:space="preserve"> </w:t>
      </w:r>
      <w:r>
        <w:t xml:space="preserve">public, commercial, or not-for-profit sectors.</w:t>
      </w:r>
    </w:p>
    <w:bookmarkEnd w:id="54"/>
    <w:bookmarkStart w:id="55" w:name="competing-interests"/>
    <w:p>
      <w:pPr>
        <w:pStyle w:val="Heading2"/>
      </w:pPr>
      <w:r>
        <w:t xml:space="preserve">Competing Interests</w:t>
      </w:r>
    </w:p>
    <w:p>
      <w:pPr>
        <w:pStyle w:val="FirstParagraph"/>
      </w:pPr>
      <w:r>
        <w:t xml:space="preserve">The authors declare no conflict of interest.</w:t>
      </w:r>
    </w:p>
    <w:bookmarkEnd w:id="55"/>
    <w:bookmarkStart w:id="56"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w:t>
      </w:r>
      <w:r>
        <w:t xml:space="preserve"> </w:t>
      </w:r>
      <w:r>
        <w:t xml:space="preserve">(</w:t>
      </w:r>
      <w:r>
        <w:rPr>
          <w:rStyle w:val="VerbatimChar"/>
        </w:rPr>
        <w:t xml:space="preserve">metafor</w:t>
      </w:r>
      <w:r>
        <w:t xml:space="preserve">), and the OSF registration protocol are available from</w:t>
      </w:r>
      <w:r>
        <w:t xml:space="preserve"> </w:t>
      </w:r>
      <w:r>
        <w:t xml:space="preserve">the corresponding author upon reasonable request. The PRISMA 2020</w:t>
      </w:r>
      <w:r>
        <w:t xml:space="preserve"> </w:t>
      </w:r>
      <w:r>
        <w:t xml:space="preserve">checklist is provided as supplementary material.</w:t>
      </w:r>
    </w:p>
    <w:bookmarkEnd w:id="56"/>
    <w:bookmarkStart w:id="57"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two software aids, each under full human control and verification. First, a purpose-built large-language-model-assisted tool (M-AIDA, using Anthropic Claude) was used to assist effect-size extraction and statistical conversion from the primary studies; every value proposed by the tool was independently checked, corrected where necessary, and permanently locked by the Principal Investigator before entry into the analysis database. Second, Grammarly was used to correct spelling, grammar, and punctuation in the authors’ own text. No generative AI tool selected studies, made eligibility decisions, performed the statistical analysis, or generated any interpretive or written content; the authors reviewed all outputs and take full responsibility for the content of the publication.</w:t>
      </w:r>
    </w:p>
    <w:bookmarkEnd w:id="57"/>
    <w:bookmarkStart w:id="61" w:name="references"/>
    <w:p>
      <w:pPr>
        <w:pStyle w:val="Heading2"/>
      </w:pPr>
      <w:r>
        <w:t xml:space="preserve">References</w:t>
      </w:r>
    </w:p>
    <w:p>
      <w:pPr>
        <w:pStyle w:val="FirstParagraph"/>
      </w:pPr>
      <w:r>
        <w:t xml:space="preserve">Aguinis, H., Dalton, D. R., Bosco, F. A., Pierce, C. A., &amp; Dalton, C. M.</w:t>
      </w:r>
      <w:r>
        <w:t xml:space="preserve"> </w:t>
      </w:r>
      <w:r>
        <w:t xml:space="preserve">(2011). Meta-analytic choices and judgment calls: Implications for</w:t>
      </w:r>
      <w:r>
        <w:t xml:space="preserve"> </w:t>
      </w:r>
      <w:r>
        <w:t xml:space="preserve">theory and research.</w:t>
      </w:r>
      <w:r>
        <w:t xml:space="preserve"> </w:t>
      </w:r>
      <w:r>
        <w:rPr>
          <w:iCs/>
          <w:i/>
        </w:rPr>
        <w:t xml:space="preserve">Journal of Management, 37</w:t>
      </w:r>
      <w:r>
        <w:t xml:space="preserve">(1), 5–38.</w:t>
      </w:r>
    </w:p>
    <w:p>
      <w:pPr>
        <w:pStyle w:val="BodyText"/>
      </w:pPr>
      <w:r>
        <w:t xml:space="preserve">Arte, P., &amp; Larimo, J. (2022). Moderating influence of product</w:t>
      </w:r>
      <w:r>
        <w:t xml:space="preserve"> </w:t>
      </w:r>
      <w:r>
        <w:t xml:space="preserve">diversification on the internationalization-performance relationship:</w:t>
      </w:r>
      <w:r>
        <w:t xml:space="preserve"> </w:t>
      </w:r>
      <w:r>
        <w:t xml:space="preserve">Insights from meta-analysis.</w:t>
      </w:r>
      <w:r>
        <w:t xml:space="preserve"> </w:t>
      </w:r>
      <w:r>
        <w:rPr>
          <w:iCs/>
          <w:i/>
        </w:rPr>
        <w:t xml:space="preserve">Journal of Business Research, 139</w:t>
      </w:r>
      <w:r>
        <w:t xml:space="preserve">,</w:t>
      </w:r>
      <w:r>
        <w:t xml:space="preserve"> </w:t>
      </w:r>
      <w:r>
        <w:t xml:space="preserve">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w:t>
      </w:r>
      <w:r>
        <w:t xml:space="preserve"> </w:t>
      </w:r>
      <w:r>
        <w:t xml:space="preserve">on the internationalization–performance relationship: Evidence from</w:t>
      </w:r>
      <w:r>
        <w:t xml:space="preserve"> </w:t>
      </w:r>
      <w:r>
        <w:t xml:space="preserve">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w:t>
      </w:r>
      <w:r>
        <w:t xml:space="preserve"> </w:t>
      </w:r>
      <w:r>
        <w:t xml:space="preserve">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w:t>
      </w:r>
      <w:r>
        <w:t xml:space="preserve"> </w:t>
      </w:r>
      <w:r>
        <w:t xml:space="preserve">Digital business strategy: Toward a next generation of insights.</w:t>
      </w:r>
      <w:r>
        <w:t xml:space="preserve"> </w:t>
      </w:r>
      <w:r>
        <w:rPr>
          <w:iCs/>
          <w:i/>
        </w:rPr>
        <w:t xml:space="preserve">MIS</w:t>
      </w:r>
      <w:r>
        <w:rPr>
          <w:iCs/>
          <w:i/>
        </w:rPr>
        <w:t xml:space="preserve"> </w:t>
      </w:r>
      <w:r>
        <w:rPr>
          <w:iCs/>
          <w:i/>
        </w:rPr>
        <w:t xml:space="preserve">Quarterly, 37</w:t>
      </w:r>
      <w:r>
        <w:t xml:space="preserve">(2), 471–482.</w:t>
      </w:r>
    </w:p>
    <w:p>
      <w:pPr>
        <w:pStyle w:val="BodyText"/>
      </w:pPr>
      <w:r>
        <w:t xml:space="preserve">Borenstein, M., Hedges, L. V., Higgins, J. P. T., &amp; Rothstein, H. R.</w:t>
      </w:r>
      <w:r>
        <w:t xml:space="preserve"> </w:t>
      </w:r>
      <w:r>
        <w:t xml:space="preserve">(2021).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w:t>
      </w:r>
      <w:r>
        <w:t xml:space="preserve"> </w:t>
      </w:r>
      <w:r>
        <w:t xml:space="preserve">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w:t>
      </w:r>
      <w:r>
        <w:t xml:space="preserve"> </w:t>
      </w:r>
      <w:r>
        <w:t xml:space="preserve">digital capabilities and the internationalization of SMEs.</w:t>
      </w:r>
      <w:r>
        <w:t xml:space="preserve"> </w:t>
      </w:r>
      <w:r>
        <w:rPr>
          <w:iCs/>
          <w:i/>
        </w:rPr>
        <w:t xml:space="preserve">Journal of</w:t>
      </w:r>
      <w:r>
        <w:rPr>
          <w:iCs/>
          <w:i/>
        </w:rPr>
        <w:t xml:space="preserve"> </w:t>
      </w:r>
      <w:r>
        <w:rPr>
          <w:iCs/>
          <w:i/>
        </w:rPr>
        <w:t xml:space="preserve">International Business Studies, 53</w:t>
      </w:r>
      <w:r>
        <w:t xml:space="preserve">(3), 524–546.</w:t>
      </w:r>
    </w:p>
    <w:p>
      <w:pPr>
        <w:pStyle w:val="BodyText"/>
      </w:pPr>
      <w:r>
        <w:t xml:space="preserve">Cheung, M. W.-L. (2014). Modeling dependent effect sizes with</w:t>
      </w:r>
      <w:r>
        <w:t xml:space="preserve"> </w:t>
      </w:r>
      <w:r>
        <w:t xml:space="preserve">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w:t>
      </w:r>
      <w:r>
        <w:rPr>
          <w:iCs/>
          <w:i/>
        </w:rPr>
        <w:t xml:space="preserve"> </w:t>
      </w:r>
      <w:r>
        <w:rPr>
          <w:iCs/>
          <w:i/>
        </w:rPr>
        <w:t xml:space="preserve">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w:t>
      </w:r>
      <w:r>
        <w:rPr>
          <w:iCs/>
          <w:i/>
        </w:rPr>
        <w:t xml:space="preserve"> </w:t>
      </w:r>
      <w:r>
        <w:rPr>
          <w:iCs/>
          <w:i/>
        </w:rPr>
        <w:t xml:space="preserve">approach</w:t>
      </w:r>
      <w:r>
        <w:t xml:space="preserve"> </w:t>
      </w:r>
      <w:r>
        <w:t xml:space="preserve">(4th ed.). Sage.</w:t>
      </w:r>
    </w:p>
    <w:p>
      <w:pPr>
        <w:pStyle w:val="BodyText"/>
      </w:pPr>
      <w:r>
        <w:t xml:space="preserve">David, P. A. (1990). The dynamo and the computer: An historical</w:t>
      </w:r>
      <w:r>
        <w:t xml:space="preserve"> </w:t>
      </w:r>
      <w:r>
        <w:t xml:space="preserve">perspective on the modern productivity paradox.</w:t>
      </w:r>
      <w:r>
        <w:t xml:space="preserve"> </w:t>
      </w:r>
      <w:r>
        <w:rPr>
          <w:iCs/>
          <w:i/>
        </w:rPr>
        <w:t xml:space="preserve">American Economic</w:t>
      </w:r>
      <w:r>
        <w:rPr>
          <w:iCs/>
          <w:i/>
        </w:rPr>
        <w:t xml:space="preserve"> </w:t>
      </w:r>
      <w:r>
        <w:rPr>
          <w:iCs/>
          <w:i/>
        </w:rPr>
        <w:t xml:space="preserve">Review, 80</w:t>
      </w:r>
      <w:r>
        <w:t xml:space="preserve">(2), 355–361.</w:t>
      </w:r>
    </w:p>
    <w:p>
      <w:pPr>
        <w:pStyle w:val="BodyText"/>
      </w:pPr>
      <w:r>
        <w:t xml:space="preserve">Do, T. H., &amp; Phan, A. T. (2024, December).</w:t>
      </w:r>
      <w:r>
        <w:t xml:space="preserve"> </w:t>
      </w:r>
      <w:r>
        <w:rPr>
          <w:iCs/>
          <w:i/>
        </w:rPr>
        <w:t xml:space="preserve">Internationalization and</w:t>
      </w:r>
      <w:r>
        <w:rPr>
          <w:iCs/>
          <w:i/>
        </w:rPr>
        <w:t xml:space="preserve"> </w:t>
      </w:r>
      <w:r>
        <w:rPr>
          <w:iCs/>
          <w:i/>
        </w:rPr>
        <w:t xml:space="preserve">firm performance: A meta-analysis review</w:t>
      </w:r>
      <w:r>
        <w:t xml:space="preserve"> </w:t>
      </w:r>
      <w:r>
        <w:t xml:space="preserve">[Paper presentation]. The</w:t>
      </w:r>
      <w:r>
        <w:t xml:space="preserve"> </w:t>
      </w:r>
      <w:r>
        <w:t xml:space="preserve">Sixth International Conference on Sustainable Development in Economics,</w:t>
      </w:r>
      <w:r>
        <w:t xml:space="preserve"> </w:t>
      </w:r>
      <w:r>
        <w:t xml:space="preserve">Business, and Finance (ICBEF).</w:t>
      </w:r>
    </w:p>
    <w:p>
      <w:pPr>
        <w:pStyle w:val="BodyText"/>
      </w:pPr>
      <w:r>
        <w:t xml:space="preserve">Do, T. H., &amp; Phan, A. T. (2025). Internationalization and firm</w:t>
      </w:r>
      <w:r>
        <w:t xml:space="preserve"> </w:t>
      </w:r>
      <w:r>
        <w:t xml:space="preserve">performance of firms in India: The role of top management. In M.</w:t>
      </w:r>
      <w:r>
        <w:t xml:space="preserve"> </w:t>
      </w:r>
      <w:r>
        <w:t xml:space="preserve">Bartekova (Ed.),</w:t>
      </w:r>
      <w:r>
        <w:t xml:space="preserve"> </w:t>
      </w:r>
      <w:r>
        <w:rPr>
          <w:iCs/>
          <w:i/>
        </w:rPr>
        <w:t xml:space="preserve">International business research: Traditional and</w:t>
      </w:r>
      <w:r>
        <w:rPr>
          <w:iCs/>
          <w:i/>
        </w:rPr>
        <w:t xml:space="preserve"> </w:t>
      </w:r>
      <w:r>
        <w:rPr>
          <w:iCs/>
          <w:i/>
        </w:rPr>
        <w:t xml:space="preserve">creative approaches</w:t>
      </w:r>
      <w:r>
        <w:t xml:space="preserve">. IntechOpen.</w:t>
      </w:r>
      <w:r>
        <w:t xml:space="preserve"> </w:t>
      </w:r>
      <w:hyperlink r:id="rId58">
        <w:r>
          <w:rPr>
            <w:rStyle w:val="Hyperlink"/>
          </w:rPr>
          <w:t xml:space="preserve">https://doi.org/10.5772/intechopen.1011012</w:t>
        </w:r>
      </w:hyperlink>
    </w:p>
    <w:p>
      <w:pPr>
        <w:pStyle w:val="BodyText"/>
      </w:pPr>
      <w:r>
        <w:t xml:space="preserve">Duval, S., &amp; Tweedie, R. (2000). Trim and fill: A simple</w:t>
      </w:r>
      <w:r>
        <w:t xml:space="preserve"> </w:t>
      </w:r>
      <w:r>
        <w:t xml:space="preserve">funnel-plot-based method of testing and adjusting for publication bias</w:t>
      </w:r>
      <w:r>
        <w:t xml:space="preserve"> </w:t>
      </w:r>
      <w:r>
        <w:t xml:space="preserve">in meta-analysis.</w:t>
      </w:r>
      <w:r>
        <w:t xml:space="preserve"> </w:t>
      </w:r>
      <w:r>
        <w:rPr>
          <w:iCs/>
          <w:i/>
        </w:rPr>
        <w:t xml:space="preserve">Biometrics, 56</w:t>
      </w:r>
      <w:r>
        <w:t xml:space="preserve">(2), 455–463.</w:t>
      </w:r>
    </w:p>
    <w:p>
      <w:pPr>
        <w:pStyle w:val="BodyText"/>
      </w:pPr>
      <w:r>
        <w:t xml:space="preserve">Egger, M., Smith, G. D., Schneider, M., &amp; Minder, C. (1997). Bias in</w:t>
      </w:r>
      <w:r>
        <w:t xml:space="preserve"> </w:t>
      </w:r>
      <w:r>
        <w:t xml:space="preserve">meta-analysis detected by a simple, graphical test.</w:t>
      </w:r>
      <w:r>
        <w:t xml:space="preserve"> </w:t>
      </w:r>
      <w:r>
        <w:rPr>
          <w:iCs/>
          <w:i/>
        </w:rPr>
        <w:t xml:space="preserve">BMJ, 315</w:t>
      </w:r>
      <w:r>
        <w:t xml:space="preserve">(7109),</w:t>
      </w:r>
      <w:r>
        <w:t xml:space="preserve"> </w:t>
      </w:r>
      <w:r>
        <w:t xml:space="preserve">629–634.</w:t>
      </w:r>
    </w:p>
    <w:p>
      <w:pPr>
        <w:pStyle w:val="BodyText"/>
      </w:pPr>
      <w:r>
        <w:t xml:space="preserve">Hedges, L. V., &amp; Olkin, I. (1985).</w:t>
      </w:r>
      <w:r>
        <w:t xml:space="preserve"> </w:t>
      </w:r>
      <w:r>
        <w:rPr>
          <w:iCs/>
          <w:i/>
        </w:rPr>
        <w:t xml:space="preserve">Statistical methods for</w:t>
      </w:r>
      <w:r>
        <w:rPr>
          <w:iCs/>
          <w:i/>
        </w:rPr>
        <w:t xml:space="preserve"> </w:t>
      </w:r>
      <w:r>
        <w:rPr>
          <w:iCs/>
          <w:i/>
        </w:rPr>
        <w:t xml:space="preserve">meta-analysis</w:t>
      </w:r>
      <w:r>
        <w:t xml:space="preserve">. Academic Press.</w:t>
      </w:r>
    </w:p>
    <w:p>
      <w:pPr>
        <w:pStyle w:val="BodyText"/>
      </w:pPr>
      <w:r>
        <w:t xml:space="preserve">Helpman, E., Melitz, M. J., &amp; Yeaple, S. R. (2004). Export versus FDI</w:t>
      </w:r>
      <w:r>
        <w:t xml:space="preserve"> </w:t>
      </w:r>
      <w:r>
        <w:t xml:space="preserve">with heterogeneous firms.</w:t>
      </w:r>
      <w:r>
        <w:t xml:space="preserve"> </w:t>
      </w:r>
      <w:r>
        <w:rPr>
          <w:iCs/>
          <w:i/>
        </w:rPr>
        <w:t xml:space="preserve">American Economic Review, 94</w:t>
      </w:r>
      <w:r>
        <w:t xml:space="preserve">(1), 300–316.</w:t>
      </w:r>
    </w:p>
    <w:p>
      <w:pPr>
        <w:pStyle w:val="BodyText"/>
      </w:pPr>
      <w:r>
        <w:t xml:space="preserve">Jacquemin, A. P., &amp; Berry, C. H. (1979). Entropy measure of</w:t>
      </w:r>
      <w:r>
        <w:t xml:space="preserve"> </w:t>
      </w:r>
      <w:r>
        <w:t xml:space="preserve">diversification and corporate growth.</w:t>
      </w:r>
      <w:r>
        <w:t xml:space="preserve"> </w:t>
      </w:r>
      <w:r>
        <w:rPr>
          <w:iCs/>
          <w:i/>
        </w:rPr>
        <w:t xml:space="preserve">Journal of Industrial Economics,</w:t>
      </w:r>
      <w:r>
        <w:rPr>
          <w:iCs/>
          <w:i/>
        </w:rPr>
        <w:t xml:space="preserve"> </w:t>
      </w:r>
      <w:r>
        <w:rPr>
          <w:iCs/>
          <w:i/>
        </w:rPr>
        <w:t xml:space="preserve">27</w:t>
      </w:r>
      <w:r>
        <w:t xml:space="preserve">(4), 359–369.</w:t>
      </w:r>
    </w:p>
    <w:p>
      <w:pPr>
        <w:pStyle w:val="BodyText"/>
      </w:pPr>
      <w:r>
        <w:t xml:space="preserve">Johanson, J., &amp; Vahlne, J.-E. (1977). The internationalization process</w:t>
      </w:r>
      <w:r>
        <w:t xml:space="preserve"> </w:t>
      </w:r>
      <w:r>
        <w:t xml:space="preserve">of the firm: A model of knowledge development and increasing foreign</w:t>
      </w:r>
      <w:r>
        <w:t xml:space="preserve"> </w:t>
      </w:r>
      <w:r>
        <w:t xml:space="preserve">market commitments.</w:t>
      </w:r>
      <w:r>
        <w:t xml:space="preserve"> </w:t>
      </w:r>
      <w:r>
        <w:rPr>
          <w:iCs/>
          <w:i/>
        </w:rPr>
        <w:t xml:space="preserve">Journal of International Business Studies, 8</w:t>
      </w:r>
      <w:r>
        <w:t xml:space="preserve">(1),</w:t>
      </w:r>
      <w:r>
        <w:t xml:space="preserve"> </w:t>
      </w:r>
      <w:r>
        <w:t xml:space="preserve">23–32.</w:t>
      </w:r>
    </w:p>
    <w:p>
      <w:pPr>
        <w:pStyle w:val="BodyText"/>
      </w:pPr>
      <w:r>
        <w:t xml:space="preserve">Katz, R., &amp; Callorda, F. (2018).</w:t>
      </w:r>
      <w:r>
        <w:t xml:space="preserve"> </w:t>
      </w:r>
      <w:r>
        <w:rPr>
          <w:iCs/>
          <w:i/>
        </w:rPr>
        <w:t xml:space="preserve">The economic contribution of</w:t>
      </w:r>
      <w:r>
        <w:rPr>
          <w:iCs/>
          <w:i/>
        </w:rPr>
        <w:t xml:space="preserve"> </w:t>
      </w:r>
      <w:r>
        <w:rPr>
          <w:iCs/>
          <w:i/>
        </w:rPr>
        <w:t xml:space="preserve">broadband, digitization and ICT regulation</w:t>
      </w:r>
      <w:r>
        <w:t xml:space="preserve">. ITU Telecommunication</w:t>
      </w:r>
      <w:r>
        <w:t xml:space="preserve"> </w:t>
      </w:r>
      <w:r>
        <w:t xml:space="preserve">Development Sector.</w:t>
      </w:r>
    </w:p>
    <w:p>
      <w:pPr>
        <w:pStyle w:val="BodyText"/>
      </w:pPr>
      <w:r>
        <w:t xml:space="preserve">Khanna, T., &amp; Palepu, K. G. (2010).</w:t>
      </w:r>
      <w:r>
        <w:t xml:space="preserve"> </w:t>
      </w:r>
      <w:r>
        <w:rPr>
          <w:iCs/>
          <w:i/>
        </w:rPr>
        <w:t xml:space="preserve">Winning in emerging markets: A road</w:t>
      </w:r>
      <w:r>
        <w:rPr>
          <w:iCs/>
          <w:i/>
        </w:rPr>
        <w:t xml:space="preserve"> </w:t>
      </w:r>
      <w:r>
        <w:rPr>
          <w:iCs/>
          <w:i/>
        </w:rPr>
        <w:t xml:space="preserve">map for strategy and execution</w:t>
      </w:r>
      <w:r>
        <w:t xml:space="preserve">. Harvard Business Press.</w:t>
      </w:r>
    </w:p>
    <w:p>
      <w:pPr>
        <w:pStyle w:val="BodyText"/>
      </w:pPr>
      <w:r>
        <w:t xml:space="preserve">Kirca, A. H., Hult, G. T. M., Deligonul, S., Perryy, M. Z., &amp; Cavusgil,</w:t>
      </w:r>
      <w:r>
        <w:t xml:space="preserve"> </w:t>
      </w:r>
      <w:r>
        <w:t xml:space="preserve">S. T. (2012). A multilevel examination of the drivers of firm</w:t>
      </w:r>
      <w:r>
        <w:t xml:space="preserve"> </w:t>
      </w:r>
      <w:r>
        <w:t xml:space="preserve">multinationality: A meta-analysis.</w:t>
      </w:r>
      <w:r>
        <w:t xml:space="preserve"> </w:t>
      </w:r>
      <w:r>
        <w:rPr>
          <w:iCs/>
          <w:i/>
        </w:rPr>
        <w:t xml:space="preserve">Journal of Management, 38</w:t>
      </w:r>
      <w:r>
        <w:t xml:space="preserve">(2),</w:t>
      </w:r>
      <w:r>
        <w:t xml:space="preserve"> </w:t>
      </w:r>
      <w:r>
        <w:t xml:space="preserve">502–530.</w:t>
      </w:r>
    </w:p>
    <w:p>
      <w:pPr>
        <w:pStyle w:val="BodyText"/>
      </w:pPr>
      <w:r>
        <w:t xml:space="preserve">Kraus, S., Breier, M., Lim, W. M., Dabić, M., Kumar, S., Kanbach, D.,</w:t>
      </w:r>
      <w:r>
        <w:t xml:space="preserve"> </w:t>
      </w:r>
      <w:r>
        <w:t xml:space="preserve">Mukherjee, D., Corvello, V., Piñeiro-Chousa, J., Liguori, E.,</w:t>
      </w:r>
      <w:r>
        <w:t xml:space="preserve"> </w:t>
      </w:r>
      <w:r>
        <w:t xml:space="preserve">Palacios-Marqués, D., Schiavone, F., Ferraris, A., Fernandes, C., &amp;</w:t>
      </w:r>
      <w:r>
        <w:t xml:space="preserve"> </w:t>
      </w:r>
      <w:r>
        <w:t xml:space="preserve">Ferreira, J. J. (2022). Literature reviews as independent studies:</w:t>
      </w:r>
      <w:r>
        <w:t xml:space="preserve"> </w:t>
      </w:r>
      <w:r>
        <w:t xml:space="preserve">Guidelines for academic practice.</w:t>
      </w:r>
      <w:r>
        <w:t xml:space="preserve"> </w:t>
      </w:r>
      <w:r>
        <w:rPr>
          <w:iCs/>
          <w:i/>
        </w:rPr>
        <w:t xml:space="preserve">Review of Managerial Science, 16</w:t>
      </w:r>
      <w:r>
        <w:t xml:space="preserve">(8),</w:t>
      </w:r>
      <w:r>
        <w:t xml:space="preserve"> </w:t>
      </w:r>
      <w:r>
        <w:t xml:space="preserve">2577–2595.</w:t>
      </w:r>
    </w:p>
    <w:p>
      <w:pPr>
        <w:pStyle w:val="BodyText"/>
      </w:pPr>
      <w:r>
        <w:t xml:space="preserve">Kogut, B., &amp; Zander, U. (1993). Knowledge of the firm and the</w:t>
      </w:r>
      <w:r>
        <w:t xml:space="preserve"> </w:t>
      </w:r>
      <w:r>
        <w:t xml:space="preserve">evolutionary theory of the multinational corporation.</w:t>
      </w:r>
      <w:r>
        <w:t xml:space="preserve"> </w:t>
      </w:r>
      <w:r>
        <w:rPr>
          <w:iCs/>
          <w:i/>
        </w:rPr>
        <w:t xml:space="preserve">Journal of</w:t>
      </w:r>
      <w:r>
        <w:rPr>
          <w:iCs/>
          <w:i/>
        </w:rPr>
        <w:t xml:space="preserve"> </w:t>
      </w:r>
      <w:r>
        <w:rPr>
          <w:iCs/>
          <w:i/>
        </w:rPr>
        <w:t xml:space="preserve">International Business Studies, 24</w:t>
      </w:r>
      <w:r>
        <w:t xml:space="preserve">(4), 625–645.</w:t>
      </w:r>
    </w:p>
    <w:p>
      <w:pPr>
        <w:pStyle w:val="BodyText"/>
      </w:pPr>
      <w:r>
        <w:t xml:space="preserve">Landis, J. R., &amp; Koch, G. G. (1977). The measurement of observer</w:t>
      </w:r>
      <w:r>
        <w:t xml:space="preserve"> </w:t>
      </w:r>
      <w:r>
        <w:t xml:space="preserve">agreement for categorical data.</w:t>
      </w:r>
      <w:r>
        <w:t xml:space="preserve"> </w:t>
      </w:r>
      <w:r>
        <w:rPr>
          <w:iCs/>
          <w:i/>
        </w:rPr>
        <w:t xml:space="preserve">Biometrics, 33</w:t>
      </w:r>
      <w:r>
        <w:t xml:space="preserve">(1), 159–174.</w:t>
      </w:r>
    </w:p>
    <w:p>
      <w:pPr>
        <w:pStyle w:val="BodyText"/>
      </w:pPr>
      <w:r>
        <w:t xml:space="preserve">Marano, V., Arregle, J.-L., Hitt, M. A., Spadafora, E., &amp; van Essen, M.</w:t>
      </w:r>
      <w:r>
        <w:t xml:space="preserve"> </w:t>
      </w:r>
      <w:r>
        <w:t xml:space="preserve">(2016). Home country institutions and the</w:t>
      </w:r>
      <w:r>
        <w:t xml:space="preserve"> </w:t>
      </w:r>
      <w:r>
        <w:t xml:space="preserve">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w:t>
      </w:r>
      <w:r>
        <w:rPr>
          <w:iCs/>
          <w:i/>
        </w:rPr>
        <w:t xml:space="preserve"> </w:t>
      </w:r>
      <w:r>
        <w:rPr>
          <w:iCs/>
          <w:i/>
        </w:rPr>
        <w:t xml:space="preserve">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Page, M. J., McKenzie, J. E., Bossuyt, P. M., Boutron, I., Hoffmann, T.</w:t>
      </w:r>
      <w:r>
        <w:t xml:space="preserve"> </w:t>
      </w:r>
      <w:r>
        <w:t xml:space="preserve">C., Mulrow, C. D., Shamseer, L., Tetzlaff, J. M., Akl, E. A., Brennan,</w:t>
      </w:r>
      <w:r>
        <w:t xml:space="preserve"> </w:t>
      </w:r>
      <w:r>
        <w:t xml:space="preserve">S. E., Chou, R., Glanville, J., Grimshaw, J. M., Hróbjartsson, A., Lalu,</w:t>
      </w:r>
      <w:r>
        <w:t xml:space="preserve"> </w:t>
      </w:r>
      <w:r>
        <w:t xml:space="preserve">M. M., Li, T., Loder, E. W., Mayo-Wilson, E., McDonald, S., … Moher, D.</w:t>
      </w:r>
      <w:r>
        <w:t xml:space="preserve"> </w:t>
      </w:r>
      <w:r>
        <w:t xml:space="preserve">(2021). The PRISMA 2020 statement: An updated guideline for reporting</w:t>
      </w:r>
      <w:r>
        <w:t xml:space="preserve"> </w:t>
      </w:r>
      <w:r>
        <w:t xml:space="preserve">systematic reviews.</w:t>
      </w:r>
      <w:r>
        <w:t xml:space="preserve"> </w:t>
      </w:r>
      <w:r>
        <w:rPr>
          <w:iCs/>
          <w:i/>
        </w:rPr>
        <w:t xml:space="preserve">BMJ, 372</w:t>
      </w:r>
      <w:r>
        <w:t xml:space="preserve">, n71.</w:t>
      </w:r>
      <w:r>
        <w:t xml:space="preserve"> </w:t>
      </w:r>
      <w:hyperlink r:id="rId59">
        <w:r>
          <w:rPr>
            <w:rStyle w:val="Hyperlink"/>
          </w:rPr>
          <w:t xml:space="preserve">https://doi.org/10.1136/bmj.n71</w:t>
        </w:r>
      </w:hyperlink>
    </w:p>
    <w:p>
      <w:pPr>
        <w:pStyle w:val="BodyText"/>
      </w:pPr>
      <w:r>
        <w:t xml:space="preserve">Peng, M. W., Wang, D. Y. L., &amp; Jiang, Y. (2008). An institution-based</w:t>
      </w:r>
      <w:r>
        <w:t xml:space="preserve"> </w:t>
      </w:r>
      <w:r>
        <w:t xml:space="preserve">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w:t>
      </w:r>
      <w:r>
        <w:t xml:space="preserve"> </w:t>
      </w:r>
      <w:r>
        <w:t xml:space="preserve">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w:t>
      </w:r>
      <w:r>
        <w:rPr>
          <w:iCs/>
          <w:i/>
        </w:rPr>
        <w:t xml:space="preserve"> </w:t>
      </w:r>
      <w:r>
        <w:rPr>
          <w:iCs/>
          <w:i/>
        </w:rPr>
        <w:t xml:space="preserve">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w:t>
      </w:r>
      <w:r>
        <w:t xml:space="preserve"> </w:t>
      </w:r>
      <w:r>
        <w:t xml:space="preserve">L. V. Hedges (Eds.),</w:t>
      </w:r>
      <w:r>
        <w:t xml:space="preserve"> </w:t>
      </w:r>
      <w:r>
        <w:rPr>
          <w:iCs/>
          <w:i/>
        </w:rPr>
        <w:t xml:space="preserve">The handbook of research synthesis</w:t>
      </w:r>
      <w:r>
        <w:t xml:space="preserve"> </w:t>
      </w:r>
      <w:r>
        <w:t xml:space="preserve">(pp. 231–244).</w:t>
      </w:r>
      <w:r>
        <w:t xml:space="preserve"> </w:t>
      </w:r>
      <w:r>
        <w:t xml:space="preserve">Sage.</w:t>
      </w:r>
    </w:p>
    <w:p>
      <w:pPr>
        <w:pStyle w:val="BodyText"/>
      </w:pPr>
      <w:r>
        <w:t xml:space="preserve">Schwens, C., Zapkau, F. B., Brouthers, K. D., &amp; Hollender, L. (2018).</w:t>
      </w:r>
      <w:r>
        <w:t xml:space="preserve"> </w:t>
      </w:r>
      <w:r>
        <w:t xml:space="preserve">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w:t>
      </w:r>
      <w:r>
        <w:t xml:space="preserve"> </w:t>
      </w:r>
      <w:r>
        <w:t xml:space="preserve">approximations to reduce publication selection bias.</w:t>
      </w:r>
      <w:r>
        <w:t xml:space="preserve"> </w:t>
      </w:r>
      <w:r>
        <w:rPr>
          <w:iCs/>
          <w:i/>
        </w:rPr>
        <w:t xml:space="preserve">Research Synthesis</w:t>
      </w:r>
      <w:r>
        <w:rPr>
          <w:iCs/>
          <w:i/>
        </w:rPr>
        <w:t xml:space="preserve"> </w:t>
      </w:r>
      <w:r>
        <w:rPr>
          <w:iCs/>
          <w:i/>
        </w:rPr>
        <w:t xml:space="preserve">Methods, 5</w:t>
      </w:r>
      <w:r>
        <w:t xml:space="preserve">(1), 60–78.</w:t>
      </w:r>
    </w:p>
    <w:p>
      <w:pPr>
        <w:pStyle w:val="BodyText"/>
      </w:pPr>
      <w:r>
        <w:t xml:space="preserve">Stallkamp, M., &amp; Schotter, A. P. J. (2021). Platforms without borders?</w:t>
      </w:r>
      <w:r>
        <w:t xml:space="preserve"> </w:t>
      </w:r>
      <w:r>
        <w:t xml:space="preserve">The international strategies of digital platform firms.</w:t>
      </w:r>
      <w:r>
        <w:t xml:space="preserve"> </w:t>
      </w:r>
      <w:r>
        <w:rPr>
          <w:iCs/>
          <w:i/>
        </w:rPr>
        <w:t xml:space="preserve">Global Strategy</w:t>
      </w:r>
      <w:r>
        <w:rPr>
          <w:iCs/>
          <w:i/>
        </w:rPr>
        <w:t xml:space="preserve"> </w:t>
      </w:r>
      <w:r>
        <w:rPr>
          <w:iCs/>
          <w:i/>
        </w:rPr>
        <w:t xml:space="preserve">Journal, 11</w:t>
      </w:r>
      <w:r>
        <w:t xml:space="preserve">(1), 58–80.</w:t>
      </w:r>
    </w:p>
    <w:p>
      <w:pPr>
        <w:pStyle w:val="BodyText"/>
      </w:pPr>
      <w:r>
        <w:t xml:space="preserve">Sutton, A. J., &amp; Higgins, J. P. T. (2008). Recent developments in</w:t>
      </w:r>
      <w:r>
        <w:t xml:space="preserve"> </w:t>
      </w:r>
      <w:r>
        <w:t xml:space="preserve">meta-analysis.</w:t>
      </w:r>
      <w:r>
        <w:t xml:space="preserve"> </w:t>
      </w:r>
      <w:r>
        <w:rPr>
          <w:iCs/>
          <w:i/>
        </w:rPr>
        <w:t xml:space="preserve">Statistics in Medicine, 27</w:t>
      </w:r>
      <w:r>
        <w:t xml:space="preserve">(5), 625–650.</w:t>
      </w:r>
    </w:p>
    <w:p>
      <w:pPr>
        <w:pStyle w:val="BodyText"/>
      </w:pPr>
      <w:r>
        <w:t xml:space="preserve">Van den Noortgate, W., López-López, J. A., Marín-Martínez, F., &amp;</w:t>
      </w:r>
      <w:r>
        <w:t xml:space="preserve"> </w:t>
      </w:r>
      <w:r>
        <w:t xml:space="preserve">Sánchez-Meca, J. (2013). Three-level meta-analysis of dependent effect</w:t>
      </w:r>
      <w:r>
        <w:t xml:space="preserve"> </w:t>
      </w:r>
      <w:r>
        <w:t xml:space="preserve">sizes.</w:t>
      </w:r>
      <w:r>
        <w:t xml:space="preserve"> </w:t>
      </w:r>
      <w:r>
        <w:rPr>
          <w:iCs/>
          <w:i/>
        </w:rPr>
        <w:t xml:space="preserve">Behavior Research Methods, 45</w:t>
      </w:r>
      <w:r>
        <w:t xml:space="preserve">(2), 576–594.</w:t>
      </w:r>
    </w:p>
    <w:p>
      <w:pPr>
        <w:pStyle w:val="BodyText"/>
      </w:pPr>
      <w:r>
        <w:t xml:space="preserve">Verhoef, P. C., Broekhuizen, T., Bart, Y., Bhattacharya, A., Qi Dong,</w:t>
      </w:r>
      <w:r>
        <w:t xml:space="preserve"> </w:t>
      </w:r>
      <w:r>
        <w:t xml:space="preserve">J., Fabian, N., &amp; Haenlein, M. (2021). Digital transformation: A</w:t>
      </w:r>
      <w:r>
        <w:t xml:space="preserve"> </w:t>
      </w:r>
      <w:r>
        <w:t xml:space="preserve">multidisciplinary reflection and research agenda.</w:t>
      </w:r>
      <w:r>
        <w:t xml:space="preserve"> </w:t>
      </w:r>
      <w:r>
        <w:rPr>
          <w:iCs/>
          <w:i/>
        </w:rPr>
        <w:t xml:space="preserve">Journal of Business</w:t>
      </w:r>
      <w:r>
        <w:rPr>
          <w:iCs/>
          <w:i/>
        </w:rPr>
        <w:t xml:space="preserve"> </w:t>
      </w:r>
      <w:r>
        <w:rPr>
          <w:iCs/>
          <w:i/>
        </w:rPr>
        <w:t xml:space="preserve">Research, 122</w:t>
      </w:r>
      <w:r>
        <w:t xml:space="preserve">, 889–901.</w:t>
      </w:r>
    </w:p>
    <w:p>
      <w:pPr>
        <w:pStyle w:val="BodyText"/>
      </w:pPr>
      <w:r>
        <w:t xml:space="preserve">Vevea, J. L., &amp; Woods, C. M. (2005). Publication bias in research</w:t>
      </w:r>
      <w:r>
        <w:t xml:space="preserve"> </w:t>
      </w:r>
      <w:r>
        <w:t xml:space="preserve">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w:t>
      </w:r>
      <w:r>
        <w:t xml:space="preserve"> </w:t>
      </w:r>
      <w:r>
        <w:t xml:space="preserve">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w:t>
      </w:r>
      <w:r>
        <w:rPr>
          <w:iCs/>
          <w:i/>
        </w:rPr>
        <w:t xml:space="preserve"> </w:t>
      </w:r>
      <w:r>
        <w:rPr>
          <w:iCs/>
          <w:i/>
        </w:rPr>
        <w:t xml:space="preserve">Management Journal, 5</w:t>
      </w:r>
      <w:r>
        <w:t xml:space="preserve">(2), 171–180.</w:t>
      </w:r>
    </w:p>
    <w:p>
      <w:pPr>
        <w:pStyle w:val="BodyText"/>
      </w:pPr>
      <w:r>
        <w:t xml:space="preserve">World Bank. (2023).</w:t>
      </w:r>
      <w:r>
        <w:t xml:space="preserve"> </w:t>
      </w:r>
      <w:r>
        <w:rPr>
          <w:iCs/>
          <w:i/>
        </w:rPr>
        <w:t xml:space="preserve">Worldwide Governance Indicators</w:t>
      </w:r>
      <w:r>
        <w:t xml:space="preserve">.</w:t>
      </w:r>
      <w:r>
        <w:t xml:space="preserve"> </w:t>
      </w:r>
      <w:hyperlink r:id="rId60">
        <w:r>
          <w:rPr>
            <w:rStyle w:val="Hyperlink"/>
          </w:rPr>
          <w:t xml:space="preserve">https://info.worldbank.org/governance/wgi/</w:t>
        </w:r>
      </w:hyperlink>
    </w:p>
    <w:p>
      <w:pPr>
        <w:pStyle w:val="BodyText"/>
      </w:pPr>
      <w:r>
        <w:t xml:space="preserve">Wu, J., Wang, C., Hong, J., Piperopoulos, P., &amp; Zhuo, S. (2022).</w:t>
      </w:r>
      <w:r>
        <w:t xml:space="preserve"> </w:t>
      </w:r>
      <w:r>
        <w:t xml:space="preserve">Internationalization and innovation performance of emerging market</w:t>
      </w:r>
      <w:r>
        <w:t xml:space="preserve"> </w:t>
      </w:r>
      <w:r>
        <w:t xml:space="preserve">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w:t>
      </w:r>
      <w:r>
        <w:rPr>
          <w:iCs/>
          <w:i/>
        </w:rPr>
        <w:t xml:space="preserve"> </w:t>
      </w:r>
      <w:r>
        <w:rPr>
          <w:iCs/>
          <w:i/>
        </w:rPr>
        <w:t xml:space="preserve">Management Journal, 38</w:t>
      </w:r>
      <w:r>
        <w:t xml:space="preserve">(2), 341–363.</w:t>
      </w:r>
    </w:p>
    <w:bookmarkEnd w:id="61"/>
    <w:bookmarkStart w:id="62" w:name="X6e5cfb15c9bb56aea620267700f1f842431a0be"/>
    <w:p>
      <w:pPr>
        <w:pStyle w:val="Heading2"/>
      </w:pPr>
      <w:r>
        <w:t xml:space="preserve">Appendix A, PRISMA 2020 Flow (Studies Identified via Other Methods)</w:t>
      </w:r>
    </w:p>
    <w:p>
      <w:pPr>
        <w:pStyle w:val="FirstParagraph"/>
      </w:pPr>
      <w:r>
        <w:t xml:space="preserve">The corpus was assembled through citation-anchored systematic searching rather than a single database census; the flow is therefore reported under the PRISMA 2020</w:t>
      </w:r>
      <w:r>
        <w:t xml:space="preserve"> </w:t>
      </w:r>
      <w:r>
        <w:t xml:space="preserve">“</w:t>
      </w:r>
      <w:r>
        <w:t xml:space="preserve">studies identified via other methods</w:t>
      </w:r>
      <w:r>
        <w:t xml:space="preserve">”</w:t>
      </w:r>
      <w:r>
        <w:t xml:space="preserve"> </w:t>
      </w:r>
      <w:r>
        <w:t xml:space="preserve">variant (Page et al., 2021).</w:t>
      </w:r>
    </w:p>
    <w:p>
      <w:pPr>
        <w:pStyle w:val="SourceCode"/>
      </w:pPr>
      <w:r>
        <w:rPr>
          <w:rStyle w:val="VerbatimChar"/>
        </w:rPr>
        <w:t xml:space="preserve">IDENTIFICATION</w:t>
      </w:r>
      <w:r>
        <w:br/>
      </w:r>
      <w:r>
        <w:rPr>
          <w:rStyle w:val="VerbatimChar"/>
        </w:rPr>
        <w:t xml:space="preserve">─────────────────────────────────────────────────────────────────</w:t>
      </w:r>
      <w:r>
        <w:br/>
      </w:r>
      <w:r>
        <w:rPr>
          <w:rStyle w:val="VerbatimChar"/>
        </w:rPr>
        <w:t xml:space="preserve">Studies identified via other methods:</w:t>
      </w:r>
      <w:r>
        <w:br/>
      </w:r>
      <w:r>
        <w:rPr>
          <w:rStyle w:val="VerbatimChar"/>
        </w:rPr>
        <w:t xml:space="preserve">  Backward citation scan (reference lists of 5 anchor meta-analyses)</w:t>
      </w:r>
      <w:r>
        <w:br/>
      </w:r>
      <w:r>
        <w:rPr>
          <w:rStyle w:val="VerbatimChar"/>
        </w:rPr>
        <w:t xml:space="preserve">  Forward citation scan (Google Scholar citing the 5 anchors, post-2022)</w:t>
      </w:r>
      <w:r>
        <w:br/>
      </w:r>
      <w:r>
        <w:rPr>
          <w:rStyle w:val="VerbatimChar"/>
        </w:rPr>
        <w:t xml:space="preserve">  Hand-search (author's corpus, 2020–2026): n = 19</w:t>
      </w:r>
      <w:r>
        <w:br/>
      </w:r>
      <w:r>
        <w:rPr>
          <w:rStyle w:val="VerbatimChar"/>
        </w:rPr>
        <w:t xml:space="preserve">  Supplementary structured queries (WoS, Scopus, specialist</w:t>
      </w:r>
      <w:r>
        <w:br/>
      </w:r>
      <w:r>
        <w:rPr>
          <w:rStyle w:val="VerbatimChar"/>
        </w:rPr>
        <w:t xml:space="preserve">    databases) to check coverage of the citation network</w:t>
      </w:r>
      <w:r>
        <w:br/>
      </w:r>
      <w:r>
        <w:br/>
      </w:r>
      <w:r>
        <w:rPr>
          <w:rStyle w:val="VerbatimChar"/>
        </w:rPr>
        <w:t xml:space="preserve">SCREENING / ELIGIBILITY</w:t>
      </w:r>
      <w:r>
        <w:br/>
      </w:r>
      <w:r>
        <w:rPr>
          <w:rStyle w:val="VerbatimChar"/>
        </w:rPr>
        <w:t xml:space="preserve">─────────────────────────────────────────────────────────────────</w:t>
      </w:r>
      <w:r>
        <w:br/>
      </w:r>
      <w:r>
        <w:rPr>
          <w:rStyle w:val="VerbatimChar"/>
        </w:rPr>
        <w:t xml:space="preserve">Records screened in two stages against the eligibility criteria</w:t>
      </w:r>
      <w:r>
        <w:br/>
      </w:r>
      <w:r>
        <w:rPr>
          <w:rStyle w:val="VerbatimChar"/>
        </w:rPr>
        <w:t xml:space="preserve">(Section 3.2): title/abstract, then full text. Full-text exclusion</w:t>
      </w:r>
      <w:r>
        <w:br/>
      </w:r>
      <w:r>
        <w:rPr>
          <w:rStyle w:val="VerbatimChar"/>
        </w:rPr>
        <w:t xml:space="preserve">reasons: no effect size convertible to r; internationalization not</w:t>
      </w:r>
      <w:r>
        <w:br/>
      </w:r>
      <w:r>
        <w:rPr>
          <w:rStyle w:val="VerbatimChar"/>
        </w:rPr>
        <w:t xml:space="preserve">measured at the firm level; duplicate sample (smaller/older record</w:t>
      </w:r>
      <w:r>
        <w:br/>
      </w:r>
      <w:r>
        <w:rPr>
          <w:rStyle w:val="VerbatimChar"/>
        </w:rPr>
        <w:t xml:space="preserve">removed); meta-analysis or review rather than a primary study;</w:t>
      </w:r>
      <w:r>
        <w:br/>
      </w:r>
      <w:r>
        <w:rPr>
          <w:rStyle w:val="VerbatimChar"/>
        </w:rPr>
        <w:t xml:space="preserve">conference paper, thesis, working paper, or book chapter (grey</w:t>
      </w:r>
      <w:r>
        <w:br/>
      </w:r>
      <w:r>
        <w:rPr>
          <w:rStyle w:val="VerbatimChar"/>
        </w:rPr>
        <w:t xml:space="preserve">literature documented but excluded from the primary model).</w:t>
      </w:r>
      <w:r>
        <w:br/>
      </w:r>
      <w:r>
        <w:br/>
      </w:r>
      <w:r>
        <w:rPr>
          <w:rStyle w:val="VerbatimChar"/>
        </w:rPr>
        <w:t xml:space="preserve">INCLUDED</w:t>
      </w:r>
      <w:r>
        <w:br/>
      </w:r>
      <w:r>
        <w:rPr>
          <w:rStyle w:val="VerbatimChar"/>
        </w:rPr>
        <w:t xml:space="preserve">─────────────────────────────────────────────────────────────────</w:t>
      </w:r>
      <w:r>
        <w:br/>
      </w:r>
      <w:r>
        <w:rPr>
          <w:rStyle w:val="VerbatimChar"/>
        </w:rPr>
        <w:t xml:space="preserve">Studies included in meta-analysis: k = 238</w:t>
      </w:r>
      <w:r>
        <w:br/>
      </w:r>
      <w:r>
        <w:rPr>
          <w:rStyle w:val="VerbatimChar"/>
        </w:rPr>
        <w:t xml:space="preserve">Effect sizes coded:                K = 288</w:t>
      </w:r>
    </w:p>
    <w:p>
      <w:pPr>
        <w:pStyle w:val="FirstParagraph"/>
      </w:pPr>
      <w:r>
        <w:t xml:space="preserve">Because identification proceeded by citation chaining, stage-level database-census counts (total identified, deduplicated, and per-reason exclusion tallies) were not maintained as a single database export and are not reported as such; the synthesized set (k = 238; K = 288) is fixed and data-backed.</w:t>
      </w:r>
    </w:p>
    <w:p>
      <w:pPr>
        <w:pStyle w:val="BodyText"/>
      </w:pPr>
      <w:r>
        <w:rPr>
          <w:iCs/>
          <w:i/>
        </w:rPr>
        <w:t xml:space="preserve">The PRISMA 2020 checklist (Page et al., 2021) is available from the corresponding author.</w:t>
      </w:r>
    </w:p>
    <w:bookmarkEnd w:id="62"/>
    <w:bookmarkStart w:id="63" w:name="appendix-b-coding-protocol-7-moderators"/>
    <w:p>
      <w:pPr>
        <w:pStyle w:val="Heading2"/>
      </w:pPr>
      <w:r>
        <w:t xml:space="preserve">Appendix B, Coding Protocol (7 Moderators)</w:t>
      </w:r>
    </w:p>
    <w:tbl>
      <w:tblPr>
        <w:tblStyle w:val="Table"/>
        <w:tblW w:type="pct" w:w="5000"/>
        <w:tblLook w:firstRow="1" w:lastRow="0" w:firstColumn="0" w:lastColumn="0" w:noHBand="0" w:noVBand="0" w:val="0020"/>
        <w:jc w:val="start"/>
      </w:tblPr>
      <w:tblGrid>
        <w:gridCol w:w="912"/>
        <w:gridCol w:w="1104"/>
        <w:gridCol w:w="5904"/>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Coding Rule</w:t>
            </w:r>
          </w:p>
        </w:tc>
      </w:tr>
      <w:tr>
        <w:tc>
          <w:tcPr/>
          <w:p>
            <w:pPr>
              <w:pStyle w:val="Compact"/>
              <w:jc w:val="left"/>
            </w:pPr>
            <w:r>
              <w:t xml:space="preserve">ICRV regime</w:t>
            </w:r>
          </w:p>
        </w:tc>
        <w:tc>
          <w:tcPr/>
          <w:p>
            <w:pPr>
              <w:pStyle w:val="Compact"/>
              <w:jc w:val="left"/>
            </w:pPr>
            <w:r>
              <w:t xml:space="preserve">Categorical (5 codes)</w:t>
            </w:r>
          </w:p>
        </w:tc>
        <w:tc>
          <w:tcPr/>
          <w:p>
            <w:pPr>
              <w:pStyle w:val="Compact"/>
              <w:jc w:val="left"/>
            </w:pPr>
            <w:r>
              <w:t xml:space="preserve">WGI Rule of Law, 2023 vintage: I (Advanced-Innovation) &gt; +0.80; II (Upper-Middle): 0–+0.80; III (Emerging): −0.50–0; FR (Frontier/SIDS): &lt; −0.50 or small island state; MX: multi-country pooled (no modal regime ≥ 60%)</w:t>
            </w:r>
          </w:p>
        </w:tc>
      </w:tr>
      <w:tr>
        <w:tc>
          <w:tcPr/>
          <w:p>
            <w:pPr>
              <w:pStyle w:val="Compact"/>
              <w:jc w:val="left"/>
            </w:pPr>
            <w:r>
              <w:t xml:space="preserve">cDAI</w:t>
            </w:r>
          </w:p>
        </w:tc>
        <w:tc>
          <w:tcPr/>
          <w:p>
            <w:pPr>
              <w:pStyle w:val="Compact"/>
              <w:jc w:val="left"/>
            </w:pPr>
            <w:r>
              <w:t xml:space="preserve">Continuous (0–1)</w:t>
            </w:r>
          </w:p>
        </w:tc>
        <w:tc>
          <w:tcPr/>
          <w:p>
            <w:pPr>
              <w:pStyle w:val="Compact"/>
              <w:jc w:val="left"/>
            </w:pPr>
            <w:r>
              <w:t xml:space="preserve">World Bank DAI score or ITU DDI score, country-year, standardized. If unavailable: ITU ICT Development Index (substitute)</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Precede: data year &lt; 2009; Span: data spans 2005–2014; Follow: data year &gt; 2014</w:t>
            </w:r>
          </w:p>
        </w:tc>
      </w:tr>
      <w:tr>
        <w:tc>
          <w:tcPr/>
          <w:p>
            <w:pPr>
              <w:pStyle w:val="Compact"/>
              <w:jc w:val="left"/>
            </w:pPr>
            <w:r>
              <w:t xml:space="preserve">Country of origin</w:t>
            </w:r>
          </w:p>
        </w:tc>
        <w:tc>
          <w:tcPr/>
          <w:p>
            <w:pPr>
              <w:pStyle w:val="Compact"/>
              <w:jc w:val="left"/>
            </w:pPr>
            <w:r>
              <w:t xml:space="preserve">Categorical (ISO)</w:t>
            </w:r>
          </w:p>
        </w:tc>
        <w:tc>
          <w:tcPr/>
          <w:p>
            <w:pPr>
              <w:pStyle w:val="Compact"/>
              <w:jc w:val="left"/>
            </w:pPr>
            <w:r>
              <w:t xml:space="preserve">First author’s sample country; multi-country =</w:t>
            </w:r>
            <w:r>
              <w:t xml:space="preserve"> </w:t>
            </w:r>
            <w:r>
              <w:t xml:space="preserve">“</w:t>
            </w:r>
            <w:r>
              <w:t xml:space="preserve">pooled</w:t>
            </w:r>
            <w:r>
              <w:t xml:space="preserve">”</w:t>
            </w:r>
          </w:p>
        </w:tc>
      </w:tr>
      <w:tr>
        <w:tc>
          <w:tcPr/>
          <w:p>
            <w:pPr>
              <w:pStyle w:val="Compact"/>
              <w:jc w:val="left"/>
            </w:pPr>
            <w:r>
              <w:t xml:space="preserve">Industry</w:t>
            </w:r>
          </w:p>
        </w:tc>
        <w:tc>
          <w:tcPr/>
          <w:p>
            <w:pPr>
              <w:pStyle w:val="Compact"/>
              <w:jc w:val="left"/>
            </w:pPr>
            <w:r>
              <w:t xml:space="preserve">Categorical (3)</w:t>
            </w:r>
          </w:p>
        </w:tc>
        <w:tc>
          <w:tcPr/>
          <w:p>
            <w:pPr>
              <w:pStyle w:val="Compact"/>
              <w:jc w:val="left"/>
            </w:pPr>
            <w:r>
              <w:t xml:space="preserve">SIC: manufacturing (20–39), services (40–89), mixed/unspecified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FSTS; Entropy; Number-of-markets; Transnationality index (UNCTAD)</w:t>
            </w:r>
          </w:p>
        </w:tc>
      </w:tr>
      <w:tr>
        <w:tc>
          <w:tcPr/>
          <w:p>
            <w:pPr>
              <w:pStyle w:val="Compact"/>
              <w:jc w:val="left"/>
            </w:pPr>
            <w:r>
              <w:t xml:space="preserve">Performance</w:t>
            </w:r>
          </w:p>
        </w:tc>
        <w:tc>
          <w:tcPr/>
          <w:p>
            <w:pPr>
              <w:pStyle w:val="Compact"/>
              <w:jc w:val="left"/>
            </w:pPr>
            <w:r>
              <w:t xml:space="preserve">Categorical (4)</w:t>
            </w:r>
          </w:p>
        </w:tc>
        <w:tc>
          <w:tcPr/>
          <w:p>
            <w:pPr>
              <w:pStyle w:val="Compact"/>
              <w:jc w:val="left"/>
            </w:pPr>
            <w:r>
              <w:t xml:space="preserve">Accounting (ROA/ROE/ROS); Market (Tobin’s Q); Mixed; Other</w:t>
            </w:r>
          </w:p>
        </w:tc>
      </w:tr>
    </w:tbl>
    <w:bookmarkEnd w:id="63"/>
    <w:bookmarkStart w:id="64" w:name="Xf97f952f96803e451cdf304f81d710dfb198f95"/>
    <w:p>
      <w:pPr>
        <w:pStyle w:val="Heading2"/>
      </w:pPr>
      <w:r>
        <w:t xml:space="preserve">Appendix C, Consistency Check: MetaEssentials vs. </w:t>
      </w:r>
      <w:r>
        <w:rPr>
          <w:rStyle w:val="VerbatimChar"/>
        </w:rPr>
        <w:t xml:space="preserve">metafor</w:t>
      </w:r>
    </w:p>
    <w:tbl>
      <w:tblPr>
        <w:tblStyle w:val="Table"/>
        <w:tblW w:type="pct" w:w="5000"/>
        <w:tblLook w:firstRow="1" w:lastRow="0" w:firstColumn="0" w:lastColumn="0" w:noHBand="0" w:noVBand="0" w:val="0020"/>
        <w:jc w:val="start"/>
      </w:tblPr>
      <w:tblGrid>
        <w:gridCol w:w="2224"/>
        <w:gridCol w:w="2936"/>
        <w:gridCol w:w="2758"/>
      </w:tblGrid>
      <w:tr>
        <w:trPr>
          <w:tblHeader w:val="true"/>
        </w:trPr>
        <w:tc>
          <w:tcPr/>
          <w:p>
            <w:pPr>
              <w:pStyle w:val="Compact"/>
              <w:jc w:val="left"/>
            </w:pPr>
            <w:r>
              <w:t xml:space="preserve">Statistic</w:t>
            </w:r>
          </w:p>
        </w:tc>
        <w:tc>
          <w:tcPr/>
          <w:p>
            <w:pPr>
              <w:pStyle w:val="Compact"/>
              <w:jc w:val="left"/>
            </w:pPr>
            <w:r>
              <w:t xml:space="preserve">MetaEssentials 1.5 (ICBEF 2025)</w:t>
            </w:r>
          </w:p>
        </w:tc>
        <w:tc>
          <w:tcPr/>
          <w:p>
            <w:pPr>
              <w:pStyle w:val="Compact"/>
              <w:jc w:val="left"/>
            </w:pPr>
            <w:r>
              <w:t xml:space="preserve">metafor REML (3-level, k=238)</w:t>
            </w:r>
          </w:p>
        </w:tc>
      </w:tr>
      <w:tr>
        <w:tc>
          <w:tcPr/>
          <w:p>
            <w:pPr>
              <w:pStyle w:val="Compact"/>
              <w:jc w:val="left"/>
            </w:pPr>
            <w:r>
              <w:t xml:space="preserve">Pooled</w:t>
            </w:r>
            <w:r>
              <w:t xml:space="preserve"> </w:t>
            </w:r>
            <w:r>
              <w:rPr>
                <w:iCs/>
                <w:i/>
              </w:rPr>
              <w:t xml:space="preserve">r</w:t>
            </w:r>
          </w:p>
        </w:tc>
        <w:tc>
          <w:tcPr/>
          <w:p>
            <w:pPr>
              <w:pStyle w:val="Compact"/>
              <w:jc w:val="left"/>
            </w:pPr>
            <w:r>
              <w:t xml:space="preserve">0.070</w:t>
            </w:r>
          </w:p>
        </w:tc>
        <w:tc>
          <w:tcPr/>
          <w:p>
            <w:pPr>
              <w:pStyle w:val="Compact"/>
              <w:jc w:val="left"/>
            </w:pPr>
            <w:r>
              <w:t xml:space="preserve">0.074</w:t>
            </w:r>
          </w:p>
        </w:tc>
      </w:tr>
      <w:tr>
        <w:tc>
          <w:tcPr/>
          <w:p>
            <w:pPr>
              <w:pStyle w:val="Compact"/>
              <w:jc w:val="left"/>
            </w:pPr>
            <w:r>
              <w:t xml:space="preserve">95% CI</w:t>
            </w:r>
          </w:p>
        </w:tc>
        <w:tc>
          <w:tcPr/>
          <w:p>
            <w:pPr>
              <w:pStyle w:val="Compact"/>
              <w:jc w:val="left"/>
            </w:pPr>
            <w:r>
              <w:t xml:space="preserve">[0.050, 0.090]</w:t>
            </w:r>
          </w:p>
        </w:tc>
        <w:tc>
          <w:tcPr/>
          <w:p>
            <w:pPr>
              <w:pStyle w:val="Compact"/>
              <w:jc w:val="left"/>
            </w:pPr>
            <w:r>
              <w:t xml:space="preserve">[0.060, 0.088]</w:t>
            </w:r>
          </w:p>
        </w:tc>
      </w:tr>
      <w:tr>
        <w:tc>
          <w:tcPr/>
          <w:p>
            <w:pPr>
              <w:pStyle w:val="Compact"/>
              <w:jc w:val="left"/>
            </w:pPr>
            <w:r>
              <w:rPr>
                <w:iCs/>
                <w:i/>
              </w:rPr>
              <w:t xml:space="preserve">I</w:t>
            </w:r>
            <w:r>
              <w:t xml:space="preserve">²_total</w:t>
            </w:r>
          </w:p>
        </w:tc>
        <w:tc>
          <w:tcPr/>
          <w:p>
            <w:pPr>
              <w:pStyle w:val="Compact"/>
              <w:jc w:val="left"/>
            </w:pPr>
            <w:r>
              <w:t xml:space="preserve">87.92%</w:t>
            </w:r>
          </w:p>
        </w:tc>
        <w:tc>
          <w:tcPr/>
          <w:p>
            <w:pPr>
              <w:pStyle w:val="Compact"/>
              <w:jc w:val="left"/>
            </w:pPr>
            <w:r>
              <w:t xml:space="preserve">62.5%</w:t>
            </w:r>
          </w:p>
        </w:tc>
      </w:tr>
      <w:tr>
        <w:tc>
          <w:tcPr/>
          <w:p>
            <w:pPr>
              <w:pStyle w:val="Compact"/>
              <w:jc w:val="left"/>
            </w:pPr>
            <w:r>
              <w:rPr>
                <w:iCs/>
                <w:i/>
              </w:rPr>
              <w:t xml:space="preserve">I</w:t>
            </w:r>
            <w:r>
              <w:t xml:space="preserve">²_(2) within-study</w:t>
            </w:r>
          </w:p>
        </w:tc>
        <w:tc>
          <w:tcPr/>
          <w:p>
            <w:pPr>
              <w:pStyle w:val="Compact"/>
              <w:jc w:val="left"/>
            </w:pPr>
            <w:r>
              <w:t xml:space="preserve">,</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w:t>
            </w:r>
          </w:p>
        </w:tc>
        <w:tc>
          <w:tcPr/>
          <w:p>
            <w:pPr>
              <w:pStyle w:val="Compact"/>
              <w:jc w:val="left"/>
            </w:pPr>
            <w:r>
              <w:t xml:space="preserve">8.4%</w:t>
            </w:r>
          </w:p>
        </w:tc>
      </w:tr>
      <w:tr>
        <w:tc>
          <w:tcPr/>
          <w:p>
            <w:pPr>
              <w:pStyle w:val="Compact"/>
              <w:jc w:val="left"/>
            </w:pPr>
            <w:r>
              <w:rPr>
                <w:iCs/>
                <w:i/>
              </w:rPr>
              <w:t xml:space="preserve">k</w:t>
            </w:r>
            <w:r>
              <w:t xml:space="preserve"> </w:t>
            </w:r>
            <w:r>
              <w:t xml:space="preserve">studies</w:t>
            </w:r>
          </w:p>
        </w:tc>
        <w:tc>
          <w:tcPr/>
          <w:p>
            <w:pPr>
              <w:pStyle w:val="Compact"/>
              <w:jc w:val="left"/>
            </w:pPr>
            <w:r>
              <w:t xml:space="preserve">113</w:t>
            </w:r>
          </w:p>
        </w:tc>
        <w:tc>
          <w:tcPr/>
          <w:p>
            <w:pPr>
              <w:pStyle w:val="Compact"/>
              <w:jc w:val="left"/>
            </w:pPr>
            <w:r>
              <w:t xml:space="preserve">238</w:t>
            </w:r>
          </w:p>
        </w:tc>
      </w:tr>
      <w:tr>
        <w:tc>
          <w:tcPr/>
          <w:p>
            <w:pPr>
              <w:pStyle w:val="Compact"/>
              <w:jc w:val="left"/>
            </w:pPr>
            <w:r>
              <w:rPr>
                <w:iCs/>
                <w:i/>
              </w:rPr>
              <w:t xml:space="preserve">K</w:t>
            </w:r>
            <w:r>
              <w:t xml:space="preserve"> </w:t>
            </w:r>
            <w:r>
              <w:t xml:space="preserve">effects</w:t>
            </w:r>
          </w:p>
        </w:tc>
        <w:tc>
          <w:tcPr/>
          <w:p>
            <w:pPr>
              <w:pStyle w:val="Compact"/>
              <w:jc w:val="left"/>
            </w:pPr>
            <w:r>
              <w:t xml:space="preserve">,</w:t>
            </w:r>
          </w:p>
        </w:tc>
        <w:tc>
          <w:tcPr/>
          <w:p>
            <w:pPr>
              <w:pStyle w:val="Compact"/>
              <w:jc w:val="left"/>
            </w:pPr>
            <w:r>
              <w:t xml:space="preserve">288</w:t>
            </w:r>
          </w:p>
        </w:tc>
      </w:tr>
      <w:tr>
        <w:tc>
          <w:tcPr/>
          <w:p>
            <w:pPr>
              <w:pStyle w:val="Compact"/>
              <w:jc w:val="left"/>
            </w:pPr>
            <w:r>
              <w:t xml:space="preserve">σ²_(2)</w:t>
            </w:r>
          </w:p>
        </w:tc>
        <w:tc>
          <w:tcPr/>
          <w:p>
            <w:pPr>
              <w:pStyle w:val="Compact"/>
              <w:jc w:val="left"/>
            </w:pPr>
            <w:r>
              <w:t xml:space="preserve">,</w:t>
            </w:r>
          </w:p>
        </w:tc>
        <w:tc>
          <w:tcPr/>
          <w:p>
            <w:pPr>
              <w:pStyle w:val="Compact"/>
              <w:jc w:val="left"/>
            </w:pPr>
            <w:r>
              <w:t xml:space="preserve">0.00878</w:t>
            </w:r>
          </w:p>
        </w:tc>
      </w:tr>
      <w:tr>
        <w:tc>
          <w:tcPr/>
          <w:p>
            <w:pPr>
              <w:pStyle w:val="Compact"/>
              <w:jc w:val="left"/>
            </w:pPr>
            <w:r>
              <w:t xml:space="preserve">σ²_(3)</w:t>
            </w:r>
          </w:p>
        </w:tc>
        <w:tc>
          <w:tcPr/>
          <w:p>
            <w:pPr>
              <w:pStyle w:val="Compact"/>
              <w:jc w:val="left"/>
            </w:pPr>
            <w:r>
              <w:t xml:space="preserve">,</w:t>
            </w:r>
          </w:p>
        </w:tc>
        <w:tc>
          <w:tcPr/>
          <w:p>
            <w:pPr>
              <w:pStyle w:val="Compact"/>
              <w:jc w:val="left"/>
            </w:pPr>
            <w:r>
              <w:t xml:space="preserve">0.00136</w:t>
            </w:r>
          </w:p>
        </w:tc>
      </w:tr>
      <w:tr>
        <w:tc>
          <w:tcPr/>
          <w:p>
            <w:pPr>
              <w:pStyle w:val="Compact"/>
              <w:jc w:val="left"/>
            </w:pPr>
            <w:r>
              <w:t xml:space="preserve">Software</w:t>
            </w:r>
          </w:p>
        </w:tc>
        <w:tc>
          <w:tcPr/>
          <w:p>
            <w:pPr>
              <w:pStyle w:val="Compact"/>
              <w:jc w:val="left"/>
            </w:pPr>
            <w:r>
              <w:t xml:space="preserve">Suurmond et al. (2017)</w:t>
            </w:r>
          </w:p>
        </w:tc>
        <w:tc>
          <w:tcPr/>
          <w:p>
            <w:pPr>
              <w:pStyle w:val="Compact"/>
              <w:jc w:val="left"/>
            </w:pPr>
            <w:r>
              <w:t xml:space="preserve">Viechtbauer (2010)</w:t>
            </w:r>
          </w:p>
        </w:tc>
      </w:tr>
    </w:tbl>
    <w:p>
      <w:pPr>
        <w:pStyle w:val="BodyText"/>
      </w:pPr>
      <w:r>
        <w:rPr>
          <w:iCs/>
          <w:i/>
        </w:rPr>
        <w:t xml:space="preserve">Note:</w:t>
      </w:r>
      <w:r>
        <w:t xml:space="preserve"> </w:t>
      </w:r>
      <w:r>
        <w:t xml:space="preserve">Lower total I² in the three-level model (62.5% vs. 87.92%)</w:t>
      </w:r>
      <w:r>
        <w:t xml:space="preserve"> </w:t>
      </w:r>
      <w:r>
        <w:t xml:space="preserve">reflects the expanded</w:t>
      </w:r>
      <w:r>
        <w:t xml:space="preserve"> </w:t>
      </w:r>
      <w:r>
        <w:rPr>
          <w:iCs/>
          <w:i/>
        </w:rPr>
        <w:t xml:space="preserve">k</w:t>
      </w:r>
      <w:r>
        <w:t xml:space="preserve"> </w:t>
      </w:r>
      <w:r>
        <w:t xml:space="preserve">= 238 sample and the three-level structure</w:t>
      </w:r>
      <w:r>
        <w:t xml:space="preserve"> </w:t>
      </w:r>
      <w:r>
        <w:t xml:space="preserve">that partitions variance across levels correctly. The narrower 95% CI</w:t>
      </w:r>
      <w:r>
        <w:t xml:space="preserve"> </w:t>
      </w:r>
      <w:r>
        <w:t xml:space="preserve">reflects the precision gain from 238 vs. 113 studies. The three-level</w:t>
      </w:r>
      <w:r>
        <w:t xml:space="preserve"> </w:t>
      </w:r>
      <w:r>
        <w:t xml:space="preserve">model is theoretically preferred as it accounts for multiple effect</w:t>
      </w:r>
      <w:r>
        <w:t xml:space="preserve"> </w:t>
      </w:r>
      <w:r>
        <w:t xml:space="preserve">sizes nested within studies.</w:t>
      </w:r>
    </w:p>
    <w:p>
      <w:pPr>
        <w:pStyle w:val="BodyText"/>
      </w:pPr>
      <w:r>
        <w:rPr>
          <w:iCs/>
          <w:i/>
        </w:rPr>
        <w:t xml:space="preserve">Word count (excluding tables, references, appendices): ≈ 6,900 words</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doi.org/10.1136/bmj.n71" TargetMode="External" /><Relationship Type="http://schemas.openxmlformats.org/officeDocument/2006/relationships/hyperlink" Id="rId58" Target="https://doi.org/10.5772/intechopen.1011012" TargetMode="External" /><Relationship Type="http://schemas.openxmlformats.org/officeDocument/2006/relationships/hyperlink" Id="rId60" Target="https://info.worldbank.org/governance/wgi/"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1136/bmj.n71" TargetMode="External" /><Relationship Type="http://schemas.openxmlformats.org/officeDocument/2006/relationships/hyperlink" Id="rId58" Target="https://doi.org/10.5772/intechopen.1011012" TargetMode="External" /><Relationship Type="http://schemas.openxmlformats.org/officeDocument/2006/relationships/hyperlink" Id="rId60" Target="https://info.worldbank.org/governance/wg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2026-06-10T13:18:35Z</dcterms:created>
  <dcterms:modified xsi:type="dcterms:W3CDTF">2026-06-10T13:18:35Z</dcterms:modified>
</cp:coreProperties>
</file>

<file path=docProps/custom.xml><?xml version="1.0" encoding="utf-8"?>
<Properties xmlns="http://schemas.openxmlformats.org/officeDocument/2006/custom-properties" xmlns:vt="http://schemas.openxmlformats.org/officeDocument/2006/docPropsVTypes"/>
</file>