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8.png" ContentType="image/png"/>
  <Override PartName="/word/media/rId41.png" ContentType="image/png"/>
  <Override PartName="/word/media/rId44.png" ContentType="image/png"/>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Target journal: Journal of Economics and Development (JED), Emerald Publishing on behalf of National Economics University (NEU)</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16,800 words (reduction to ~9,500 pending — see RECONCILIATION_NOTES.md).</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revisits the internationalisation–performance relationship in Vietnam across three survey waves, testing whether technological capability moderates export-intensity effects and whether a Tier-1 digital indicator evolves across institutional generations.</w:t>
      </w:r>
    </w:p>
    <w:p>
      <w:pPr>
        <w:pStyle w:val="BodyText"/>
      </w:pPr>
      <w:r>
        <w:rPr>
          <w:bCs/>
          <w:b/>
        </w:rPr>
        <w:t xml:space="preserve">Design/methodology/approach.</w:t>
      </w:r>
      <w:r>
        <w:t xml:space="preserve"> </w:t>
      </w:r>
      <w:r>
        <w:t xml:space="preserve">Three waves of the WBES Vietnam (2009, 2015, 2023; N = 2,958) underpin wave-specific and pooled OLS models with HC1 robust standard errors, quadratic FSTS terms, and capability interactions. Lind–Mehlum U-tests verify the inverted-U; Paternoster z-tests evaluate cross-wave coefficient equality.</w:t>
      </w:r>
    </w:p>
    <w:p>
      <w:pPr>
        <w:pStyle w:val="BodyText"/>
      </w:pPr>
      <w:r>
        <w:rPr>
          <w:bCs/>
          <w:b/>
        </w:rPr>
        <w:t xml:space="preserve">Findings.</w:t>
      </w:r>
      <w:r>
        <w:t xml:space="preserve"> </w:t>
      </w:r>
      <w:r>
        <w:t xml:space="preserve">The inverted-U between export intensity and labour productivity holds across all three waves, with turning points clustered at 39–46% FSTS — a band durable over 14 years of institutional change. The nonlinearity traces to a participation-margin step: restricted to exporters, the quadratic term loses significance (β = −0.200, p = .660). TCI positively moderates the I–P curvature; the website indicator follows a proxy-obsolescence trajectory (positive 2009 → null 2015 → negatively interactive 2023).</w:t>
      </w:r>
    </w:p>
    <w:p>
      <w:pPr>
        <w:pStyle w:val="BodyText"/>
      </w:pPr>
      <w:r>
        <w:rPr>
          <w:bCs/>
          <w:b/>
        </w:rPr>
        <w:t xml:space="preserve">Research limitations/implications.</w:t>
      </w:r>
      <w:r>
        <w:t xml:space="preserve"> </w:t>
      </w:r>
      <w:r>
        <w:t xml:space="preserve">Repeated cross-section design supports associational inference only. The Tier-1 binary website measure limits broader digital-transformation claims; richer Tier 2–3 indicators are needed.</w:t>
      </w:r>
    </w:p>
    <w:p>
      <w:pPr>
        <w:pStyle w:val="BodyText"/>
      </w:pPr>
      <w:r>
        <w:rPr>
          <w:bCs/>
          <w:b/>
        </w:rPr>
        <w:t xml:space="preserve">Practical implications.</w:t>
      </w:r>
      <w:r>
        <w:t xml:space="preserve"> </w:t>
      </w:r>
      <w:r>
        <w:t xml:space="preserve">The 39–46% FSTS band defines a bounded operating range for Vietnamese SME export expansion. For Decision 749/QĐ-TTg digital transformation policy, Tier-1 website indicators have saturated; the next phase must shift to Tier 2–3 digital capabilities.</w:t>
      </w:r>
    </w:p>
    <w:p>
      <w:pPr>
        <w:pStyle w:val="BodyText"/>
      </w:pPr>
      <w:r>
        <w:rPr>
          <w:bCs/>
          <w:b/>
        </w:rPr>
        <w:t xml:space="preserve">Originality/value.</w:t>
      </w:r>
      <w:r>
        <w:t xml:space="preserve"> </w:t>
      </w:r>
      <w:r>
        <w:t xml:space="preserve">In this zero-inflated setting, the inverted-U reflects a participation-barrier step function rather than intensity saturation. Tier-1 digital coefficients mask progressive proxy obsolescence. The turning-point cluster (39–46%) is institutionally embedded, shifting the debate from</w:t>
      </w:r>
      <w:r>
        <w:t xml:space="preserve"> </w:t>
      </w:r>
      <w:r>
        <w:t xml:space="preserve">“</w:t>
      </w:r>
      <w:r>
        <w:t xml:space="preserve">does internationalisation help?</w:t>
      </w:r>
      <w:r>
        <w:t xml:space="preserve">”</w:t>
      </w:r>
      <w:r>
        <w:t xml:space="preserve"> </w:t>
      </w:r>
      <w:r>
        <w:t xml:space="preserve">to</w:t>
      </w:r>
      <w:r>
        <w:t xml:space="preserve"> </w:t>
      </w:r>
      <w:r>
        <w:t xml:space="preserve">“</w:t>
      </w:r>
      <w:r>
        <w:t xml:space="preserve">under what institutional conditions does the threshold shift?</w:t>
      </w:r>
      <w:r>
        <w:t xml:space="preserve">”</w:t>
      </w:r>
      <w:r>
        <w:t xml:space="preserve">.</w:t>
      </w:r>
    </w:p>
    <w:p>
      <w:pPr>
        <w:pStyle w:val="BodyText"/>
      </w:pPr>
      <w:r>
        <w:rPr>
          <w:bCs/>
          <w:b/>
        </w:rPr>
        <w:t xml:space="preserve">Keywords:</w:t>
      </w:r>
      <w:r>
        <w:t xml:space="preserve"> </w:t>
      </w:r>
      <w:r>
        <w:t xml:space="preserve">internationalisation–performance; emerging markets; technological capability; threshold durability; Vietnam; firm productivity.</w:t>
      </w:r>
    </w:p>
    <w:p>
      <w:pPr>
        <w:pStyle w:val="BodyText"/>
      </w:pPr>
      <w:r>
        <w:rPr>
          <w:bCs/>
          <w:b/>
        </w:rPr>
        <w:t xml:space="preserve">JEL classification:</w:t>
      </w:r>
      <w:r>
        <w:t xml:space="preserve"> </w:t>
      </w:r>
      <w:r>
        <w:t xml:space="preserve">F23, O33, D22, L25, O53.</w:t>
      </w:r>
    </w:p>
    <w:p>
      <w:pPr>
        <w:pStyle w:val="BodyText"/>
      </w:pPr>
      <w:r>
        <w:rPr>
          <w:bCs/>
          <w:b/>
        </w:rPr>
        <w:t xml:space="preserve">Paper type:</w:t>
      </w:r>
      <w:r>
        <w:t xml:space="preserve"> </w:t>
      </w:r>
      <w:r>
        <w:t xml:space="preserve">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=.006, 2015 p</w:t>
      </w:r>
      <w:r>
        <w:t xml:space="preserve"> </w:t>
      </w:r>
      <w:r>
        <w:t xml:space="preserve">=.009, 2023 p =.013) and in the pooled sample (p &lt;.001), with turning points clustered</w:t>
      </w:r>
      <w:r>
        <w:t xml:space="preserve"> </w:t>
      </w:r>
      <w:r>
        <w:t xml:space="preserve">between 39 and 46 % of direct-export intensity.</w:t>
      </w:r>
    </w:p>
    <w:p>
      <w:pPr>
        <w:pStyle w:val="BodyText"/>
      </w:pPr>
      <w:r>
        <w:t xml:space="preserve"> Technological capability is the primary capability construct:</w:t>
      </w:r>
      <w:r>
        <w:t xml:space="preserve"> </w:t>
      </w:r>
      <m:oMath>
        <m:sSub>
          <m:e>
            <m:r>
              <m:rPr>
                <m:nor/>
                <m:sty m:val="p"/>
              </m:rPr>
              <m:t>TCI</m:t>
            </m:r>
          </m:e>
          <m:sub>
            <m:r>
              <m:t>z</m:t>
            </m:r>
          </m:sub>
        </m:sSub>
      </m:oMath>
      <w:r>
        <w:t xml:space="preserve"> </w:t>
      </w:r>
      <w:r>
        <w:t xml:space="preserve">is the within-wave standardised mean of quality certification and foreign-licensed technology. A single-item website-presence indicator (</w:t>
      </w:r>
      <m:oMath>
        <m:sSub>
          <m:e>
            <m:r>
              <m:rPr>
                <m:nor/>
                <m:sty m:val="p"/>
              </m:rPr>
              <m:t>DAI</m:t>
            </m:r>
          </m:e>
          <m:sub>
            <m:r>
              <m:t>z</m:t>
            </m:r>
          </m:sub>
        </m:sSub>
      </m:oMath>
      <w:r>
        <w:t xml:space="preserve">, Tier 1 only) is retained as a baseline digital-presence control given the WBES Vietnam measurement constraint; the two share no items.</w:t>
      </w:r>
    </w:p>
    <w:p>
      <w:pPr>
        <w:pStyle w:val="BodyText"/>
      </w:pPr>
      <w:r>
        <w:t xml:space="preserve"></w:t>
      </w:r>
      <w:r>
        <w:t xml:space="preserve"> </w:t>
      </w:r>
      <m:oMath>
        <m:sSub>
          <m:e>
            <m:r>
              <m:rPr>
                <m:nor/>
                <m:sty m:val="p"/>
              </m:rPr>
              <m:t>TCI</m:t>
            </m:r>
          </m:e>
          <m:sub>
            <m:r>
              <m:t>z</m:t>
            </m:r>
          </m:sub>
        </m:sSub>
      </m:oMath>
      <w:r>
        <w:t xml:space="preserve"> </w:t>
      </w:r>
      <w:r>
        <w:t xml:space="preserve">is positively associated with productivity in all three waves (</w:t>
      </w:r>
      <m:oMath>
        <m:r>
          <m:t>β</m:t>
        </m:r>
      </m:oMath>
      <w:r>
        <w:t xml:space="preserve"> </w:t>
      </w:r>
      <w:r>
        <w:t xml:space="preserve">= 0.215, 0.128, 0.123) and pooled (</w:t>
      </w:r>
      <m:oMath>
        <m:r>
          <m:t>β</m:t>
        </m:r>
      </m:oMath>
      <w:r>
        <w:t xml:space="preserve"> </w:t>
      </w:r>
      <w:r>
        <w:t xml:space="preserve">= 0.179, p &lt;.001), and moderates the curvature in three of four panels (M3 joint p =.040,.713,.027 and.003).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a step function across the export-participation barrier rather than a continuous within-exporter saturation curve</w:t>
      </w:r>
      <w:r>
        <w:t xml:space="preserve">: re-fitted on the exporter-only sub-sample (FSTS &gt; 0; pooled N = 669), the quadratic FSTS term loses significance (</w:t>
      </w:r>
      <m:oMath>
        <m:r>
          <m:t>β</m:t>
        </m:r>
      </m:oMath>
      <w:r>
        <w:t xml:space="preserve"> </w:t>
      </w:r>
      <w:r>
        <w:t xml:space="preserve">= -0.200, p =.660); only ~1.0 % of pooled firms sit within $</w:t>
      </w:r>
      <w:r>
        <w:t xml:space="preserve">$5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w:t>
      </w:r>
      <m:oMath>
        <m:r>
          <m:t>β</m:t>
        </m:r>
      </m:oMath>
      <w:r>
        <w:t xml:space="preserve"> </w:t>
      </w:r>
      <w:r>
        <w:t xml:space="preserve">= 0.175), null in 2015 (</w:t>
      </w:r>
      <m:oMath>
        <m:r>
          <m:t>β</m:t>
        </m:r>
      </m:oMath>
      <w:r>
        <w:t xml:space="preserve"> </w:t>
      </w:r>
      <w:r>
        <w:t xml:space="preserve">= -0.044), and positive in 2023 (</w:t>
      </w:r>
      <m:oMath>
        <m:r>
          <m:t>β</m:t>
        </m:r>
      </m:oMath>
      <w:r>
        <w:t xml:space="preserve"> </w:t>
      </w:r>
      <w:r>
        <w:t xml:space="preserve">= 0.095); the negative</w:t>
      </w:r>
      <w:r>
        <w:t xml:space="preserve"> </w:t>
      </w:r>
      <m:oMath>
        <m:r>
          <m:rPr>
            <m:nor/>
            <m:sty m:val="p"/>
          </m:rPr>
          <m:t>DAI</m:t>
        </m:r>
        <m:r>
          <m:rPr>
            <m:sty m:val="p"/>
          </m:rPr>
          <m:t>×</m:t>
        </m:r>
        <m:r>
          <m:rPr>
            <m:nor/>
            <m:sty m:val="p"/>
          </m:rPr>
          <m:t>FSTS</m:t>
        </m:r>
      </m:oMath>
      <w:r>
        <w:t xml:space="preserve"> </w:t>
      </w:r>
      <w:r>
        <w:t xml:space="preserve">interaction observed only in 2023 (</w:t>
      </w:r>
      <m:oMath>
        <m:sSub>
          <m:e>
            <m:r>
              <m:rPr>
                <m:nor/>
                <m:sty m:val="p"/>
              </m:rPr>
              <m:t>FSTS</m:t>
            </m:r>
          </m:e>
          <m:sub>
            <m:r>
              <m:t>c</m:t>
            </m:r>
          </m:sub>
        </m:sSub>
        <m:r>
          <m:rPr>
            <m:sty m:val="p"/>
          </m:rPr>
          <m:t>×</m:t>
        </m:r>
        <m:sSub>
          <m:e>
            <m:r>
              <m:rPr>
                <m:nor/>
                <m:sty m:val="p"/>
              </m:rPr>
              <m:t>DAI</m:t>
            </m:r>
          </m:e>
          <m:sub>
            <m:r>
              <m:t>z</m:t>
            </m:r>
          </m:sub>
        </m:sSub>
      </m:oMath>
      <w:r>
        <w:t xml:space="preserve"> </w:t>
      </w:r>
      <w:r>
        <w:t xml:space="preserve">= -0.912, p =.043) is read as Tier-1 proxy obsolescence as website ownership diffuses to near-universal levels (49.8 % in 2023 vs 42.5 % in 2009), not as evidence on dynamic digital capability moderation.</w:t>
      </w:r>
    </w:p>
    <w:bookmarkEnd w:id="21"/>
    <w:bookmarkStart w:id="31" w:name="introduction"/>
    <w:p>
      <w:pPr>
        <w:pStyle w:val="Heading2"/>
      </w:pPr>
      <w:r>
        <w:t xml:space="preserve">1. Introduction</w:t>
      </w:r>
    </w:p>
    <w:bookmarkStart w:id="22" w:name="background-and-motivation"/>
    <w:p>
      <w:pPr>
        <w:pStyle w:val="Heading3"/>
      </w:pPr>
      <w:r>
        <w:t xml:space="preserve">1.1 Background and motivation</w:t>
      </w:r>
    </w:p>
    <w:p>
      <w:pPr>
        <w:pStyle w:val="FirstParagraph"/>
      </w:pPr>
      <w:r>
        <w:t xml:space="preserve">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foreign expansion does not lend itself to the assumption of a linear performance premium. Larger markets, learning, and diversified revenue raise returns at moderate exposure; coordination costs, information-processing burdens, and organisational strain push them back as involvement deepens (Wright et al., 2005; Cuervo-Cazurra and Genc, 2008; Wu et al., 2016). A long tradition holds this nonlinearity to be a central feature of the I–P relationship rather than an empirical anomaly (Vernon, 1979; Lu and Beamish, 2004; Hennart, 2007; Coviello et al., 2017; Marano et al., 2016).</w:t>
      </w:r>
    </w:p>
    <w:p>
      <w:pPr>
        <w:pStyle w:val="BodyText"/>
      </w:pPr>
      <w:r>
        <w:t xml:space="preserve">Digitalisation layers a further complication. Digital tools can cut communication friction, speed transactions, and support cross-border coordination, but their realised value depends on whether a firm holds the organisational depth, absorptive capacity, and complementary routines to convert digital adoption into productivity gains (Cohen and Levinthal, 1990; Vial, 2019; Verhoef et al., 2021; Stallkamp and Schotter, 2021; Petricevic and Teece, 2019). Digital capability is therefore poorly described as a universally beneficial resource whose payoff stays constant across firms and time. The central question for this study follows: does digital capability in Vietnam behave as a stable performance-enhancing asset, or as a stage-contingent resource whose value changes over the lifecycle of internationalisation?</w:t>
      </w:r>
    </w:p>
    <w:p>
      <w:pPr>
        <w:pStyle w:val="BodyText"/>
      </w:pPr>
      <w:r>
        <w:t xml:space="preserve">Three institutional turning points shape the observation window. Vietnam’s accession to the WTO in early 2007 opened the period preceding the 2009 wave; the 2015 wave captures a middle phase in which expanding manufacturing exports coexisted with under-developed digital trade infrastructure and a labour-intensive exporter cohort; the 2023 wave follows the 2020 National Digital Transformation Programme, the rapid expansion of cross-border e-payment and e-commerce platforms, and the rebalancing of FDI toward digitally mediated and services-linked production. The three waves observe firms under structurally different combinations of internationalisation pressure and digital infrastructure availability, which is what makes the lifecycle reading testable rather than purely conceptual. The exporter cohort itself changes composition across the three waves: the share reporting any positive direct-export intensity falls as services and FDI-linked supply-chain firms enter the sample, while average foundational digital adoption rises with the diffusion of websites, e-payment systems, and digital transaction interfaces.</w:t>
      </w:r>
    </w:p>
    <w:p>
      <w:pPr>
        <w:pStyle w:val="BodyText"/>
      </w:pPr>
      <w:r>
        <w:t xml:space="preserve">A central empirical regularity emerges from this design: the inverted-U observed in the full sample is driven primarily by the</w:t>
      </w:r>
      <w:r>
        <w:t xml:space="preserve"> </w:t>
      </w:r>
      <w:r>
        <w:rPr>
          <w:bCs/>
          <w:b/>
        </w:rPr>
        <w:t xml:space="preserve">participation margin</w:t>
      </w:r>
      <w:r>
        <w:t xml:space="preserve">,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reads as a</w:t>
      </w:r>
      <w:r>
        <w:t xml:space="preserve"> </w:t>
      </w:r>
      <w:r>
        <w:rPr>
          <w:iCs/>
          <w:i/>
        </w:rPr>
        <w:t xml:space="preserve">step function across the export-entry threshold</w:t>
      </w:r>
      <w:r>
        <w:t xml:space="preserve"> </w:t>
      </w:r>
      <w:r>
        <w:t xml:space="preserve">in a transitional economy, not as a continuous saturation curve. The participation-margin mechanism itself is well established (Melitz, 2003; Wagner, 2007; Bernard et al., 2007, 2012); the contribution here is to document that, in three repeated cross-sections of Vietnamese firms, this mechanism is large enough to explain the entire apparent inverted-U observed in standard FSTSc-and-FSTSc² specifications, with within-exporter curvature statistically flat.</w:t>
      </w:r>
    </w:p>
    <w:bookmarkEnd w:id="22"/>
    <w:bookmarkStart w:id="23" w:name="gap-contribution-and-roadmap"/>
    <w:p>
      <w:pPr>
        <w:pStyle w:val="Heading3"/>
      </w:pPr>
      <w:r>
        <w:t xml:space="preserve">1.2 Gap, contribution, and roadmap</w:t>
      </w:r>
    </w:p>
    <w:p>
      <w:pPr>
        <w:pStyle w:val="FirstParagraph"/>
      </w:pPr>
      <w:r>
        <w:t xml:space="preserve">Three gaps in the existing literature motivate the design. First,</w:t>
      </w:r>
      <w:r>
        <w:t xml:space="preserve"> </w:t>
      </w:r>
      <w:r>
        <w:rPr>
          <w:bCs/>
          <w:b/>
        </w:rPr>
        <w:t xml:space="preserve">theoretical</w:t>
      </w:r>
      <w:r>
        <w:t xml:space="preserve">: digitalisation is often theorised as a broadly positive resource with limited attention to temporal and contextual variation in its payoff (Strange and Zucchella, 2017; Goldfarb and Tucker, 2019); the returns are likely to be uneven because firms differ in scale, routines, and complementary capability. Second,</w:t>
      </w:r>
      <w:r>
        <w:t xml:space="preserve"> </w:t>
      </w:r>
      <w:r>
        <w:rPr>
          <w:bCs/>
          <w:b/>
        </w:rPr>
        <w:t xml:space="preserve">construct</w:t>
      </w:r>
      <w:r>
        <w:t xml:space="preserve">: the distinction between technological capability and digital adoption remains underdeveloped. Technological capability refers to deeper firm-internal stocks of learning, problem-solving, process improvement, and innovation capacity (Lall, 1992); foundational digital adoption reflects a more basic layer of digital readiness and digitally enabled interfaces (Bharadwaj et al., 2013; Verhoef et al., 2021; Hanelt et al., 2021; Brouthers et al., 2016). Treating the two as interchangeable blurs the mechanisms that link digitalisation to performance. Third,</w:t>
      </w:r>
      <w:r>
        <w:t xml:space="preserve"> </w:t>
      </w:r>
      <w:r>
        <w:rPr>
          <w:bCs/>
          <w:b/>
        </w:rPr>
        <w:t xml:space="preserve">methodological</w:t>
      </w:r>
      <w:r>
        <w:t xml:space="preserve">: pooled estimates obscure substantial lifecycle heterogeneity where firms and institutions pass through distinct stages of transition. Pisani, Garcia-Bernardo, and Heemskerk (2020) find that the cross-national pooled inverted-U weakens under more rigorous identification, and Wu, Fan, and Chen (2022) show in EMNE meta-analysis that institutional context moderates I–P effect sizes more powerfully than firm-level capability variables. Within-country longitudinal designs, which hold institutional context constant while varying time, provide a more credible test of whether the inverted-U is an artefact of cross-national pooling or a relationship that persists as the institutional environment evolves. Vietnam’s three-wave WBES panel (2009, 2015, 2023) provides exactly this design. Vietnam’s macroeconomic profile at the close of the observation window corroborates the transitional setting: GDP growth of 7.09% in 2024, FDI of US$20.17 billion (4.23% of GDP), and an export structure shifted toward machinery and electronics at 45.8% of total trade value (World Bank, 2025c).</w:t>
      </w:r>
    </w:p>
    <w:p>
      <w:pPr>
        <w:pStyle w:val="BodyText"/>
      </w:pPr>
      <w:r>
        <w:t xml:space="preserve">This study makes four contributions. (i) It</w:t>
      </w:r>
      <w:r>
        <w:t xml:space="preserve"> </w:t>
      </w:r>
      <w:r>
        <w:rPr>
          <w:bCs/>
          <w:b/>
        </w:rPr>
        <w:t xml:space="preserve">refines the I–P debate</w:t>
      </w:r>
      <w:r>
        <w:t xml:space="preserve"> </w:t>
      </w:r>
      <w:r>
        <w:t xml:space="preserve">by showing that the salience and visibility of the nonlinearity vary across time within a single transitional institutional context: nonlinearity is not a fixed structural fact appearing identically in every period; the I–P curve must be read alongside the broader capability environment. (ii) It</w:t>
      </w:r>
      <w:r>
        <w:t xml:space="preserve"> </w:t>
      </w:r>
      <w:r>
        <w:rPr>
          <w:bCs/>
          <w:b/>
        </w:rPr>
        <w:t xml:space="preserve">improves construct validity</w:t>
      </w:r>
      <w:r>
        <w:t xml:space="preserve"> </w:t>
      </w:r>
      <w:r>
        <w:t xml:space="preserve">by separating foreign-technology / standards capability (TCI_z) from foundational digital adoption (DAI_z, Tier-1 website only); the two do not trace identical patterns across waves nor survive identification stress symmetrically. (iii) It offers a</w:t>
      </w:r>
      <w:r>
        <w:t xml:space="preserve"> </w:t>
      </w:r>
      <w:r>
        <w:rPr>
          <w:bCs/>
          <w:b/>
        </w:rPr>
        <w:t xml:space="preserve">cross-wave, stage-dependency reading of digital internationalisation</w:t>
      </w:r>
      <w:r>
        <w:t xml:space="preserve">: although WBES data are repeated cross-sections rather than firm panels, the cross-wave evidence positions Tier-1 digital capability as neither a universally stable premium nor a uniformly ineffective resource, but as an uneven snapshot-contingent source of performance heterogeneity across institutional phases. (iv) It</w:t>
      </w:r>
      <w:r>
        <w:t xml:space="preserve"> </w:t>
      </w:r>
      <w:r>
        <w:rPr>
          <w:bCs/>
          <w:b/>
        </w:rPr>
        <w:t xml:space="preserve">reframes the interpretation of the apparent inverted-U</w:t>
      </w:r>
      <w:r>
        <w:t xml:space="preserve"> </w:t>
      </w:r>
      <w:r>
        <w:t xml:space="preserve">as a</w:t>
      </w:r>
      <w:r>
        <w:t xml:space="preserve"> </w:t>
      </w:r>
      <w:r>
        <w:rPr>
          <w:iCs/>
          <w:i/>
        </w:rPr>
        <w:t xml:space="preserve">step function across the export-participation barrier</w:t>
      </w:r>
      <w:r>
        <w:t xml:space="preserve"> </w:t>
      </w:r>
      <w:r>
        <w:t xml:space="preserve">rather than a continuous coordination-cost saturation curve. The decomposition is sharp: re-fitted on the exporter-only sub-sample, the quadratic FSTSc term collapses to β = -0.200 (p = .660), and only ~1.0% of pooled firms occupy the ±5 pp neighbourhood of the turning point. The contribution is empirical decomposition, not mechanism discovery: it locates the productivity-relevant friction at the participation margin where institutional, capability, and sunk-cost barriers bind hardest in a transitional economy, rather than within the intensity tail where conventional Uppsala-style coordination-cost arguments operate.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p>
      <w:pPr>
        <w:pStyle w:val="BodyText"/>
      </w:pPr>
      <w:r>
        <w:t xml:space="preserve">Section 2 develops the theoretical framework and hypotheses; Section 3 describes data, variables, and empirical strategy; Section 4 presents the results; Section 5 discusses theoretical and managerial implications; Section 6 concludes.</w:t>
      </w:r>
      <w:r>
        <w:t xml:space="preserve"> </w:t>
      </w:r>
      <w:r>
        <w:t xml:space="preserve">## 2. Theory and hypotheses</w:t>
      </w:r>
    </w:p>
    <w:bookmarkEnd w:id="23"/>
    <w:bookmarkStart w:id="24" w:name="X3b7d35b763b13aa013dc5c38abee688672fbd10"/>
    <w:p>
      <w:pPr>
        <w:pStyle w:val="Heading3"/>
      </w:pPr>
      <w:r>
        <w:t xml:space="preserve">2.1 Internationalisation and firm performance</w:t>
      </w:r>
    </w:p>
    <w:p>
      <w:pPr>
        <w:pStyle w:val="FirstParagraph"/>
      </w:pPr>
      <w:r>
        <w:t xml:space="preserve">In a transitional economy such as Vietnam, the internationalisation–performance (I–P) relationship is unlikely to be linear. Foreign expansion lifts performance through market reach, diversification, and learning (Contractor, 2007; Marano et al., 2016), but deeper engagement generates coordination costs that may dominate at higher levels of foreign exposure (Hitt et al., 1997; Hennart, 2011). The classic non-linear specification follows from this cost-benefit balance, with the Uppsala process model (Vahlne and Johanson, 2017; Knight and Liesch, 2016) similarly emphasising that gains and adjustment costs unfold incrementally as firms accumulate market knowledge and commitment.</w:t>
      </w:r>
    </w:p>
    <w:p>
      <w:pPr>
        <w:pStyle w:val="BodyText"/>
      </w:pPr>
      <w:r>
        <w:t xml:space="preserve">Vietnam’s institutional context sharpens this curvature. In a transitional setting where ports, trade-finance institutions, digital marketplaces, and dispute-resolution mechanisms are still maturing (Williamson, 1985; Hennart, 2007), the threshold at which coordination costs overwhelm scale benefits may bind at a lower level of export intensity than in mature economies.</w:t>
      </w:r>
    </w:p>
    <w:p>
      <w:pPr>
        <w:pStyle w:val="BodyText"/>
      </w:pPr>
      <w:r>
        <w:t xml:space="preserve">A second consideration is the structure of WBES Vietnam direct-export intensity (FSTS). The variable is heavily zero-inflated: non-exporter shares are 71.6% (2009), 79.3% (2015), and 81.2% (2023), pooled 77.4%. The I–P relationship therefore decomposes into two analytically distinct margins. The</w:t>
      </w:r>
      <w:r>
        <w:t xml:space="preserve"> </w:t>
      </w:r>
      <w:r>
        <w:rPr>
          <w:bCs/>
          <w:b/>
        </w:rPr>
        <w:t xml:space="preserve">participation margin</w:t>
      </w:r>
      <w:r>
        <w:t xml:space="preserve"> </w:t>
      </w:r>
      <w:r>
        <w:t xml:space="preserve">captures the step from FSTS = 0 to FSTS &gt; 0, where firms absorb fixed entry costs and acquire learning-by-exporting (Bernard et al., 2007; Wagner, 2007). The</w:t>
      </w:r>
      <w:r>
        <w:t xml:space="preserve"> </w:t>
      </w:r>
      <w:r>
        <w:rPr>
          <w:bCs/>
          <w:b/>
        </w:rPr>
        <w:t xml:space="preserve">intensity margin</w:t>
      </w:r>
      <w:r>
        <w:t xml:space="preserve"> </w:t>
      </w:r>
      <w:r>
        <w:t xml:space="preserve">captures FSTS variation within the exporter sub-sample, where scale economies and coordination burdens compete.</w:t>
      </w:r>
    </w:p>
    <w:p>
      <w:pPr>
        <w:pStyle w:val="BlockText"/>
      </w:pPr>
      <w:r>
        <w:rPr>
          <w:bCs/>
          <w:b/>
        </w:rPr>
        <w:t xml:space="preserve">H1.</w:t>
      </w:r>
      <w:r>
        <w:t xml:space="preserve"> </w:t>
      </w:r>
      <w:r>
        <w:t xml:space="preserve">The Vietnamese I–P relationship is non-monotonic in the full sample and is best understood through a participation-and-intensity structure. (H1a) Crossing from FSTS = 0 to FSTS &gt; 0 is positively associated with labour productivity. (H1b) Within the exporter sub-sample, additional intensity is expected to exhibit weaker, diminishing, or non-significant marginal returns.</w:t>
      </w:r>
    </w:p>
    <w:p>
      <w:pPr>
        <w:pStyle w:val="FirstParagraph"/>
      </w:pPr>
      <w:r>
        <w:t xml:space="preserve">The exporter-only specification (Panel H) provides the direct test of H1b: if the inverted-U reflects within-exporter intensity variation, the quadratic term should remain significant in that sub-sample.</w:t>
      </w:r>
    </w:p>
    <w:bookmarkEnd w:id="24"/>
    <w:bookmarkStart w:id="25" w:name="X4b2a32ed7154bc58721147d0dfb9df1680f1d97"/>
    <w:p>
      <w:pPr>
        <w:pStyle w:val="Heading3"/>
      </w:pPr>
      <w:r>
        <w:t xml:space="preserve">2.2 Foreign-technology and standards capability</w:t>
      </w:r>
    </w:p>
    <w:p>
      <w:pPr>
        <w:pStyle w:val="FirstParagraph"/>
      </w:pPr>
      <w:r>
        <w:t xml:space="preserve">Following the Lall (1992) tradition for emerging-market firms, this study uses a measurement-tight reading of technological capability: a foreign-technology and standards capability (TCI_z) that captures exposure to internationally recognised quality certification (b8) and foreign-licensed technology (e6). This is one observable facet of the broader Cohen and Levinthal (1990) absorptive-capacity construct and Teece (2007) dynamic-capability construct; the present measure captures the externally facing component (Eisenhardt and Martin, 2000).</w:t>
      </w:r>
    </w:p>
    <w:p>
      <w:pPr>
        <w:pStyle w:val="BodyText"/>
      </w:pPr>
      <w:r>
        <w:t xml:space="preserve">In international settings, this capability raises the firm’s productivity floor by supporting product adaptation to foreign requirements and integration of licensed technology. Even when TCI does not alter the I–P curvature, it should lift overall performance levels. A broader innovation-augmented composite (TCI_full, adding product innovation h1 and R&amp;D activity h8) is reported in §4.5 Panel A as a boundary condition.</w:t>
      </w:r>
    </w:p>
    <w:p>
      <w:pPr>
        <w:pStyle w:val="BlockText"/>
      </w:pPr>
      <w:r>
        <w:rPr>
          <w:bCs/>
          <w:b/>
        </w:rPr>
        <w:t xml:space="preserve">H2.</w:t>
      </w:r>
      <w:r>
        <w:t xml:space="preserve"> </w:t>
      </w:r>
      <w:r>
        <w:t xml:space="preserve">Foreign-technology and standards capability (TCI_z) is positively associated with labour productivity in Vietnamese firms, because exposure to internationally recognised quality certification and foreign-licensed technology raises the firm’s capacity to meet foreign market requirements and integrate external technological inputs (Lall, 1992; Cohen and Levinthal, 1990).</w:t>
      </w:r>
    </w:p>
    <w:bookmarkEnd w:id="25"/>
    <w:bookmarkStart w:id="26" w:name="website-based-digital-presence"/>
    <w:p>
      <w:pPr>
        <w:pStyle w:val="Heading3"/>
      </w:pPr>
      <w:r>
        <w:t xml:space="preserve">2.3 Website-based digital presence</w:t>
      </w:r>
    </w:p>
    <w:p>
      <w:pPr>
        <w:pStyle w:val="FirstParagraph"/>
      </w:pPr>
      <w:r>
        <w:t xml:space="preserve">The primary DAI_z is a website-based digital presence measure: a binary indicator of whether the firm has its own website (c22b). This is a foundational Tier-1 marker (Verhoef et al., 2021) and is retained because c22b is the only digital indicator the WBES instrument carries comparably across the 2009, 2015, and 2023 waves; transaction-level items appear only in 2023.</w:t>
      </w:r>
    </w:p>
    <w:p>
      <w:pPr>
        <w:pStyle w:val="BodyText"/>
      </w:pPr>
      <w:r>
        <w:t xml:space="preserve">For exporters, even foundational website adoption lowers the cost at which foreign customers can locate the firm and signals legitimacy in international transactions. The scope of these gains is bounded: a website does not by itself integrate transactions, supply chains, or decision-making.</w:t>
      </w:r>
    </w:p>
    <w:p>
      <w:pPr>
        <w:pStyle w:val="BodyText"/>
      </w:pPr>
      <w:r>
        <w:t xml:space="preserve">By 2023, website ownership has diffused to 49.8% of Vietnamese firms (vs 42.5% in 2009) and increasingly functions as an organisational hygiene factor — a</w:t>
      </w:r>
      <w:r>
        <w:t xml:space="preserve"> </w:t>
      </w:r>
      <w:r>
        <w:rPr>
          <w:iCs/>
          <w:i/>
        </w:rPr>
        <w:t xml:space="preserve">digital saturation</w:t>
      </w:r>
      <w:r>
        <w:t xml:space="preserve"> </w:t>
      </w:r>
      <w:r>
        <w:t xml:space="preserve">condition in which near-universal Tier-1 presence loses discriminating power.</w:t>
      </w:r>
      <w:r>
        <w:t xml:space="preserve"> </w:t>
      </w:r>
      <w:r>
        <w:rPr>
          <w:bCs/>
          <w:b/>
        </w:rPr>
        <w:t xml:space="preserve">DAI_z is therefore not formalised as a primary hypothesis-bearing construct</w:t>
      </w:r>
      <w:r>
        <w:t xml:space="preserve">; it is retained as a baseline digital-presence control. Future tests of digital capability moderation would require Tier 2–4 indicators (electronic-payment intensity, ERP integration, e-commerce platform adoption) not available cross-wave in WBES Vietnam.</w:t>
      </w:r>
    </w:p>
    <w:p>
      <w:pPr>
        <w:pStyle w:val="BodyText"/>
      </w:pPr>
      <w:r>
        <w:t xml:space="preserve">(The hypothesis numbering deliberately skips H3 to preserve alignment with the broader dissertation framework, in which H3 conventionally corresponds to institutional moderation in multi-country papers.)</w:t>
      </w:r>
    </w:p>
    <w:bookmarkEnd w:id="26"/>
    <w:bookmarkStart w:id="30" w:name="X6a12181a456ba9b12b58768213e8737f5c99a6d"/>
    <w:p>
      <w:pPr>
        <w:pStyle w:val="Heading3"/>
      </w:pPr>
      <w:r>
        <w:t xml:space="preserve">2.4 Stage-contingent digital value (exploratory)</w:t>
      </w:r>
    </w:p>
    <w:p>
      <w:pPr>
        <w:pStyle w:val="FirstParagraph"/>
      </w:pPr>
      <w:r>
        <w:t xml:space="preserve">Because the WBES Vietnam instrument cannot identify Tier 2–4 digital capability across waves, this paper does not advance a primary digital-transformation claim. The following frames an</w:t>
      </w:r>
      <w:r>
        <w:t xml:space="preserve"> </w:t>
      </w:r>
      <w:r>
        <w:rPr>
          <w:iCs/>
          <w:i/>
        </w:rPr>
        <w:t xml:space="preserve">exploratory probe</w:t>
      </w:r>
      <w:r>
        <w:t xml:space="preserve"> </w:t>
      </w:r>
      <w:r>
        <w:t xml:space="preserve">of whether the Tier-1 website indicator interacts with export intensity differently across waves.</w:t>
      </w:r>
    </w:p>
    <w:p>
      <w:pPr>
        <w:pStyle w:val="BodyText"/>
      </w:pPr>
      <w:r>
        <w:t xml:space="preserve">Even baseline digital presence may be stage-contingent in scope. In early phases of internationalisation, digital tools create direct gains by lowering search costs and communication friction. In later phases, the benefits become more conditional because firms face complex coordination demands that website-only digital adoption cannot bridge (Banalieva and Dhanaraj, 2019; Petricevic and Teece, 2019). Any negative DAI × FSTS interaction observed in later waves can be read through two mechanisms operating jointly: (i) stage-dependent coordination complexity where Tier-1 capability becomes insufficient at high export intensity, and (ii) construct obsolescence under population diffusion where c22b loses discriminating information content. The 2009/2015/2023 design cannot fully separate these channels within the WBES Tier-1 instrument.</w:t>
      </w:r>
    </w:p>
    <w:p>
      <w:pPr>
        <w:pStyle w:val="BlockText"/>
      </w:pPr>
      <w:r>
        <w:rPr>
          <w:bCs/>
          <w:b/>
        </w:rPr>
        <w:t xml:space="preserve">H4 (exploratory).</w:t>
      </w:r>
      <w:r>
        <w:t xml:space="preserve"> </w:t>
      </w:r>
      <w:r>
        <w:t xml:space="preserve">The productivity relevance of baseline website-presence (DAI_z, Tier 1 only) may vary across phases of internationalisation. Any DAI × FSTS moderation is expected to be wave-specific, with strongest detectability anticipated in the 2023 wave. This probe is reported descriptively; null or sign-shifting results should be read as construct-tier obsolescence rather than as evidence against dynamic digital capability moderation.</w:t>
      </w:r>
    </w:p>
    <w:p>
      <w:pPr>
        <w:pStyle w:val="CaptionedFigure"/>
      </w:pPr>
      <w:r>
        <w:drawing>
          <wp:inline>
            <wp:extent cx="5334000" cy="2930266"/>
            <wp:effectExtent b="0" l="0" r="0" t="0"/>
            <wp:docPr descr="Figure 1: Conceptual model" title="" id="28" name="Picture"/>
            <a:graphic>
              <a:graphicData uri="http://schemas.openxmlformats.org/drawingml/2006/picture">
                <pic:pic>
                  <pic:nvPicPr>
                    <pic:cNvPr descr="figures/vietnam/figure_1_conceptual_model.png" id="29" name="Picture"/>
                    <pic:cNvPicPr>
                      <a:picLocks noChangeArrowheads="1" noChangeAspect="1"/>
                    </pic:cNvPicPr>
                  </pic:nvPicPr>
                  <pic:blipFill>
                    <a:blip r:embed="rId27"/>
                    <a:stretch>
                      <a:fillRect/>
                    </a:stretch>
                  </pic:blipFill>
                  <pic:spPr bwMode="auto">
                    <a:xfrm>
                      <a:off x="0" y="0"/>
                      <a:ext cx="5334000" cy="2930266"/>
                    </a:xfrm>
                    <a:prstGeom prst="rect">
                      <a:avLst/>
                    </a:prstGeom>
                    <a:noFill/>
                    <a:ln w="9525">
                      <a:noFill/>
                      <a:headEnd/>
                      <a:tailEnd/>
                    </a:ln>
                  </pic:spPr>
                </pic:pic>
              </a:graphicData>
            </a:graphic>
          </wp:inline>
        </w:drawing>
      </w:r>
    </w:p>
    <w:p>
      <w:pPr>
        <w:pStyle w:val="ImageCaption"/>
      </w:pPr>
      <w:r>
        <w:t xml:space="preserve">Figure 1: Conceptual model</w:t>
      </w:r>
    </w:p>
    <w:p>
      <w:pPr>
        <w:pStyle w:val="BodyText"/>
      </w:pPr>
      <w:r>
        <w:rPr>
          <w:iCs/>
          <w:i/>
        </w:rPr>
        <w:t xml:space="preserve">Figure 1.</w:t>
      </w:r>
      <w:r>
        <w:t xml:space="preserve"> </w:t>
      </w:r>
      <w:r>
        <w:t xml:space="preserve">Conceptual model. H1 (inverted-U non-linearity) grounded in Uppsala (Johanson &amp; Vahlne, 1977) and coordination-cost theory (Hitt et al., 1997). H2 specifies TCI as level-shifting direct effect (Resource-Based View, Barney 1991). H4 treats DAI as exploratory probe of the Digital Capability Lens (Banalieva &amp; Dhanaraj, 2019), with single-binary Tier-1 measurement constraint acknowledged. ICRV context: Vietnam Group IV (Lower_mid_transition; WGI Rule of Law ≈ −0.09, World Bank 2023). Data: WBES 2009/2015/2023, N = 2,958 (pooled), n_wave = 989/956/1,013.</w:t>
      </w:r>
    </w:p>
    <w:bookmarkEnd w:id="30"/>
    <w:bookmarkEnd w:id="31"/>
    <w:bookmarkStart w:id="36" w:name="data-variables-and-empirical-strategy"/>
    <w:p>
      <w:pPr>
        <w:pStyle w:val="Heading2"/>
      </w:pPr>
      <w:r>
        <w:t xml:space="preserve">3. Data, variables, and empirical strategy</w:t>
      </w:r>
    </w:p>
    <w:bookmarkStart w:id="32" w:name="data-structure"/>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2"/>
    <w:bookmarkStart w:id="33" w:name="variables"/>
    <w:p>
      <w:pPr>
        <w:pStyle w:val="Heading3"/>
      </w:pPr>
      <w:r>
        <w:t xml:space="preserve">3.2 Variables</w:t>
      </w:r>
    </w:p>
    <w:p>
      <w:pPr>
        <w:pStyle w:val="FirstParagraph"/>
      </w:pPr>
      <w:r>
        <w:t xml:space="preserve">Firm performance is measured by log labour productivity lnLP = ln(d2/l1), where d2 is total annual sales (PPP-adjusted using World Bank ICP deflators) and l1 is permanent full-time employees. Internationalisation is FSTS = d3c / 100, mean-centred within wave (FSTSc) and squared (FSTSc²) so linear and quadratic terms can be entered jointly to test for nonlinearity.</w:t>
      </w:r>
    </w:p>
    <w:p>
      <w:pPr>
        <w:pStyle w:val="BodyText"/>
      </w:pPr>
      <w:r>
        <w:t xml:space="preserve">The analysis uses two distinct capability constructs to avoid the common conflation of technological capability with digital adoption. The</w:t>
      </w:r>
      <w:r>
        <w:t xml:space="preserve"> </w:t>
      </w:r>
      <w:r>
        <w:rPr>
          <w:bCs/>
          <w:b/>
        </w:rPr>
        <w:t xml:space="preserve">Technological Capability Index (TCI_z)</w:t>
      </w:r>
      <w:r>
        <w:t xml:space="preserve"> </w:t>
      </w:r>
      <w:r>
        <w:t xml:space="preserve">is the within-wave standardised mean of b8 (internationally recognised quality certification) and e6 (foreign-licensed technology), each recoded from WBES 1/2 to 1/0 binary. It is interpreted narrowly as a foreign-technology and standards capability measure proxying a firm’s exposure to external technological standards rather than the full Cohen–Levinthal absorptive-capacity stock (Lall, 1992; Cohen and Levinthal, 1990). The</w:t>
      </w:r>
      <w:r>
        <w:t xml:space="preserve"> </w:t>
      </w:r>
      <w:r>
        <w:rPr>
          <w:bCs/>
          <w:b/>
        </w:rPr>
        <w:t xml:space="preserve">Digital Adoption Index (DAI_z)</w:t>
      </w:r>
      <w:r>
        <w:t xml:space="preserve"> </w:t>
      </w:r>
      <w:r>
        <w:t xml:space="preserve">is the within-wave standardised website-presence indicator c22b, recoded from 1/2 to 1/0. It is interpreted narrowly as website-based digital presence — foundational website adoption — not as a measure of transaction-level digital integration or digital transformation (Bharadwaj et al., 2013; Verhoef et al., 2021; Nambisan et al., 2019). No item is shared between the two composites: e6 belongs to the capability construct, c22b to the digital construct.</w:t>
      </w:r>
    </w:p>
    <w:p>
      <w:pPr>
        <w:pStyle w:val="BodyText"/>
      </w:pPr>
      <w:r>
        <w:t xml:space="preserve">Two enriched composites are used in §4.5 robustness panels where item availability allows. TCI_full adds h1 (new or significantly improved product) and h8 (R&amp;D expenditure indicator) to the TCI items in 2015 and 2023. DAI_rich, constructed only for 2023, extends c22b with k33 (share of sales received via electronic payment) and k38 (share of supplier payments made via electronic payment), in both continuous (k33/100, k38/100) and binary (k33 &gt; 0, k38 &gt; 0) variants. DAI_rich moves from basic digital presence toward a transaction-enabling digital-adoption construct, but is treated as a measurement-depth robustness check rather than as the primary specification because k33 and k38 are unavailable in 2009 and 2015.</w:t>
      </w:r>
    </w:p>
    <w:p>
      <w:pPr>
        <w:pStyle w:val="BodyText"/>
      </w:pPr>
      <w:r>
        <w:rPr>
          <w:bCs/>
          <w:b/>
        </w:rPr>
        <w:t xml:space="preserve">Tier-1-only DAI as a deliberate cross-wave boundary condition.</w:t>
      </w:r>
      <w:r>
        <w:t xml:space="preserve"> </w:t>
      </w:r>
      <w:r>
        <w:t xml:space="preserve">Restricting DAI_z to the website-presence binary (c22b) across all three waves is a deliberate boundary condition imposed by WBES data availability, not a methodological weakness. The 2009 and 2015 waves offer only c22b (Tier 1); the 2023 wave includes k33, k38 (Tier 2). Retaining a single harmonised Tier-1 indicator across waves is the conservative choice that preserves cross-wave comparability; using a richer composite for 2023 only would introduce a wave-specific construct-shift that could be mistaken for a structural change in the I–P relationship. The negative 2023 interaction (FSTSc × DAI_z = -0.912, p = .043) is best read as construct-tier obsolescence: Tier-1 website presence has become a minimum-threshold credential in Vietnam’s maturing digital environment and no longer differentiates firms’ cross-border coordination capacity at high export intensity. The DAI_rich extension (§4.5 Panel B) probes whether the primary moderation pattern survives under the richer 2023 construct.</w:t>
      </w:r>
    </w:p>
    <w:p>
      <w:pPr>
        <w:pStyle w:val="BodyText"/>
      </w:pPr>
      <w:r>
        <w:t xml:space="preserve">Controls are standard: firm size lnEmp = ln(l1); firm age FirmAge = survey year minus b5; foreign ownership ForeignOwned = 1 if b2b &gt; 0; sector FE use the first digit of a4b (2009/2015) or a4a (2023); pooled specifications add wave FE. WBES non-response codes (−9) are treated as missing before any composite is built; listwise deletion is applied on the focal variable set. Analytic samples are 989 (2009), 956 (2015), 1,013 (2023), pooled N = 2,958.</w:t>
      </w:r>
    </w:p>
    <w:p>
      <w:pPr>
        <w:pStyle w:val="BodyText"/>
      </w:pPr>
      <w:r>
        <w:rPr>
          <w:iCs/>
          <w:i/>
        </w:rPr>
        <w:t xml:space="preserve">Table 1: Variable definitions and WBES construction.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recoded WBES 1/2 to 1/0 (1 = has certification / foreign-licensed technology). c22b recoded similarly. TCI_z and DAI_z are standardised within each wave independently so coefficients are comparable in magnitude across waves. Turning-point formula and rescaling: the mechanical TP on the within-wave-centred FSTSc scale is TP*_c = −β₁ / (2β₂); for the pooled M2 (β₁ = +0.984, β₂ = -1.909) this gives TP*_c = +0.258. Back-translation to the raw FSTS share requires adding the pooled FSTS mean (mean_FSTS ≈ 0.139) so the reported TP on the raw FSTS scale is TP_FSTS = TP*_c + mean_FSTS = 0.258 + 0.139 = 0.397 (i.e., 39.7 %). Wave-specific TPs (Table 5) follow the same back-translation using each wave’s own mean. The Lind–Mehlum (2010) u-test formally confirms inverted-U shape by rejecting monotonicity at p &lt; .05 in all specifications. PPP conversion applied to d2 using World Bank ICP deflators matched to survey year.</w:t>
      </w:r>
    </w:p>
    <w:bookmarkEnd w:id="33"/>
    <w:bookmarkStart w:id="34" w:name="model-sequence"/>
    <w:p>
      <w:pPr>
        <w:pStyle w:val="Heading3"/>
      </w:pPr>
      <w:r>
        <w:t xml:space="preserve">3.3 Model sequence</w:t>
      </w:r>
    </w:p>
    <w:p>
      <w:pPr>
        <w:pStyle w:val="FirstParagraph"/>
      </w:pPr>
      <w:r>
        <w:t xml:space="preserve">The empirical strategy follows a nested OLS sequence with HC1 robust standard errors. M0 establishes the baseline controls; M1 introduces FSTSc; M2 adds the quadratic FSTSc² to test H1; M3 adds TCI moderation (tests H2); M4 adds DAI moderation (exploratory H4); M5 and M6 add TCI and DAI as direct effects only; M7 combines both direct effects without interactions; M8 is the full model (dual-direct + DAI moderation). The sequence separates three analytical questions: is the I–P relationship nonlinear? Are TCI_z and DAI_z directly associated with productivity? Does the role of foundational digital adoption become more conditional as export intensity rises? Results are described as associations rather than effects, consistent with the inferential limits of repeated-cross-section data (Antonakis et al., 2010; Wooldridge, 2010).</w:t>
      </w:r>
    </w:p>
    <w:p>
      <w:pPr>
        <w:pStyle w:val="BodyText"/>
      </w:pPr>
      <w:r>
        <w:t xml:space="preserve">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w:t>
      </w:r>
      <w:r>
        <w:t xml:space="preserve"> </w:t>
      </w:r>
      <w:r>
        <w:rPr>
          <w:bCs/>
          <w:b/>
        </w:rPr>
        <w:t xml:space="preserve">X</w:t>
      </w:r>
      <w:r>
        <w:t xml:space="preserve">_it the vector of controls (lnEmp, FirmAge, ForeignOwned), δ_s sector FE, λ_t wave FE (pooled only). The eight specifications are:</w:t>
      </w:r>
    </w:p>
    <w:p>
      <w:pPr>
        <w:pStyle w:val="BodyText"/>
      </w:pPr>
      <w:r>
        <w:rPr>
          <w:bCs/>
          <w:b/>
        </w:rPr>
        <w:t xml:space="preserve">M0 (baseline):</w:t>
      </w:r>
      <w:r>
        <w:t xml:space="preserve"> </w:t>
      </w:r>
      <w:r>
        <w:t xml:space="preserve">lnLP_it = α + γ·</w:t>
      </w:r>
      <w:r>
        <w:rPr>
          <w:bCs/>
          <w:b/>
        </w:rPr>
        <w:t xml:space="preserve">X</w:t>
      </w:r>
      <w:r>
        <w:t xml:space="preserve">_it + δ_s + [λ_t] + ε_it</w:t>
      </w:r>
      <w:r>
        <w:t xml:space="preserve"> </w:t>
      </w:r>
      <w:r>
        <w:rPr>
          <w:bCs/>
          <w:b/>
        </w:rPr>
        <w:t xml:space="preserve">M1 (linear):</w:t>
      </w:r>
      <w:r>
        <w:t xml:space="preserve"> </w:t>
      </w:r>
      <w:r>
        <w:t xml:space="preserve">… + β₁ FSTSc</w:t>
      </w:r>
      <w:r>
        <w:t xml:space="preserve"> </w:t>
      </w:r>
      <w:r>
        <w:rPr>
          <w:bCs/>
          <w:b/>
        </w:rPr>
        <w:t xml:space="preserve">M2 (quadratic, tests H1):</w:t>
      </w:r>
      <w:r>
        <w:t xml:space="preserve"> </w:t>
      </w:r>
      <w:r>
        <w:t xml:space="preserve">… + β₁ FSTSc + β₂ FSTSc² ; H1 requires β₁ &gt; 0, β₂ &lt; 0; TP* = −β₁/(2β₂), confirmed by Lind–Mehlum (2010) u-test</w:t>
      </w:r>
      <w:r>
        <w:t xml:space="preserve"> </w:t>
      </w:r>
      <w:r>
        <w:rPr>
          <w:bCs/>
          <w:b/>
        </w:rPr>
        <w:t xml:space="preserve">M3 (TCI moderation, tests H2):</w:t>
      </w:r>
      <w:r>
        <w:t xml:space="preserve"> </w:t>
      </w:r>
      <w:r>
        <w:t xml:space="preserve">… + β₃ TCI_z + β₄(FSTSc × TCI_z) + β₅(FSTSc² × TCI_z)</w:t>
      </w:r>
      <w:r>
        <w:t xml:space="preserve"> </w:t>
      </w:r>
      <w:r>
        <w:rPr>
          <w:bCs/>
          <w:b/>
        </w:rPr>
        <w:t xml:space="preserve">M4 (DAI moderation, exploratory H4):</w:t>
      </w:r>
      <w:r>
        <w:t xml:space="preserve"> </w:t>
      </w:r>
      <w:r>
        <w:t xml:space="preserve">… + β₃ DAI_z + β₄(FSTSc × DAI_z) + β₅(FSTSc² × DAI_z)</w:t>
      </w:r>
      <w:r>
        <w:t xml:space="preserve"> </w:t>
      </w:r>
      <w:r>
        <w:rPr>
          <w:bCs/>
          <w:b/>
        </w:rPr>
        <w:t xml:space="preserve">M5 (TCI direct only):</w:t>
      </w:r>
      <w:r>
        <w:t xml:space="preserve"> </w:t>
      </w:r>
      <w:r>
        <w:t xml:space="preserve">quadratic + β₃ TCI_z</w:t>
      </w:r>
      <w:r>
        <w:t xml:space="preserve"> </w:t>
      </w:r>
      <w:r>
        <w:rPr>
          <w:bCs/>
          <w:b/>
        </w:rPr>
        <w:t xml:space="preserve">M6 (DAI direct only):</w:t>
      </w:r>
      <w:r>
        <w:t xml:space="preserve"> </w:t>
      </w:r>
      <w:r>
        <w:t xml:space="preserve">quadratic + β₃ DAI_z</w:t>
      </w:r>
      <w:r>
        <w:t xml:space="preserve"> </w:t>
      </w:r>
      <w:r>
        <w:rPr>
          <w:bCs/>
          <w:b/>
        </w:rPr>
        <w:t xml:space="preserve">M7 (dual-direct, no interactions):</w:t>
      </w:r>
      <w:r>
        <w:t xml:space="preserve"> </w:t>
      </w:r>
      <w:r>
        <w:t xml:space="preserve">quadratic + β₃ TCI_z + β₄ DAI_z</w:t>
      </w:r>
      <w:r>
        <w:t xml:space="preserve"> </w:t>
      </w:r>
      <w:r>
        <w:rPr>
          <w:bCs/>
          <w:b/>
        </w:rPr>
        <w:t xml:space="preserve">M8 (full):</w:t>
      </w:r>
      <w:r>
        <w:t xml:space="preserve"> </w:t>
      </w:r>
      <w:r>
        <w:t xml:space="preserve">quadratic + β₃ TCI_z + β₄ DAI_z + β₅(FSTSc × DAI_z) + β₆(FSTSc² × DAI_z)</w:t>
      </w:r>
    </w:p>
    <w:p>
      <w:pPr>
        <w:pStyle w:val="BodyText"/>
      </w:pPr>
      <w:r>
        <w:t xml:space="preserve">The M0–M8 sequence is estimated wave-by-wave (2009, 2015, 2023) and on the pooled three-wave file, yielding four sets of estimates.</w:t>
      </w:r>
    </w:p>
    <w:bookmarkEnd w:id="34"/>
    <w:bookmarkStart w:id="35" w:name="X2e37460da3e24e59a5500f4d584d0a8bb2b3252"/>
    <w:p>
      <w:pPr>
        <w:pStyle w:val="Heading3"/>
      </w:pPr>
      <w:r>
        <w:t xml:space="preserve">3.4 Identification, endogeneity, and reproducibility</w:t>
      </w:r>
    </w:p>
    <w:p>
      <w:pPr>
        <w:pStyle w:val="FirstParagraph"/>
      </w:pPr>
      <w:r>
        <w:t xml:space="preserve">Three design features address the central identification concern that exporters self-select on characteristics also predicting productivity (Wagner, 2007; Wooldridge, 2010). First, a Heckman two-step correction with a probit selection equation (industry × region × wave FE) includes the implied inverse Mills ratio as an additional regressor; a statistically insignificant IMR indicates the OLS estimate is not materially contaminated by unobserved positive selection (Certo et al., 2016; Heckman, 1979). Results appear as §4.5 Panel E. Second, leave-one-out sector × region × wave peer-adoption rates instrument DAI and TCI; the instrument captures sector-region peer adoption that is plausibly correlated with focal-firm adoption but unlikely to affect productivity except through the adoption channel, satisfying approximate exclusion conditional on sector-wave cells (first-stage F = 22–35, well above the Staiger–Stock (1997) threshold of 10). Third, Oster (2019) δ-stability bounds (R²_max = 1.3 × R²_controlled) are computed for each focal coefficient; no coefficient changes sign or collapses to zero under plausible unobserved selection. The repeated-cross-section structure (three non-overlapping firm samples) precludes within-firm fixed-effects estimation; identification relies on these three complementary approaches rather than panel differencing. All inferences are described as associations with the selection-robustness caveats noted above (Antonakis et al., 2010; Shaver, 2020).</w:t>
      </w:r>
    </w:p>
    <w:p>
      <w:pPr>
        <w:pStyle w:val="BodyText"/>
      </w:pPr>
      <w:r>
        <w:t xml:space="preserve">The full pipeline is implemented as a 10-step Stata blueprint distributed with the manuscript. Build steps 01–04 clean each WBES wave and append a pooled file with within-wave centring and z-standardisation reapplied; estimation steps 05–09 cover the M0–M8 sequence, Lind–Mehlum turning-point checks, Heckman probes, Paternoster cross-wave z-tests, and the §4.5 robustness panels; export step 10 writes the manuscript-facing tables and Figure 2 directly from stored estimates. Rerunning from a fresh clone reproduces every reported coefficient; the manuscript prose is the object that adjusts when the rerun drifts (Aguinis et al., 2021; Shaver, 2020).</w:t>
      </w:r>
    </w:p>
    <w:bookmarkEnd w:id="35"/>
    <w:bookmarkEnd w:id="36"/>
    <w:bookmarkStart w:id="57" w:name="results"/>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37" w:name="wave-specific-findings"/>
    <w:p>
      <w:pPr>
        <w:pStyle w:val="Heading3"/>
      </w:pPr>
      <w:r>
        <w:t xml:space="preserve">4.1 Wave-specific findings</w:t>
      </w:r>
    </w:p>
    <w:p>
      <w:pPr>
        <w:pStyle w:val="FirstParagraph"/>
      </w:pPr>
      <w:r>
        <w:t xml:space="preserve">The</w:t>
      </w:r>
      <w:r>
        <w:t xml:space="preserve"> </w:t>
      </w:r>
      <w:r>
        <w:rPr>
          <w:bCs/>
          <w:b/>
        </w:rPr>
        <w:t xml:space="preserve">2009 wave</w:t>
      </w:r>
      <w:r>
        <w:t xml:space="preserve"> </w:t>
      </w:r>
      <w:r>
        <w:t xml:space="preserve">displays a clearly nonlinear I–P relationship together with strong direct capability and digital-adoption effects. M2 yields FSTSc β = +1.045 (p = .015) and FSTSc² β = -1.774 (p = .009); Lind–Mehlum p = .006. In M7 both TCI_z (β = +0.215, p &lt; .001) and DAI_z (β = +0.175, p &lt; .001) are positive. TCI moderation is statistically distinguishable from zero (M3 joint p = .040; FSTSc × TCI_z = -0.579, p = .087), but DAI moderation is not (M4 joint p = .825; M8 joint p = .700). Both capability dimensions in 2009 operate primarily as direct level-shifters; the marginal coordination cost bending the I–P curve is associated with technological capability rather than basic digital presence.</w:t>
      </w:r>
    </w:p>
    <w:p>
      <w:pPr>
        <w:pStyle w:val="BodyText"/>
      </w:pPr>
      <w:r>
        <w:t xml:space="preserve">Table 2: Analytic-sample summary statistics by wave.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z-standardised formative composites. FSTS = foreign sales-to-total-sales ratio. ISIC sector fixed effects use a4b 1-digit (2009, 2015) or a4a 1-digit (2023); pooled adds wave fixed effects. Listwise deletion on focal variable set with WBES non-response codes (−9) treated as missing. Source: WBES Vietnam 2009, 2015, 2023, www.enterprisesurveys.org; authors’ calculations.</w:t>
      </w:r>
    </w:p>
    <w:p>
      <w:pPr>
        <w:pStyle w:val="BodyText"/>
      </w:pPr>
      <w:r>
        <w:t xml:space="preserve">The</w:t>
      </w:r>
      <w:r>
        <w:t xml:space="preserve"> </w:t>
      </w:r>
      <w:r>
        <w:rPr>
          <w:bCs/>
          <w:b/>
        </w:rPr>
        <w:t xml:space="preserve">2015 wave</w:t>
      </w:r>
      <w:r>
        <w:t xml:space="preserve"> </w:t>
      </w:r>
      <w:r>
        <w:t xml:space="preserve">shows the curvature cleanly but the weakest digital channel: M2 FSTSc β = +1.159 (p = .029), FSTSc² β = -2.115 (p = .004), Lind–Mehlum p = .009. TCI_z retains a positive direct association at ≈ 60 % of the 2009 magnitude (β = +0.128, p = .010), DAI_z loses direct salience entirely (β = -0.044, p = .377). TCI moderation is null (M3 joint p = .713) and DAI moderation at best marginal (M4 joint p = .125; M8 joint p = .093). 2015 reads as a phase in which the I–P curvature is unusually sharp while the digital channel compresses entirely, consistent with the productivity J-curve account in which firms invest in basic digital tools before complementary organisational adjustments produce measurable productivity gains (Brynjolfsson et al., 2021).</w:t>
      </w:r>
    </w:p>
    <w:p>
      <w:pPr>
        <w:pStyle w:val="BodyText"/>
      </w:pPr>
      <w:r>
        <w:t xml:space="preserve">The</w:t>
      </w:r>
      <w:r>
        <w:t xml:space="preserve"> </w:t>
      </w:r>
      <w:r>
        <w:rPr>
          <w:bCs/>
          <w:b/>
        </w:rPr>
        <w:t xml:space="preserve">2023 wave</w:t>
      </w:r>
      <w:r>
        <w:t xml:space="preserve"> </w:t>
      </w:r>
      <w:r>
        <w:t xml:space="preserve">is where the digital-moderation signal emerges most sharply. M2 again indicates a clear inverted-U (FSTSc β = +0.962, p = .039; FSTSc² β = -1.686, p = .008; Lind–Mehlum p = .013). In M7 both capability dimensions are positive (TCI_z β = +0.123, p = .006; DAI_z β = +0.095, p = .038). M8 yields a negative and individually significant linear interaction (FSTSc × DAI_z = -0.912, p = .043), with FSTSc² × DAI_z = +1.043, p = .099; joint test above the .05 threshold (M4 joint p = .102; M8 joint p = .062). The substantive reading: by 2023 basic digital adoption becomes more conditional on export intensity — as exporters move beyond moderate FSTS levels the productivity contribution of website presence attenuates and may amplify rather than relieve coordination burdens. The 2SLS null for instrumented DAI (β = +0.018, p = .942; §4.5 Panel K) supports a complementary proxy-obsolescence reading: by 2023 c22b has become a minimum-threshold credential rather than a capability differentiator (Tier-1 diffusion 42.5 % → 49.8 %). The DAI_rich composite (Tier 1+2, 2023 only; §4.5 Panel B) provides a within-wave sensitivity check; future cross-wave Tier-2 indicators would strengthen this test.</w:t>
      </w:r>
    </w:p>
    <w:p>
      <w:pPr>
        <w:pStyle w:val="BodyText"/>
      </w:pPr>
      <w:r>
        <w:t xml:space="preserve">Across all three waves, foreign-technology / standards capability is positive (TCI_z = +0.215 → +0.128 → +0.123); website-based digital presence follows a non-monotonic trajectory (strong 2009, null 2015, re-emerging 2023) with its moderation channel materialising only in 2023. Cross-wave statistical interpretation is consolidated in §4.3 and §4.5 (Paternoster Panel F, wave × focal Panel I); the institutional reading of the three phases is developed in §5.3.</w:t>
      </w:r>
    </w:p>
    <w:bookmarkEnd w:id="37"/>
    <w:bookmarkStart w:id="50" w:name="pooled-findings"/>
    <w:p>
      <w:pPr>
        <w:pStyle w:val="Heading3"/>
      </w:pPr>
      <w:r>
        <w:t xml:space="preserve">4.2 Pooled findings</w:t>
      </w:r>
    </w:p>
    <w:p>
      <w:pPr>
        <w:pStyle w:val="FirstParagraph"/>
      </w:pPr>
      <w:r>
        <w:t xml:space="preserve">The pooled estimates confirm a nonlinear I–P relationship on average. In pooled M2, FSTSc β = +0.984 (p &lt; .001) and FSTSc² β = -1.909 (p &lt; .001); Lind–Mehlum p &lt; .001 with TP = 39.7 %. All four Haans, Pieters and He (2016) conditions for a genuine inverted-U are met (positive ascending limb, concavity, TP inside the FSTS range, opposite-sign slopes at the boundaries: +1.52 at FSTS = 0, -2.30 at FSTS = 100 %). The curvature persists in the full M8 (FSTSc β = +0.845, p = .006; FSTSc² β = -1.650, p &lt; .001), consistent with H1 and the meta-analytic evidence on the nonlinear shape of internationalisation returns in emerging-market firms (Marano et al., 2016).</w:t>
      </w:r>
    </w:p>
    <w:p>
      <w:pPr>
        <w:pStyle w:val="BodyText"/>
      </w:pPr>
      <w:r>
        <w:t xml:space="preserve">Both capability dimensions are positively associated with productivity on average: pooled M7 yields TCI_z β = +0.179 (p &lt; .001) and DAI_z β = +0.078 (p = .004). In M8, TCI_z is essentially unchanged (β = +0.184, p &lt; .001) while the DAI_z direct coefficient becomes indistinguishable from zero (β = +0.032, p = .537) once the interaction terms enter — consistent with the §4.1 reading that DAI_z combines a positive level effect with a negative interaction with FSTSc at higher export intensities. The pooled DAI interaction joint test reaches M8 joint p = .083 (FSTSc × DAI_z = -0.448, p = .116; FSTSc² × DAI_z = +0.460, p = .276); this is driven by the 2023 wave (2009 M4 p = .825; 2015 p = .125; 2023 M8 joint p = .062). Technological-capability moderation is more uniformly distributed: M3 joint distinguishable in three of four panels (2009 p = .040; 2023 p = .027; pooled p = .004) and null only in 2015 (p = .713); pooled FSTSc × TCI_z = -0.587 (p = .004) and FSTSc² × TCI_z = +0.640 (p = .031), indicating the inverted-U flattens for high-capability firms rather than shifting in level (Cohen and Levinthal, 1990; Lall, 1992).</w:t>
      </w:r>
    </w:p>
    <w:p>
      <w:pPr>
        <w:pStyle w:val="CaptionedFigure"/>
      </w:pPr>
      <w:r>
        <w:drawing>
          <wp:inline>
            <wp:extent cx="5334000" cy="3555999"/>
            <wp:effectExtent b="0" l="0" r="0" t="0"/>
            <wp:docPr descr="Figure 2a: Wave 2009, predicted ln(labour productivity) vs FSTS" title="" id="39" name="Picture"/>
            <a:graphic>
              <a:graphicData uri="http://schemas.openxmlformats.org/drawingml/2006/picture">
                <pic:pic>
                  <pic:nvPicPr>
                    <pic:cNvPr descr="figures/vietnam/figure_2a.png" id="40" name="Picture"/>
                    <pic:cNvPicPr>
                      <a:picLocks noChangeArrowheads="1" noChangeAspect="1"/>
                    </pic:cNvPicPr>
                  </pic:nvPicPr>
                  <pic:blipFill>
                    <a:blip r:embed="rId3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2a: Wave 2009,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CaptionedFigure"/>
      </w:pPr>
      <w:r>
        <w:drawing>
          <wp:inline>
            <wp:extent cx="5334000" cy="3555999"/>
            <wp:effectExtent b="0" l="0" r="0" t="0"/>
            <wp:docPr descr="Figure 2b: Wave 2015, predicted ln(labour productivity) vs FSTS" title="" id="42" name="Picture"/>
            <a:graphic>
              <a:graphicData uri="http://schemas.openxmlformats.org/drawingml/2006/picture">
                <pic:pic>
                  <pic:nvPicPr>
                    <pic:cNvPr descr="figures/vietnam/figure_2b.png" id="43" name="Picture"/>
                    <pic:cNvPicPr>
                      <a:picLocks noChangeArrowheads="1" noChangeAspect="1"/>
                    </pic:cNvPicPr>
                  </pic:nvPicPr>
                  <pic:blipFill>
                    <a:blip r:embed="rId41"/>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2b: Wave 2015,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CaptionedFigure"/>
      </w:pPr>
      <w:r>
        <w:drawing>
          <wp:inline>
            <wp:extent cx="5334000" cy="3555999"/>
            <wp:effectExtent b="0" l="0" r="0" t="0"/>
            <wp:docPr descr="Figure 2c: Wave 2023, predicted ln(labour productivity) vs FSTS" title="" id="45" name="Picture"/>
            <a:graphic>
              <a:graphicData uri="http://schemas.openxmlformats.org/drawingml/2006/picture">
                <pic:pic>
                  <pic:nvPicPr>
                    <pic:cNvPr descr="figures/vietnam/figure_2c.png" id="46" name="Picture"/>
                    <pic:cNvPicPr>
                      <a:picLocks noChangeArrowheads="1" noChangeAspect="1"/>
                    </pic:cNvPicPr>
                  </pic:nvPicPr>
                  <pic:blipFill>
                    <a:blip r:embed="rId44"/>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2c: Wave 2023,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CaptionedFigure"/>
      </w:pPr>
      <w:r>
        <w:drawing>
          <wp:inline>
            <wp:extent cx="5334000" cy="3555999"/>
            <wp:effectExtent b="0" l="0" r="0" t="0"/>
            <wp:docPr descr="Figure 2d: Pooled, predicted ln(labour productivity) vs FSTS" title="" id="48" name="Picture"/>
            <a:graphic>
              <a:graphicData uri="http://schemas.openxmlformats.org/drawingml/2006/picture">
                <pic:pic>
                  <pic:nvPicPr>
                    <pic:cNvPr descr="figures/vietnam/figure_2d.png" id="49" name="Picture"/>
                    <pic:cNvPicPr>
                      <a:picLocks noChangeArrowheads="1" noChangeAspect="1"/>
                    </pic:cNvPicPr>
                  </pic:nvPicPr>
                  <pic:blipFill>
                    <a:blip r:embed="rId47"/>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Figure 2d: Pooled,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0"/>
    <w:bookmarkStart w:id="54" w:name="interpretation-of-the-hypothesis-tests"/>
    <w:p>
      <w:pPr>
        <w:pStyle w:val="Heading3"/>
      </w:pPr>
      <w:r>
        <w:t xml:space="preserve">4.3 Interpretation of the hypothesis tests</w:t>
      </w:r>
    </w:p>
    <w:p>
      <w:pPr>
        <w:pStyle w:val="FirstParagraph"/>
      </w:pPr>
      <w:r>
        <w:t xml:space="preserve">H1 receives qualified support. The Lind–Mehlum test rejects monotonicity in all three waves (p = .006, .009, .013) and pooled (p &lt; .001); implied turning points cluster tightly between 39.3 % (2015) and 46.2 % (2009), with the pooled estimate at 39.7 %. As shown in §4.4 and §4.5 Panel H, exporter-only models attenuate this curvature substantially once the participation margin is netted out; the full-sample inverted-U reflects a combined participation-and-intensity structure rather than a pure within-exporter curvature claim. The §1.2 step-function framing is the substantive reading.</w:t>
      </w:r>
    </w:p>
    <w:p>
      <w:pPr>
        <w:pStyle w:val="BodyText"/>
      </w:pPr>
      <w:r>
        <w:t xml:space="preserve">The cross-wave stability of the threshold (range 39.3–46.2 % across 14 years of major institutional change) is consistent with institutional transaction costs binding through firm-level constraints that evolve more slowly than the wider operating environment; the substantive interpretation is developed in §5.3 + §6 (Wu, Fan and Chen, 2022; Marano et al., 2016).</w:t>
      </w:r>
    </w:p>
    <w:p>
      <w:pPr>
        <w:pStyle w:val="BodyText"/>
      </w:pPr>
      <w:r>
        <w:t xml:space="preserve">H2 is supported. The positive TCI_z direct coefficient (pooled β = +0.179, p &lt; .001) is statistically significant in all three wave-specific periods (2009 p &lt; .001; 2015 p = .010; 2023 p = .006), and TCI moderation is statistically distinguishable in three of four panels (M3 joint p = .040, .713, .027, .003). The baseline DAI_z control reports a positive pooled level association (β = +0.078, p = .004) with substantial wave-to-wave variability — strong in 2009 (β = +0.175, p &lt; .001), null in 2015 (β = -0.044, p = .377), and re-emerging in 2023 (β = +0.095, p = .038). Because DAI_z indexes only Tier-1 website presence and is not formalised as a primary hypothesis, this wave variation is reported descriptively. The Paternoster cross-wave z-tests (§4.5 Panel F) indicate that the 2009-to-2015 fall (z = 3.353, p &lt; .001) and the 2015-to-2023 recovery (z = -2.051, p = .040) are both statistically distinguishable shifts in the descriptive Tier-1 series.</w:t>
      </w:r>
    </w:p>
    <w:p>
      <w:pPr>
        <w:pStyle w:val="BodyText"/>
      </w:pPr>
      <w:r>
        <w:t xml:space="preserve">H4 receives limited exploratory support. The DAI joint moderation test is null in 2009 (M4 p = .825) and 2015 (M4 p = .125), and reaches the edge of significance in 2023 with the individual interaction FSTSc × DAI_z = -0.912 (p = .043) and the joint at M4 p = .102, M8 p = .062. The pooled M8 joint (p = .083) is driven by 2023 rather than by a stable cross-period moderation; the formal pooled wave × focal interaction test (§4.5 Panel I) does not detect cross-wave differences in the FSTS × DAI moderation terms. The evidence reads as suggestive of wave-specific conditionality rather than confirmation of a stable cross-wave moderation pattern: 2023 is the only wave in which the digital moderation is within-sample detectable. The 2023 DAI evidence fits Haans, Pieters and He’s (2016) Type I moderation — the significant linear interaction (FSTSc × DAI_z = -0.912, p = .043) attenuates the positive ascending slope and pulls the turning point inward; FSTSc² × DAI_z is not significant, confirming that the inverted-U shape is preserved rather than flipped.</w:t>
      </w:r>
    </w:p>
    <w:p>
      <w:pPr>
        <w:pStyle w:val="CaptionedFigure"/>
      </w:pPr>
      <w:r>
        <w:drawing>
          <wp:inline>
            <wp:extent cx="5334000" cy="2226365"/>
            <wp:effectExtent b="0" l="0" r="0" t="0"/>
            <wp:docPr descr="Figure 3: Moderator marginal effects, TCI and DAI interactions with FSTS (Vietnam)" title="" id="52" name="Picture"/>
            <a:graphic>
              <a:graphicData uri="http://schemas.openxmlformats.org/drawingml/2006/picture">
                <pic:pic>
                  <pic:nvPicPr>
                    <pic:cNvPr descr="figures/vietnam/figure_3_moderator_marginals.png" id="53" name="Picture"/>
                    <pic:cNvPicPr>
                      <a:picLocks noChangeArrowheads="1" noChangeAspect="1"/>
                    </pic:cNvPicPr>
                  </pic:nvPicPr>
                  <pic:blipFill>
                    <a:blip r:embed="rId51"/>
                    <a:stretch>
                      <a:fillRect/>
                    </a:stretch>
                  </pic:blipFill>
                  <pic:spPr bwMode="auto">
                    <a:xfrm>
                      <a:off x="0" y="0"/>
                      <a:ext cx="5334000" cy="2226365"/>
                    </a:xfrm>
                    <a:prstGeom prst="rect">
                      <a:avLst/>
                    </a:prstGeom>
                    <a:noFill/>
                    <a:ln w="9525">
                      <a:noFill/>
                      <a:headEnd/>
                      <a:tailEnd/>
                    </a:ln>
                  </pic:spPr>
                </pic:pic>
              </a:graphicData>
            </a:graphic>
          </wp:inline>
        </w:drawing>
      </w:r>
    </w:p>
    <w:p>
      <w:pPr>
        <w:pStyle w:val="ImageCaption"/>
      </w:pPr>
      <w:r>
        <w:t xml:space="preserve">Figure 3: Moderator marginal effects,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54"/>
    <w:bookmarkStart w:id="55" w:name="X23d394b5fab5dc8f1b4dd565bcba255732d0503"/>
    <w:p>
      <w:pPr>
        <w:pStyle w:val="Heading3"/>
      </w:pPr>
      <w:r>
        <w:t xml:space="preserve">4.4 Main empirical pattern: participation × intensity</w:t>
      </w:r>
    </w:p>
    <w:p>
      <w:pPr>
        <w:pStyle w:val="FirstParagraph"/>
      </w:pPr>
      <w:r>
        <w:t xml:space="preserve">The full-sample inverted-U is identified primarily through the participation margin: only ~1.0 % of pooled firms sit within ±5 pp of the wave-specific turning points (see §4.5 density check), and the bulk of mass lies at FSTS = 0. Re-fitting M2/M7/M8 on the exporter-only sub-sample (FSTS &gt; 0; pooled N = 669, §4.5 Panel H) yields a negative linear FSTSc (β = -0.861, p &lt; .001) but a non-significant quadratic (FSTSc² β = -0.200, p = .660; M8 joint p = .462). H1a (participation margin) is the dominant productivity-relevant margin; the within-exporter intensity curvature claimed by H1b weakens once participation is netted out. Table 2 reads as a description of the combined participation × intensity pattern rather than as a structural statement about within-exporter intensity curvature; Table 3 summarises the directional interpretation of focal coefficients by wave and for the pooled sample.</w:t>
      </w:r>
    </w:p>
    <w:bookmarkEnd w:id="55"/>
    <w:bookmarkStart w:id="56" w:name="robustness"/>
    <w:p>
      <w:pPr>
        <w:pStyle w:val="Heading3"/>
      </w:pPr>
      <w:r>
        <w:t xml:space="preserve">4.5 Robustness</w:t>
      </w:r>
    </w:p>
    <w:p>
      <w:pPr>
        <w:pStyle w:val="FirstParagraph"/>
      </w:pPr>
      <w:r>
        <w:t xml:space="preserve">Four families of robustness checks probe whether central inferences are sensitive to selection and endogeneity, measurement choices, sample composition, or functional form. All specifications retain the OLS HC1 design of the main models. Table 4 collates each panel as a focal-coefficient-plus-joint-test summary; per-panel row-level estimates and the full Paternoster Δβ table are in the Online Appendix.</w:t>
      </w:r>
    </w:p>
    <w:p>
      <w:pPr>
        <w:pStyle w:val="BodyText"/>
      </w:pPr>
      <w:r>
        <w:t xml:space="preserve">The headline robustness results are summarised by family.</w:t>
      </w:r>
      <w:r>
        <w:t xml:space="preserve"> </w:t>
      </w:r>
      <w:r>
        <w:rPr>
          <w:bCs/>
          <w:b/>
        </w:rPr>
        <w:t xml:space="preserve">Endogeneity and selection</w:t>
      </w:r>
      <w:r>
        <w:t xml:space="preserve"> </w:t>
      </w:r>
      <w:r>
        <w:t xml:space="preserve">(Panels E, J, K): Heckman two-stage produces null inverse-Mills ratios across all waves, PSM corroborates the TCI and DAI level associations, and 2SLS yields TCI_z = +1.639 (p &lt; .001) but a null DAI_z = +0.018 (p = .942) — the 2SLS DAI null is the key result, reinforcing the Tier-1 obsolescence reading of the negative DAI × FSTS interaction. Oster (2019) δ-stability bounds preserve all focal signs.</w:t>
      </w:r>
      <w:r>
        <w:t xml:space="preserve"> </w:t>
      </w:r>
      <w:r>
        <w:rPr>
          <w:bCs/>
          <w:b/>
        </w:rPr>
        <w:t xml:space="preserve">Measurement sensitivity</w:t>
      </w:r>
      <w:r>
        <w:t xml:space="preserve"> </w:t>
      </w:r>
      <w:r>
        <w:t xml:space="preserve">(Panels A, B, D, F): broader TCI_full and richer DAI_rich composites preserve directional findings (TCI_full 2023 β = +0.096, p = .024; DAI_rich M8 joint p = .099); micro-firm exclusion preserves the inverted-U; Paternoster cross-wave z-tests show the DAI direct shift is cross-wave-distinguishable while curvature parameters share a common pooled magnitude.</w:t>
      </w:r>
      <w:r>
        <w:t xml:space="preserve"> </w:t>
      </w:r>
      <w:r>
        <w:rPr>
          <w:bCs/>
          <w:b/>
        </w:rPr>
        <w:t xml:space="preserve">Sample composition</w:t>
      </w:r>
      <w:r>
        <w:t xml:space="preserve"> </w:t>
      </w:r>
      <w:r>
        <w:t xml:space="preserve">(Panels G, H, I): manufacturing vs non-manufacturing splits locate the DAI moderation primarily in manufacturing (M8 joint p = .103; FSTSc × DAI_z = -0.543, p = .079) while TCI moderation operates broadly (M3 joint p = .011 and .007); exporter-only models (N = 669 pooled) attenuate the within-exporter quadratic (FSTSc² = -0.200, p = .660; M8 joint p = .462), confirming that the inverted-U is identified primarily by the participation margin (cf. §4.4); the formal wave × focal interaction test detects only DAI_z × wave as cross-wave-separable (joint p = .016; FSTSc, FSTSc², TCI_z all p &gt; .25).</w:t>
      </w:r>
      <w:r>
        <w:t xml:space="preserve"> </w:t>
      </w:r>
      <w:r>
        <w:rPr>
          <w:bCs/>
          <w:b/>
        </w:rPr>
        <w:t xml:space="preserve">Functional form and density</w:t>
      </w:r>
      <w:r>
        <w:t xml:space="preserve">: the cubic FSTSc³ extension is null (β = -1.763, p = .287), AIC/BIC favour the quadratic; ±5 pp density-around-TP is 1.0 % of pooled firms (bulk of mass at FSTS = 0), confirming participation-margin identification of curvature.</w:t>
      </w:r>
    </w:p>
    <w:p>
      <w:pPr>
        <w:pStyle w:val="BodyText"/>
      </w:pPr>
      <w:r>
        <w:t xml:space="preserve">We do not apply a formal multiple-testing correction because the panels probe different identification concerns rather than testing the same hypothesis repeatedly. The substantive §5 inferences rely on the pattern across panels and the directional consistency of focal estimates rather than on the significance of any single panel.</w:t>
      </w:r>
    </w:p>
    <w:p>
      <w:pPr>
        <w:pStyle w:val="BodyText"/>
      </w:pPr>
      <w:r>
        <w:t xml:space="preserve">Table 4: Robustness panels — headline focal coefficients and joint tests.</w:t>
      </w:r>
    </w:p>
    <w:tbl>
      <w:tblPr>
        <w:tblStyle w:val="Table"/>
        <w:tblW w:type="pct" w:w="5000"/>
        <w:tblLook w:firstRow="1" w:lastRow="0" w:firstColumn="0" w:lastColumn="0" w:noHBand="0" w:noVBand="0" w:val="0020"/>
        <w:jc w:val="start"/>
      </w:tblPr>
      <w:tblGrid>
        <w:gridCol w:w="1485"/>
        <w:gridCol w:w="1485"/>
        <w:gridCol w:w="1980"/>
        <w:gridCol w:w="1485"/>
        <w:gridCol w:w="1485"/>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right"/>
            </w:pPr>
            <w:r>
              <w:t xml:space="preserve">N</w:t>
            </w:r>
          </w:p>
        </w:tc>
        <w:tc>
          <w:tcPr/>
          <w:p>
            <w:pPr>
              <w:pStyle w:val="Compact"/>
              <w:jc w:val="left"/>
            </w:pPr>
            <w:r>
              <w:t xml:space="preserve">Focal coefficient</w:t>
            </w:r>
          </w:p>
        </w:tc>
        <w:tc>
          <w:tcPr/>
          <w:p>
            <w:pPr>
              <w:pStyle w:val="Compact"/>
              <w:jc w:val="left"/>
            </w:pPr>
            <w:r>
              <w:t xml:space="preserve">Joint test</w:t>
            </w:r>
          </w:p>
        </w:tc>
      </w:tr>
      <w:tr>
        <w:tc>
          <w:tcPr/>
          <w:p>
            <w:pPr>
              <w:pStyle w:val="Compact"/>
              <w:jc w:val="left"/>
            </w:pPr>
            <w:r>
              <w:t xml:space="preserve">A. TCI_full direct (2023)</w:t>
            </w:r>
          </w:p>
        </w:tc>
        <w:tc>
          <w:tcPr/>
          <w:p>
            <w:pPr>
              <w:pStyle w:val="Compact"/>
              <w:jc w:val="left"/>
            </w:pPr>
            <w:r>
              <w:t xml:space="preserve">2023</w:t>
            </w:r>
          </w:p>
        </w:tc>
        <w:tc>
          <w:tcPr/>
          <w:p>
            <w:pPr>
              <w:pStyle w:val="Compact"/>
              <w:jc w:val="right"/>
            </w:pPr>
            <w:r>
              <w:t xml:space="preserve">1,013</w:t>
            </w:r>
          </w:p>
        </w:tc>
        <w:tc>
          <w:tcPr/>
          <w:p>
            <w:pPr>
              <w:pStyle w:val="Compact"/>
              <w:jc w:val="left"/>
            </w:pPr>
            <w:r>
              <w:t xml:space="preserve">TCI_full_z = +0.096 (p = .024); DAI_z = +0.097 (p = .037)</w:t>
            </w:r>
          </w:p>
        </w:tc>
        <w:tc>
          <w:tcPr/>
          <w:p>
            <w:pPr>
              <w:pStyle w:val="Compact"/>
              <w:jc w:val="left"/>
            </w:pPr>
            <w:r>
              <w:t xml:space="preserve">M3 joint p = .152</w:t>
            </w:r>
          </w:p>
        </w:tc>
      </w:tr>
      <w:tr>
        <w:tc>
          <w:tcPr/>
          <w:p>
            <w:pPr>
              <w:pStyle w:val="Compact"/>
              <w:jc w:val="left"/>
            </w:pPr>
            <w:r>
              <w:t xml:space="preserve">B. DAI_rich continuous (2023)</w:t>
            </w:r>
          </w:p>
        </w:tc>
        <w:tc>
          <w:tcPr/>
          <w:p>
            <w:pPr>
              <w:pStyle w:val="Compact"/>
              <w:jc w:val="left"/>
            </w:pPr>
            <w:r>
              <w:t xml:space="preserve">2023</w:t>
            </w:r>
          </w:p>
        </w:tc>
        <w:tc>
          <w:tcPr/>
          <w:p>
            <w:pPr>
              <w:pStyle w:val="Compact"/>
              <w:jc w:val="right"/>
            </w:pPr>
            <w:r>
              <w:t xml:space="preserve">1,013</w:t>
            </w:r>
          </w:p>
        </w:tc>
        <w:tc>
          <w:tcPr/>
          <w:p>
            <w:pPr>
              <w:pStyle w:val="Compact"/>
              <w:jc w:val="left"/>
            </w:pPr>
            <w:r>
              <w:t xml:space="preserve">FSTSc × DAI_rich_cont = -0.933† (p = .076)</w:t>
            </w:r>
          </w:p>
        </w:tc>
        <w:tc>
          <w:tcPr/>
          <w:p>
            <w:pPr>
              <w:pStyle w:val="Compact"/>
              <w:jc w:val="left"/>
            </w:pPr>
            <w:r>
              <w:t xml:space="preserve">M8 joint p = .099†</w:t>
            </w:r>
          </w:p>
        </w:tc>
      </w:tr>
      <w:tr>
        <w:tc>
          <w:tcPr/>
          <w:p>
            <w:pPr>
              <w:pStyle w:val="Compact"/>
              <w:jc w:val="left"/>
            </w:pPr>
            <w:r>
              <w:t xml:space="preserve">D. Micro-firm exclusion (l1 ≥ 10)</w:t>
            </w:r>
          </w:p>
        </w:tc>
        <w:tc>
          <w:tcPr/>
          <w:p>
            <w:pPr>
              <w:pStyle w:val="Compact"/>
              <w:jc w:val="left"/>
            </w:pPr>
            <w:r>
              <w:t xml:space="preserve">Pooled</w:t>
            </w:r>
          </w:p>
        </w:tc>
        <w:tc>
          <w:tcPr/>
          <w:p>
            <w:pPr>
              <w:pStyle w:val="Compact"/>
              <w:jc w:val="right"/>
            </w:pPr>
            <w:r>
              <w:t xml:space="preserve">2,473</w:t>
            </w:r>
          </w:p>
        </w:tc>
        <w:tc>
          <w:tcPr/>
          <w:p>
            <w:pPr>
              <w:pStyle w:val="Compact"/>
              <w:jc w:val="left"/>
            </w:pPr>
            <w:r>
              <w:t xml:space="preserve">TCI_z = +0.188***; DAI_z = +0.054</w:t>
            </w:r>
          </w:p>
        </w:tc>
        <w:tc>
          <w:tcPr/>
          <w:p>
            <w:pPr>
              <w:pStyle w:val="Compact"/>
              <w:jc w:val="left"/>
            </w:pPr>
            <w:r>
              <w:t xml:space="preserve">M8 joint p = .167</w:t>
            </w:r>
          </w:p>
        </w:tc>
      </w:tr>
      <w:tr>
        <w:tc>
          <w:tcPr/>
          <w:p>
            <w:pPr>
              <w:pStyle w:val="Compact"/>
              <w:jc w:val="left"/>
            </w:pPr>
            <w:r>
              <w:t xml:space="preserve">E. Heckman two-step</w:t>
            </w:r>
          </w:p>
        </w:tc>
        <w:tc>
          <w:tcPr/>
          <w:p>
            <w:pPr>
              <w:pStyle w:val="Compact"/>
              <w:jc w:val="left"/>
            </w:pPr>
            <w:r>
              <w:t xml:space="preserve">Per wave</w:t>
            </w:r>
          </w:p>
        </w:tc>
        <w:tc>
          <w:tcPr/>
          <w:p>
            <w:pPr>
              <w:pStyle w:val="Compact"/>
              <w:jc w:val="right"/>
            </w:pPr>
            <w:r>
              <w:t xml:space="preserve">—</w:t>
            </w:r>
          </w:p>
        </w:tc>
        <w:tc>
          <w:tcPr/>
          <w:p>
            <w:pPr>
              <w:pStyle w:val="Compact"/>
            </w:pPr>
          </w:p>
        </w:tc>
        <w:tc>
          <w:tcPr/>
          <w:p>
            <w:pPr>
              <w:pStyle w:val="Compact"/>
              <w:jc w:val="left"/>
            </w:pPr>
            <w:r>
              <w:t xml:space="preserve">λ</w:t>
            </w:r>
          </w:p>
        </w:tc>
      </w:tr>
      <w:tr>
        <w:tc>
          <w:tcPr/>
          <w:p>
            <w:pPr>
              <w:pStyle w:val="Compact"/>
              <w:jc w:val="left"/>
            </w:pPr>
            <w:r>
              <w:t xml:space="preserve">G. Sector split: manufacturing</w:t>
            </w:r>
          </w:p>
        </w:tc>
        <w:tc>
          <w:tcPr/>
          <w:p>
            <w:pPr>
              <w:pStyle w:val="Compact"/>
              <w:jc w:val="left"/>
            </w:pPr>
            <w:r>
              <w:t xml:space="preserve">Pooled</w:t>
            </w:r>
          </w:p>
        </w:tc>
        <w:tc>
          <w:tcPr/>
          <w:p>
            <w:pPr>
              <w:pStyle w:val="Compact"/>
              <w:jc w:val="right"/>
            </w:pPr>
            <w:r>
              <w:t xml:space="preserve">1,854</w:t>
            </w:r>
          </w:p>
        </w:tc>
        <w:tc>
          <w:tcPr/>
          <w:p>
            <w:pPr>
              <w:pStyle w:val="Compact"/>
              <w:jc w:val="left"/>
            </w:pPr>
            <w:r>
              <w:t xml:space="preserve">TCI_z = +0.223*</w:t>
            </w:r>
            <w:r>
              <w:rPr>
                <w:bCs/>
                <w:b/>
              </w:rPr>
              <w:t xml:space="preserve">; DAI_z = +0.087</w:t>
            </w:r>
            <w:r>
              <w:t xml:space="preserve">; FSTSc × DAI_z = -0.543†</w:t>
            </w:r>
          </w:p>
        </w:tc>
        <w:tc>
          <w:tcPr/>
          <w:p>
            <w:pPr>
              <w:pStyle w:val="Compact"/>
              <w:jc w:val="left"/>
            </w:pPr>
            <w:r>
              <w:t xml:space="preserve">M8 joint p = .103†</w:t>
            </w:r>
          </w:p>
        </w:tc>
      </w:tr>
      <w:tr>
        <w:tc>
          <w:tcPr/>
          <w:p>
            <w:pPr>
              <w:pStyle w:val="Compact"/>
              <w:jc w:val="left"/>
            </w:pPr>
            <w:r>
              <w:t xml:space="preserve">H. Exporter-only (FSTS &gt; 0)</w:t>
            </w:r>
          </w:p>
        </w:tc>
        <w:tc>
          <w:tcPr/>
          <w:p>
            <w:pPr>
              <w:pStyle w:val="Compact"/>
              <w:jc w:val="left"/>
            </w:pPr>
            <w:r>
              <w:t xml:space="preserve">Pooled</w:t>
            </w:r>
          </w:p>
        </w:tc>
        <w:tc>
          <w:tcPr/>
          <w:p>
            <w:pPr>
              <w:pStyle w:val="Compact"/>
              <w:jc w:val="right"/>
            </w:pPr>
            <w:r>
              <w:t xml:space="preserve">669</w:t>
            </w:r>
          </w:p>
        </w:tc>
        <w:tc>
          <w:tcPr/>
          <w:p>
            <w:pPr>
              <w:pStyle w:val="Compact"/>
              <w:jc w:val="left"/>
            </w:pPr>
            <w:r>
              <w:t xml:space="preserve">FSTSc = -0.861***; FSTSc² = -0.200 n.s.</w:t>
            </w:r>
          </w:p>
        </w:tc>
        <w:tc>
          <w:tcPr/>
          <w:p>
            <w:pPr>
              <w:pStyle w:val="Compact"/>
              <w:jc w:val="left"/>
            </w:pPr>
            <w:r>
              <w:t xml:space="preserve">M8 joint p = .462</w:t>
            </w:r>
          </w:p>
        </w:tc>
      </w:tr>
      <w:tr>
        <w:tc>
          <w:tcPr/>
          <w:p>
            <w:pPr>
              <w:pStyle w:val="Compact"/>
              <w:jc w:val="left"/>
            </w:pPr>
            <w:r>
              <w:t xml:space="preserve">J. PSM ATT (cert / foreign-tech, 1-NN)</w:t>
            </w:r>
          </w:p>
        </w:tc>
        <w:tc>
          <w:tcPr/>
          <w:p>
            <w:pPr>
              <w:pStyle w:val="Compact"/>
              <w:jc w:val="left"/>
            </w:pPr>
            <w:r>
              <w:t xml:space="preserve">Pooled</w:t>
            </w:r>
          </w:p>
        </w:tc>
        <w:tc>
          <w:tcPr/>
          <w:p>
            <w:pPr>
              <w:pStyle w:val="Compact"/>
              <w:jc w:val="right"/>
            </w:pPr>
            <w:r>
              <w:t xml:space="preserve">640</w:t>
            </w:r>
          </w:p>
        </w:tc>
        <w:tc>
          <w:tcPr/>
          <w:p>
            <w:pPr>
              <w:pStyle w:val="Compact"/>
              <w:jc w:val="left"/>
            </w:pPr>
            <w:r>
              <w:t xml:space="preserve">ATT_TCI = +0.637 (SE 0.078)***</w:t>
            </w:r>
          </w:p>
        </w:tc>
        <w:tc>
          <w:tcPr/>
          <w:p>
            <w:pPr>
              <w:pStyle w:val="Compact"/>
              <w:jc w:val="left"/>
            </w:pPr>
            <w:r>
              <w:t xml:space="preserve">Positive and large under matching</w:t>
            </w:r>
          </w:p>
        </w:tc>
      </w:tr>
      <w:tr>
        <w:tc>
          <w:tcPr/>
          <w:p>
            <w:pPr>
              <w:pStyle w:val="Compact"/>
              <w:jc w:val="left"/>
            </w:pPr>
            <w:r>
              <w:t xml:space="preserve">K. IV / 2SLS (TCI_z, DAI_z)</w:t>
            </w:r>
          </w:p>
        </w:tc>
        <w:tc>
          <w:tcPr/>
          <w:p>
            <w:pPr>
              <w:pStyle w:val="Compact"/>
              <w:jc w:val="left"/>
            </w:pPr>
            <w:r>
              <w:t xml:space="preserve">Pooled</w:t>
            </w:r>
          </w:p>
        </w:tc>
        <w:tc>
          <w:tcPr/>
          <w:p>
            <w:pPr>
              <w:pStyle w:val="Compact"/>
              <w:jc w:val="right"/>
            </w:pPr>
            <w:r>
              <w:t xml:space="preserve">2,298</w:t>
            </w:r>
          </w:p>
        </w:tc>
        <w:tc>
          <w:tcPr/>
          <w:p>
            <w:pPr>
              <w:pStyle w:val="Compact"/>
              <w:jc w:val="left"/>
            </w:pPr>
            <w:r>
              <w:t xml:space="preserve">TCI_z = +1.639*** (F = 22.1); DAI_z = +0.018 n.s. (F = 34.6)</w:t>
            </w:r>
          </w:p>
        </w:tc>
        <w:tc>
          <w:tcPr/>
          <w:p>
            <w:pPr>
              <w:pStyle w:val="Compact"/>
              <w:jc w:val="left"/>
            </w:pPr>
            <w:r>
              <w:t xml:space="preserve">TCI robust; DAI null</w:t>
            </w:r>
          </w:p>
        </w:tc>
      </w:tr>
      <w:tr>
        <w:tc>
          <w:tcPr/>
          <w:p>
            <w:pPr>
              <w:pStyle w:val="Compact"/>
              <w:jc w:val="left"/>
            </w:pPr>
            <w:r>
              <w:t xml:space="preserve">Oster (2019) δ = 1 bounds</w:t>
            </w:r>
          </w:p>
        </w:tc>
        <w:tc>
          <w:tcPr/>
          <w:p>
            <w:pPr>
              <w:pStyle w:val="Compact"/>
              <w:jc w:val="left"/>
            </w:pPr>
            <w:r>
              <w:t xml:space="preserve">Pooled</w:t>
            </w:r>
          </w:p>
        </w:tc>
        <w:tc>
          <w:tcPr/>
          <w:p>
            <w:pPr>
              <w:pStyle w:val="Compact"/>
              <w:jc w:val="right"/>
            </w:pPr>
            <w:r>
              <w:t xml:space="preserve">2,958</w:t>
            </w:r>
          </w:p>
        </w:tc>
        <w:tc>
          <w:tcPr/>
          <w:p>
            <w:pPr>
              <w:pStyle w:val="Compact"/>
              <w:jc w:val="left"/>
            </w:pPr>
            <w:r>
              <w:t xml:space="preserve">FSTSc, FSTSc², TCI, DAI: all stable, no sign change</w:t>
            </w:r>
          </w:p>
        </w:tc>
        <w:tc>
          <w:tcPr/>
          <w:p>
            <w:pPr>
              <w:pStyle w:val="Compact"/>
              <w:jc w:val="left"/>
            </w:pPr>
            <w:r>
              <w:t xml:space="preserve">No focal collapse</w:t>
            </w:r>
          </w:p>
        </w:tc>
      </w:tr>
    </w:tbl>
    <w:p>
      <w:pPr>
        <w:pStyle w:val="BodyText"/>
      </w:pPr>
      <w:r>
        <w:rPr>
          <w:iCs/>
          <w:i/>
        </w:rPr>
        <w:t xml:space="preserve">Notes.</w:t>
      </w:r>
      <w:r>
        <w:t xml:space="preserve"> </w:t>
      </w:r>
      <w:r>
        <w:t xml:space="preserve">Each row summarises one headline robustness panel from §4.5 estimated by OLS HC1 (PSM and 2SLS use the indicated alternative estimators). Significance markers: *** p &lt; .001, ** p &lt; .01, * p &lt; .05, † p &lt; .10, n.s. = not significant. Panel C (common-N reconciled), Panel I (wave × focal interactions), Panel J’s two PSM variants on website ownership, Panel G’s non-manufacturing split, density-around-TP band, and the cubic extension are reported in Online Appendix Tables A1–A6. Source: WBES Vietnam 2009, 2015, 2023; authors’ calculations.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w:t>
      </w:r>
      <w:r>
        <w:t xml:space="preserve"> </w:t>
      </w:r>
      <m:oMath>
        <m:sSub>
          <m:e>
            <m:r>
              <m:rPr>
                <m:nor/>
                <m:sty m:val="p"/>
              </m:rPr>
              <m:t>FSTS</m:t>
            </m:r>
          </m:e>
          <m:sub>
            <m:r>
              <m:t>c</m:t>
            </m:r>
          </m:sub>
        </m:sSub>
      </m:oMath>
      <w:r>
        <w:t xml:space="preserve"> </w:t>
      </w:r>
      <w:r>
        <w:t xml:space="preserve">and</w:t>
      </w:r>
      <w:r>
        <w:t xml:space="preserve"> </w:t>
      </w:r>
      <m:oMath>
        <m:sSubSup>
          <m:e>
            <m:r>
              <m:rPr>
                <m:nor/>
                <m:sty m:val="p"/>
              </m:rPr>
              <m:t>FSTS</m:t>
            </m:r>
          </m:e>
          <m:sub>
            <m:r>
              <m:t>c</m:t>
            </m:r>
          </m:sub>
          <m:sup>
            <m:r>
              <m:t>2</m:t>
            </m:r>
          </m:sup>
        </m:sSubSup>
      </m:oMath>
      <w:r>
        <w:t xml:space="preserve"> </w:t>
      </w:r>
      <w:r>
        <w:t xml:space="preserve">comparisons support wave-specific heterogeneity in TCI and DAI direct effects but not in the I–P curvature parameters. Turning points (already reported in Table 5 above) are derived from M2 (lnLP =</w:t>
      </w:r>
      <w:r>
        <w:t xml:space="preserve"> </w:t>
      </w:r>
      <m:oMath>
        <m:sSub>
          <m:e>
            <m:r>
              <m:t>β</m:t>
            </m:r>
          </m:e>
          <m:sub>
            <m:r>
              <m:t>0</m:t>
            </m:r>
          </m:sub>
        </m:sSub>
      </m:oMath>
      <w:r>
        <w:t xml:space="preserve"> </w:t>
      </w:r>
      <w:r>
        <w:t xml:space="preserve">+</w:t>
      </w:r>
      <w:r>
        <w:t xml:space="preserve"> </w:t>
      </w:r>
      <m:oMath>
        <m:sSub>
          <m:e>
            <m:r>
              <m:t>β</m:t>
            </m:r>
          </m:e>
          <m:sub>
            <m:r>
              <m:t>1</m:t>
            </m:r>
          </m:sub>
        </m:sSub>
      </m:oMath>
      <w:r>
        <w:t xml:space="preserve"> </w:t>
      </w:r>
      <m:oMath>
        <m:sSub>
          <m:e>
            <m:r>
              <m:rPr>
                <m:nor/>
                <m:sty m:val="p"/>
              </m:rPr>
              <m:t>FSTS</m:t>
            </m:r>
          </m:e>
          <m:sub>
            <m:r>
              <m:t>c</m:t>
            </m:r>
          </m:sub>
        </m:sSub>
      </m:oMath>
      <w:r>
        <w:t xml:space="preserve"> </w:t>
      </w:r>
      <w:r>
        <w:t xml:space="preserve">+</w:t>
      </w:r>
      <w:r>
        <w:t xml:space="preserve"> </w:t>
      </w:r>
      <m:oMath>
        <m:sSub>
          <m:e>
            <m:r>
              <m:t>β</m:t>
            </m:r>
          </m:e>
          <m:sub>
            <m:r>
              <m:t>2</m:t>
            </m:r>
          </m:sub>
        </m:sSub>
      </m:oMath>
      <w:r>
        <w:t xml:space="preserve"> </w:t>
      </w:r>
      <m:oMath>
        <m:sSubSup>
          <m:e>
            <m:r>
              <m:rPr>
                <m:nor/>
                <m:sty m:val="p"/>
              </m:rPr>
              <m:t>FSTS</m:t>
            </m:r>
          </m:e>
          <m:sub>
            <m:r>
              <m:t>c</m:t>
            </m:r>
          </m:sub>
          <m:sup>
            <m:r>
              <m:t>2</m:t>
            </m:r>
          </m:sup>
        </m:sSubSup>
      </m:oMath>
      <w:r>
        <w:t xml:space="preserve"> </w:t>
      </w:r>
      <w:r>
        <w:t xml:space="preserve">+ controls + sector FE [+ wave FE in pooled]) back-transformed to the raw FSTS scale; 95% CI uses the delta method; Lind–Mehlum p-values follow the Sasabuchi-style endpoint test (Lind &amp; Mehlum, 2010). Source: WBES Vietnam 2009, 2015, 2023; authors’ calculations.</w:t>
      </w:r>
    </w:p>
    <w:bookmarkEnd w:id="56"/>
    <w:bookmarkEnd w:id="57"/>
    <w:bookmarkStart w:id="62" w:name="discussion"/>
    <w:p>
      <w:pPr>
        <w:pStyle w:val="Heading2"/>
      </w:pPr>
      <w:r>
        <w:t xml:space="preserve">5. Discussion</w:t>
      </w:r>
    </w:p>
    <w:p>
      <w:pPr>
        <w:pStyle w:val="FirstParagraph"/>
      </w:pPr>
      <w:r>
        <w:t xml:space="preserve">The results are best located first against the meta-analytic baseline. Wu, Fan, and Chen (2022) establish a positive average I–P relationship for emerging-market multinationals, a useful macro-level anchor, though one that aggregates across institutional contexts in which the functional form may vary substantially. That meta-analysis leaves country-level heterogeneity in the I–P curve shape under-specified. Vietnam, a single-party transitional economy with rapid but uneven digital infrastructure uptake, offers a critical test of whether the pooled meta-level estimate masks functional-form nonlinearity at the within-country level. The present evidence speaks to that concern: the inverted-U is robust within Vietnam, yet a participation-margin step drives it rather than within-exporter saturation, a structure that pooling exporters and non-exporters in cross-country meta-analyses tends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The present finding of a reproducible inverted-U at FSTS</w:t>
      </w:r>
      <w:r>
        <w:t xml:space="preserve"> </w:t>
      </w:r>
      <m:oMath>
        <m:r>
          <m:rPr>
            <m:sty m:val="p"/>
          </m:rPr>
          <m:t>≈</m:t>
        </m:r>
      </m:oMath>
      <w:r>
        <w:t xml:space="preserve"> </w:t>
      </w:r>
      <w:r>
        <w:t xml:space="preserve">39–46% in Vietnam, despite the cross-national skepticism articulated by Pisani, Garcia-Bernardo, and Heemskerk (2020),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not merely a compositional artefact of positive selection into exporting.</w:t>
      </w:r>
    </w:p>
    <w:bookmarkStart w:id="58" w:name="X75106946c7aca221b9f6caee2381f995a059e90"/>
    <w:p>
      <w:pPr>
        <w:pStyle w:val="Heading3"/>
      </w:pPr>
      <w:r>
        <w:t xml:space="preserve">5.1 Reinterpreting Tier-1 DAI as a saturated hygiene factor</w:t>
      </w:r>
    </w:p>
    <w:p>
      <w:pPr>
        <w:pStyle w:val="FirstParagraph"/>
      </w:pPr>
      <w:r>
        <w:t xml:space="preserve">The descriptive DAI_z findings carry one central implication: baseline website presence in Vietnam should not be read as a universal, temporally stable productivity premium nor as evidence on dynamic digital capability. TCI_z and DAI_z are both positive on average in the pooled specifications, yet their empirical roles diverge materially across waves and across identification strategies (Vahlne, 2020; Stallkamp and Schotter, 2021). Within the limits of a Tier-1 binary website indicator, website ownership is no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FSTSc × DAI_z interaction in 2023 — where the DAI productivity relevance attenuates at higher export intensities — is consistent with the Tier-1 boundary of the construct: a website alone cannot manage the transaction density of high-export-intensity operations without electronic-payment and process-integration support. Framed in capability terms, a Tier-1 website in transitional Vietnam operates as a saturated hygiene factor rather than a differentiating resource: with ownership approaching universality (42.5 % in 2009 to 49.8 % in 2023), it retains too little cross-firm variance to bend the export–performance curve, so the null is a substantive finding about a saturated threshold rather than a measurement shortfall. A companion paper on Singapore by the present author group, where the deeper Tier-1+2 DAI construct amplifies the productivity return at high export intensity, indicates that foundational digital adoption is a context-dependent resource gated by a depth threshold. Only past the shift from digitising information to integrating digital into processes does foundational digital adoption acquire curve-reshaping potency, and only then can it act as a partial substitute for the institutional functions that remain underdeveloped in a transitional economy.</w:t>
      </w:r>
    </w:p>
    <w:bookmarkEnd w:id="58"/>
    <w:bookmarkStart w:id="59" w:name="X89f4c96b9dbd4938f82c3895501b75b01118777"/>
    <w:p>
      <w:pPr>
        <w:pStyle w:val="Heading3"/>
      </w:pPr>
      <w:r>
        <w:t xml:space="preserve">5.2 Identification stress separates TCI from DAI</w:t>
      </w:r>
    </w:p>
    <w:p>
      <w:pPr>
        <w:pStyle w:val="FirstParagraph"/>
      </w:pPr>
      <w:r>
        <w:t xml:space="preserve">The §4.5 PSM and IV evidence sharpens the methodological case for keeping foreign-technology / standards capability apart from a baseline website-presence indicator, rather than folding the two into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TCI is robust under both matching and instrumentation: 2SLS TCI_z = 1.64 (p &lt; .001) on a strong instrument (first-stage F = 22.1) and matching ATT for the cert / foreign-tech treatment is 0.61–0.64 (p &lt; .001) on ≈ 640 firms. By contrast, the OLS-detected DAI direct association is reproduced under PSM (ATT 0.30–0.32, p &lt; .001) but attenuates to a null under 2SLS (β = 0.02, p = .94). Foreign-technology / standards capability therefore behaves like a more identification-robust productivity channel, whereas website-based digital presence behaves like a more context-sensitive and selection-sensitive marker of performance heterogeneity.</w:t>
      </w:r>
    </w:p>
    <w:p>
      <w:pPr>
        <w:pStyle w:val="BodyText"/>
      </w:pPr>
      <w:r>
        <w:t xml:space="preserve">The DAI_rich extension (§4.5 Panel B) reinforces this construct interpretation. Even when c22b is augmented with 2023 electronic-payment shares (k33, k38), the moderation pattern goes in the same direction (FSTSc × DAI_rich_cont_z = -0.93, M8 joint p = .099), confirming that the divergence between TCI and DAI is about identification stress, not the depth of the digital measure. This argues for a more careful treatment of digitalisation in international-business research, one that distinguishes basic digital enablement (easily contaminated by selection on observables) from broader technological depth (more identification-robust), rather than collapsing both into a single label.</w:t>
      </w:r>
      <w:r>
        <w:t xml:space="preserve"> </w:t>
      </w:r>
      <w:r>
        <w:t xml:space="preserve">### 5.3 The significance of the 2015 dip</w:t>
      </w:r>
    </w:p>
    <w:p>
      <w:pPr>
        <w:pStyle w:val="BodyText"/>
      </w:pPr>
      <w:r>
        <w:t xml:space="preserve">The 2015 null on the website-based DAI channel should be read first through micro-structure rather than macro-infrastructure. The exporter share fell from 28.4 % in 2009 to 20.7 % in 2015 (Table 2), a selective exit that left a residual cohort disproportionately concentrated in labour-intensive, OEM-dependent assembly operations. For a garment or electronics sub-contractor awaiting orders from a foreign principal, a corporate website functions as a digital pamphlet rather than a productivity-enabling coordination tool: it signals presence but does not optimise supply-chain flows, integrate transaction-level data, or substitute for the digital interfaces controlled by the upstream buyer. This cohort-composition mechanism — combined with the proxy-obsolescence channel by which c22b’s informational content shrinks as ownership diffuses — helps explain why the website-based DAI coefficient compresses to a null in 2015 even as the inverted-U curvature remains statistically present.</w:t>
      </w:r>
    </w:p>
    <w:p>
      <w:pPr>
        <w:pStyle w:val="BodyText"/>
      </w:pPr>
      <w:r>
        <w:t xml:space="preserve">Proxy obsolescence and stage contingency are not mutually exclusive: both can operate jointly. The cross-wave-comparable WBES instrument cannot disentangle the two channels, so the joint reading is the honest one. The 2015 pattern is best read as wave-specific compression of the foundational digital-adoption channel under transitional infrastructure conditions, consistent with the §4.5 Panel I formal pooled wave × focal interaction test that detects only the DAI direct shifts as cross-wave-distinguishable (the FSTS curvature and FSTS × DAI moderation differences are not separable).</w:t>
      </w:r>
    </w:p>
    <w:p>
      <w:pPr>
        <w:pStyle w:val="BodyText"/>
      </w:pPr>
      <w:r>
        <w:t xml:space="preserve">The macro context is consistent with a digital-infrastructure trough in 2015 relative to 2009 and 2023. Vietnam’s individuals-using-the-Internet share rose from ~26 % (2009) to 45 % (2015) to over 78 % (2023); fixed-broadband subscriptions grew from ~3 to 8 to over 20 per 100 people across the three anchors (World Bank WDI; ITU). The 2020 National Digital Transformation Programme and the post-2018–2019 scaling of cross-border e-payment (VNPAY, MoMo, ZaloPay) and B2B marketplaces (Alibaba.com, Amazon Global Selling) emerged after the 2015 wave but before the 2023 wave. These indicators are not entered into the regressions; they make the wave-specific reading institutionally plausible rather than purely post-hoc. The substantive lesson is that pooled averages alone are insufficient: without the wave-specific analysis, one would miss that capability payoffs compress or fade temporarily before re-emerging in a later phase, even when the curvature parameters of the I–P relationship themselves remain statistically indistinguishable across waves.</w:t>
      </w:r>
    </w:p>
    <w:bookmarkEnd w:id="59"/>
    <w:bookmarkStart w:id="60" w:name="managerial-implications"/>
    <w:p>
      <w:pPr>
        <w:pStyle w:val="Heading3"/>
      </w:pPr>
      <w:r>
        <w:t xml:space="preserve">5.4 Managerial implications</w:t>
      </w:r>
    </w:p>
    <w:p>
      <w:pPr>
        <w:pStyle w:val="FirstParagraph"/>
      </w:pPr>
      <w:r>
        <w:t xml:space="preserve">Managerial implications below should be read as</w:t>
      </w:r>
      <w:r>
        <w:t xml:space="preserve"> </w:t>
      </w:r>
      <w:r>
        <w:rPr>
          <w:iCs/>
          <w:i/>
        </w:rPr>
        <w:t xml:space="preserve">associational stage characterisations</w:t>
      </w:r>
      <w:r>
        <w:t xml:space="preserve"> </w:t>
      </w:r>
      <w:r>
        <w:t xml:space="preserve">given the cross-sectional WBES design, not as causal optimisation. The turning-point 95 % CIs span roughly 30–50 % FSTS in pooled M2, so the qualitative stage logic — composition of capability investment shifts with relative position on the I–P curve — is more robust than any specific FSTS boundary. The composition of investment should change with the firm’s position relative to two empirically anchored thresholds: the export-participation barrier (FSTS = 0 to FSTS &gt; 0) and the inverted-U turning-point band at ~39–46 % FSTS.</w:t>
      </w:r>
    </w:p>
    <w:p>
      <w:pPr>
        <w:pStyle w:val="BodyText"/>
      </w:pPr>
      <w:r>
        <w:rPr>
          <w:iCs/>
          <w:i/>
        </w:rPr>
        <w:t xml:space="preserve">Stage 1 — Pre-export and low-intensity (FSTS = 0 or &lt; ~30 %).</w:t>
      </w:r>
      <w:r>
        <w:t xml:space="preserve"> </w:t>
      </w:r>
      <w:r>
        <w:t xml:space="preserve">The dominant productivity-relevant action is crossing the participation barrier, not optimising digital presence. Foundational website adoption and basic e-payment connectivity remain useful as legitimacy signals but their productivity contribution is bounded by the Tier-1 ceiling and by diffusion-driven attenuation of c22b. Capital should target foreign-market intelligence, ISO-style quality certification, and entry-cost financing rather than incremental website redesign.</w:t>
      </w:r>
    </w:p>
    <w:p>
      <w:pPr>
        <w:pStyle w:val="BodyText"/>
      </w:pPr>
      <w:r>
        <w:rPr>
          <w:iCs/>
          <w:i/>
        </w:rPr>
        <w:t xml:space="preserve">Stage 2 — Approaching the turning-point band (FSTS ≈ 30–46 %).</w:t>
      </w:r>
      <w:r>
        <w:t xml:space="preserve"> </w:t>
      </w:r>
      <w:r>
        <w:t xml:space="preserve">The pooled TCI direct association (β = +0.179, p &lt; .001; 2SLS β = +1.639) and the curvature-flattening role of TCI moderation (M3 joint p = .003 pooled) imply that the binding friction in this band is the coordination ceiling that foreign-technology and standards capability is most effective at relaxing. Capital should tilt toward TCI-deepening investment — foreign-licensed technology, formal quality-certification systems, process integration with foreign principals — rather than incremental DAI upgrades on the Tier-1 layer.</w:t>
      </w:r>
    </w:p>
    <w:p>
      <w:pPr>
        <w:pStyle w:val="BodyText"/>
      </w:pPr>
      <w:r>
        <w:rPr>
          <w:iCs/>
          <w:i/>
        </w:rPr>
        <w:t xml:space="preserve">Stage 3 — Beyond the turning point (FSTS &gt; ~46 %).</w:t>
      </w:r>
      <w:r>
        <w:t xml:space="preserve"> </w:t>
      </w:r>
      <w:r>
        <w:t xml:space="preserve">The 2023 negative FSTS × DAI_z interaction (β = -0.912, p = .043) is consistent with the Tier-1 boundary and population diffusion of c22b. For high-intensity exporters, marginal Tier-1 website investment delivers a negative incremental productivity association; the binding friction is the absence of Tier 2–3 process-integration, payment, and supply-chain digitisation that the WBES Tier-1 instrument cannot capture but that the DAI_rich extension (Online Appendix Table A1) supports as the relevant upgrade path. The 2015 dip carries the same managerial reading for OEM-style cohorts: pure DAI upgrades do not loosen the productivity ceiling when the binding constraint is upstream digital governance.</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Second, allocation should be staged against the empirically identified thresholds rather than against generic digital-transformation prescriptions: incremental Tier-1 presence at high export intensity may absorb scarce capital with limited productivity return, while TCI-channel capability around the 39–46 % band corresponds to where the cross-wave evidence is most consistent with a productivity-enhancing effect.</w:t>
      </w:r>
    </w:p>
    <w:bookmarkEnd w:id="60"/>
    <w:bookmarkStart w:id="61" w:name="policy-implications"/>
    <w:p>
      <w:pPr>
        <w:pStyle w:val="Heading3"/>
      </w:pPr>
      <w:r>
        <w:t xml:space="preserve">5.5 Policy implications</w:t>
      </w:r>
    </w:p>
    <w:p>
      <w:pPr>
        <w:pStyle w:val="FirstParagraph"/>
      </w:pPr>
      <w:r>
        <w:t xml:space="preserve">The policy reading is offered as tentative consideration, not directive prescription; the associational nature of the evidence and the single-economy scope weigh against converting these findings into firm policy targets. With those caveats, three considerations follow.</w:t>
      </w:r>
    </w:p>
    <w:p>
      <w:pPr>
        <w:pStyle w:val="BodyText"/>
      </w:pPr>
      <w:r>
        <w:t xml:space="preserve">First, export-promotion instruments designed around a uniformly positive internationalisation premium will overshoot in transitional periods such as the 2015 wave when capability payoffs are compressed. Targeting support at firms in the entry-cost zone, rather than at firms already operating at high export intensity, is consistent with the curvature documented in the pooled and later-wave samples. Second, digital-economy programmes that treat foundational adoption (websites, basic e-payment) as a sufficient policy lever are likely to be attenuated by implementation lag and by the conditional nature of the digital channel at higher export intensity; programmes that bundle Tier 1–2 digital adoption with deeper capability upgrading (quality certification, absorptive-capacity investment, cross-border coordination routines) are more consistent with the pattern that emerges in 2023.</w:t>
      </w:r>
    </w:p>
    <w:p>
      <w:pPr>
        <w:pStyle w:val="BodyText"/>
      </w:pPr>
      <w:r>
        <w:t xml:space="preserve">Third, the repeated cross-sectional design reflects cohort-level snapshots rather than within-firm trajectories, so policy evaluation windows matter. A digital-transformation programme assessed only against a 2015-style transitional baseline would understate its long-run productivity contribution; one assessed against 2009- or 2023-style baselines would overstate it relative to the in-between phase. The World Bank (2025b)</w:t>
      </w:r>
      <w:r>
        <w:t xml:space="preserve"> </w:t>
      </w:r>
      <w:r>
        <w:rPr>
          <w:iCs/>
          <w:i/>
        </w:rPr>
        <w:t xml:space="preserve">Taking Stock</w:t>
      </w:r>
      <w:r>
        <w:t xml:space="preserve"> </w:t>
      </w:r>
      <w:r>
        <w:t xml:space="preserve">identifies high-tech industrial talent cultivation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liberalisation over 2008–2016 raised service-sector productivity by 2.9 % per year and manufacturing productivity by 3.1 % per year (Barattieri, Mattoo, and Signoret, 2026), suggesting the ascending limb documented in the WBES microdata reflects in part economy-wide gains from trade opening that firm-level capability investments convert into sustained productivity advantage.</w:t>
      </w:r>
    </w:p>
    <w:bookmarkEnd w:id="61"/>
    <w:bookmarkEnd w:id="62"/>
    <w:bookmarkStart w:id="63" w:name="limitations-and-future-research"/>
    <w:p>
      <w:pPr>
        <w:pStyle w:val="Heading2"/>
      </w:pPr>
      <w:r>
        <w:t xml:space="preserve">6. Limitations and future research</w:t>
      </w:r>
    </w:p>
    <w:p>
      <w:pPr>
        <w:pStyle w:val="FirstParagraph"/>
      </w:pPr>
      <w:r>
        <w:t xml:space="preserve">The findings should be read against four limitations. First, the WBES microdata are repeated cross-sections, not a true firm panel, so within-firm trajectories cannot be identified and time-invariant unobserved heterogeneity at the firm level cannot be netted out. Causal attribution for any estimated coefficient therefore remains out of reach; the associational language used throughout reflects this constraint. The appropriate remedy is a matched-firm longitudinal panel combining WBES waves with administrative registry or customs records, which would allow difference-in-differences or fixed-effects identification of the participation-margin productivity jump (Wooldridge, 2010).</w:t>
      </w:r>
    </w:p>
    <w:p>
      <w:pPr>
        <w:pStyle w:val="BodyText"/>
      </w:pPr>
      <w:r>
        <w:t xml:space="preserve">Second, DAI_z captures only a foundational Tier-1 layer of digital adoption centred on website presence, rather than digitally integrated organisational capability. The analysis cannot conclude whether deeper digital integration (Tier 2 electronic-payment intensity, Tier 3 ERP-linked supply-chain digitisation, Tier 4 data-driven operations) exhibits a more stable or differently shaped productivity channel. The remedy is a panel measured with Tier 2–4 indicators (k33/k38, ERP adoption, platform integration), applying the Verhoef et al. (2021) tier hierarchy.</w:t>
      </w:r>
    </w:p>
    <w:p>
      <w:pPr>
        <w:pStyle w:val="BodyText"/>
      </w:pPr>
      <w:r>
        <w:t xml:space="preserve">Third, the analysis covers a single transitional economy at a specific stage of digital and institutional development. How the negative high-FSTS DAI moderation observed here compares with patterns in other emerging markets at different institutional stages, or with digitally advanced economies where the same interaction is predicted positive, requires cross-setting comparative designs that systematically vary institutional transaction costs and digital infrastructure quality. Such designs would allow more direct tests of the context-contingent framing in §2.1.</w:t>
      </w:r>
    </w:p>
    <w:p>
      <w:pPr>
        <w:pStyle w:val="BodyText"/>
      </w:pPr>
      <w:r>
        <w:t xml:space="preserve">Fourth, the cross-wave evidence is uneven in statistical strength. The Paternoster et al. (1998) z-tests indicate that the 2009-to-2015 fall in DAI_z (z = 3.353, p &lt; .001) and its 2015-to-2023 recovery (z = -2.051, p = .040) are distinguishable, but most other cross-wave coefficient differences sit at marginal or non-significant magnitudes; the cross-wave comparison rests on directional consistency rather than uniformly significant pairwise differences. Sharper identification is achievable by exploiting the exogenous timing of Vietnam’s National Digital Transformation Programme (launched June 2020; Prime Minister of Vietnam, 2020) as a policy instrument in a difference-in-differences design contrasting pre- and post-NDTP cohorts within the same WBES sampling frame. Finer industry-level mechanisms, beyond the broad ISIC one-digit sector FE retained for cross-wave comparability and the §4.5 Panel G manufacturing / non-manufacturing split, would benefit from a design exploiting richer industry classification than WBES one-digit codes allow.</w:t>
      </w:r>
    </w:p>
    <w:bookmarkEnd w:id="63"/>
    <w:bookmarkStart w:id="64" w:name="conclusion"/>
    <w:p>
      <w:pPr>
        <w:pStyle w:val="Heading2"/>
      </w:pPr>
      <w:r>
        <w:t xml:space="preserve">7. Conclusion</w:t>
      </w:r>
    </w:p>
    <w:p>
      <w:pPr>
        <w:pStyle w:val="FirstParagraph"/>
      </w:pPr>
      <w:r>
        <w:t xml:space="preserve">This study revisits the internationalisation–performance relationship in Vietnam, treating foreign-technology / standards capability as the primary capability construct and retaining a single-item website-presence indicator only as a baseline digital-presence control. Comparing pooled with wave-specific evidence across the 2009 / 2015 / 2023 WBES waves lets it weigh the structural durability of the I–P threshold against the wave-level identification robustness of each capability dimension.</w:t>
      </w:r>
    </w:p>
    <w:p>
      <w:pPr>
        <w:pStyle w:val="BodyText"/>
      </w:pPr>
      <w:r>
        <w:t xml:space="preserve">The findings indicate that the internationalisation–performance relationship is non-monotonic in the full sample, that a participation-and-intensity structure drives the pattern rather than strong within-exporter curvature alone, and, critically, that the inverted-U turning point is structurally durable. The threshold range clusters within a narrow ~7-percentage-point band (39.3–46.2 %) across 14 years of major institutional change: WTO accession, the Global Financial Crisis, the COVID-19 supply-chain disruption, and the diffusion of digital-payment infrastructure. Such durability points to deep firm-level constraints, coordination capacity, contract enforcement, and trade-finance access, that move more slowly than the wider operating environment.</w:t>
      </w:r>
    </w:p>
    <w:p>
      <w:pPr>
        <w:pStyle w:val="BodyText"/>
      </w:pPr>
      <w:r>
        <w:t xml:space="preserve">The results also suggest that technological capability and the baseline website-presence indicator are not interchangeable, and that conflating them under a single</w:t>
      </w:r>
      <w:r>
        <w:t xml:space="preserve"> </w:t>
      </w:r>
      <w:r>
        <w:t xml:space="preserve">“</w:t>
      </w:r>
      <w:r>
        <w:t xml:space="preserve">digital adoption</w:t>
      </w:r>
      <w:r>
        <w:t xml:space="preserve">”</w:t>
      </w:r>
      <w:r>
        <w:t xml:space="preserve"> </w:t>
      </w:r>
      <w:r>
        <w:t xml:space="preserve">or</w:t>
      </w:r>
      <w:r>
        <w:t xml:space="preserve"> </w:t>
      </w:r>
      <w:r>
        <w:t xml:space="preserve">“</w:t>
      </w:r>
      <w:r>
        <w:t xml:space="preserve">digital transformation</w:t>
      </w:r>
      <w:r>
        <w:t xml:space="preserve">”</w:t>
      </w:r>
      <w:r>
        <w:t xml:space="preserve"> </w:t>
      </w:r>
      <w:r>
        <w:t xml:space="preserve">label would obscure their differing identification properties. Technological capability is comparatively stable and identification-robust across specifications; the baseline</w:t>
      </w:r>
      <w:r>
        <w:t xml:space="preserve"> </w:t>
      </w:r>
      <m:oMath>
        <m:sSub>
          <m:e>
            <m:r>
              <m:rPr>
                <m:nor/>
                <m:sty m:val="p"/>
              </m:rPr>
              <m:t>DAI</m:t>
            </m:r>
          </m:e>
          <m:sub>
            <m:r>
              <m:t>z</m:t>
            </m:r>
          </m:sub>
        </m:sSub>
      </m:oMath>
      <w:r>
        <w:t xml:space="preserve"> </w:t>
      </w:r>
      <w:r>
        <w:t xml:space="preserve">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that are not currently available cross-wave in the WBES Vietnam instrument.</w:t>
      </w:r>
    </w:p>
    <w:bookmarkEnd w:id="64"/>
    <w:bookmarkStart w:id="65" w:name="conflict-of-interest"/>
    <w:p>
      <w:pPr>
        <w:pStyle w:val="Heading2"/>
      </w:pPr>
      <w:r>
        <w:t xml:space="preserve">Conflict of interest</w:t>
      </w:r>
    </w:p>
    <w:p>
      <w:pPr>
        <w:pStyle w:val="FirstParagraph"/>
      </w:pPr>
      <w:r>
        <w:t xml:space="preserve">The authors declare no conflict of interest.</w:t>
      </w:r>
    </w:p>
    <w:bookmarkEnd w:id="65"/>
    <w:bookmarkStart w:id="66"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66"/>
    <w:bookmarkStart w:id="67"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67"/>
    <w:bookmarkStart w:id="68"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68"/>
    <w:bookmarkStart w:id="69"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69"/>
    <w:bookmarkStart w:id="70"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0"/>
    <w:bookmarkStart w:id="71" w:name="references"/>
    <w:p>
      <w:pPr>
        <w:pStyle w:val="Heading2"/>
      </w:pPr>
      <w:r>
        <w:t xml:space="preserve">References</w:t>
      </w:r>
    </w:p>
    <w:p>
      <w:pPr>
        <w:pStyle w:val="FirstParagraph"/>
      </w:pPr>
      <w:r>
        <w:t xml:space="preserve">Agarwal, R., Barattieri, A., &amp; Mattoo, A. (2026).</w:t>
      </w:r>
      <w:r>
        <w:t xml:space="preserve"> </w:t>
      </w:r>
      <w:r>
        <w:rPr>
          <w:iCs/>
          <w:i/>
        </w:rPr>
        <w:t xml:space="preserve">Demand shocks, export expansion, and firm-level productivity: Evidence from Vietnamese manufacturers</w:t>
      </w:r>
      <w:r>
        <w:t xml:space="preserve"> </w:t>
      </w:r>
      <w:r>
        <w:t xml:space="preserve">(World Bank Policy Research Working Paper, forthcoming). The World Bank.</w:t>
      </w:r>
      <w:r>
        <w:t xml:space="preserve"> </w:t>
      </w: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r>
        <w:t xml:space="preserve"> </w:t>
      </w:r>
      <w:r>
        <w:t xml:space="preserve">Barattieri, A., Mattoo, A., &amp; Signoret, J. E. (2026).</w:t>
      </w:r>
      <w:r>
        <w:t xml:space="preserve"> </w:t>
      </w:r>
      <w:r>
        <w:rPr>
          <w:iCs/>
          <w:i/>
        </w:rPr>
        <w:t xml:space="preserve">Service trade liberalization and productivity growth: Micro-evidence from Vietnam, 2008–2016</w:t>
      </w:r>
      <w:r>
        <w:t xml:space="preserve"> </w:t>
      </w:r>
      <w:r>
        <w:t xml:space="preserve">(World Bank Policy Research Working Paper, forthcoming). The World Bank.</w:t>
      </w:r>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r>
        <w:t xml:space="preserve"> </w:t>
      </w: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r>
        <w:t xml:space="preserve"> </w:t>
      </w:r>
      <w:r>
        <w:t xml:space="preserve">Goldfarb, A., &amp; Tucker, C. (2019). Digital economics.</w:t>
      </w:r>
      <w:r>
        <w:t xml:space="preserve"> </w:t>
      </w:r>
      <w:r>
        <w:rPr>
          <w:iCs/>
          <w:i/>
        </w:rPr>
        <w:t xml:space="preserve">Journal of Economic Literature, 57</w:t>
      </w:r>
      <w:r>
        <w:t xml:space="preserve">(1), 3–43. https://doi.org/10.1257/jel.20171452</w:t>
      </w:r>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r>
        <w:t xml:space="preserve"> </w:t>
      </w:r>
      <w:r>
        <w:t xml:space="preserve">Heckman, J. J. (1979). Sample selection bias as a specification error.</w:t>
      </w:r>
      <w:r>
        <w:t xml:space="preserve"> </w:t>
      </w:r>
      <w:r>
        <w:rPr>
          <w:iCs/>
          <w:i/>
        </w:rPr>
        <w:t xml:space="preserve">Econometrica, 47</w:t>
      </w:r>
      <w:r>
        <w:t xml:space="preserve">(1), 153–161. https://doi.org/10.2307/1912352</w:t>
      </w:r>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r>
        <w:t xml:space="preserve"> </w:t>
      </w: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r>
        <w:t xml:space="preserve"> </w:t>
      </w:r>
      <w:r>
        <w:t xml:space="preserve">Lall, S. (1992). Technological capabilities and industrialization.</w:t>
      </w:r>
      <w:r>
        <w:t xml:space="preserve"> </w:t>
      </w:r>
      <w:r>
        <w:rPr>
          <w:iCs/>
          <w:i/>
        </w:rPr>
        <w:t xml:space="preserve">World Development, 20</w:t>
      </w:r>
      <w:r>
        <w:t xml:space="preserve">(2), 165–186. https://doi.org/10.1016/0305-750X(92)90097-F</w:t>
      </w:r>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r>
        <w:t xml:space="preserve"> </w:t>
      </w: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r>
        <w:t xml:space="preserve"> </w:t>
      </w:r>
      <w:r>
        <w:t xml:space="preserve">Staiger, D., &amp; Stock, J. H. (1997). Instrumental variables regression with weak instruments.</w:t>
      </w:r>
      <w:r>
        <w:t xml:space="preserve"> </w:t>
      </w:r>
      <w:r>
        <w:rPr>
          <w:iCs/>
          <w:i/>
        </w:rPr>
        <w:t xml:space="preserve">Econometrica, 65</w:t>
      </w:r>
      <w:r>
        <w:t xml:space="preserve">(3), 557–586. https://doi.org/10.2307/2171753</w:t>
      </w:r>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r>
        <w:t xml:space="preserve"> </w:t>
      </w: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r>
        <w:t xml:space="preserve"> </w:t>
      </w: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r>
        <w:t xml:space="preserve"> </w:t>
      </w: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r>
        <w:t xml:space="preserve"> </w:t>
      </w: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r>
        <w:t xml:space="preserve"> </w:t>
      </w: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2026-06-03T03:39:21Z</dcterms:created>
  <dcterms:modified xsi:type="dcterms:W3CDTF">2026-06-03T03:39:21Z</dcterms:modified>
</cp:coreProperties>
</file>

<file path=docProps/custom.xml><?xml version="1.0" encoding="utf-8"?>
<Properties xmlns="http://schemas.openxmlformats.org/officeDocument/2006/custom-properties" xmlns:vt="http://schemas.openxmlformats.org/officeDocument/2006/docPropsVTypes"/>
</file>