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iCs/>
          <w:i/>
        </w:rPr>
        <w:t xml:space="preserve">Target journal: Journal of Asian Business and Economic Studies (JABES), Emerald Publishing on behalf of University of Economics Ho Chi Minh City (UEH)</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13,000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p>
      <w:r>
        <w:pict>
          <v:rect style="width:0;height:1.5pt" o:hralign="center" o:hrstd="t" o:hr="t"/>
        </w:pict>
      </w:r>
    </w:p>
    <w:bookmarkStart w:id="20" w:name="abstract"/>
    <w:p>
      <w:pPr>
        <w:pStyle w:val="Heading2"/>
      </w:pPr>
      <w:r>
        <w:t xml:space="preserve">Abstract</w:t>
      </w:r>
    </w:p>
    <w:p>
      <w:pPr>
        <w:pStyle w:val="FirstParagraph"/>
      </w:pPr>
      <w:r>
        <w:t xml:space="preserve">This study examines how technological capability (TCI) and digital adoption (DAI) are associated with the internationalization–performance relationship among firms in Singapore. Singapore offers a boundary-case test at the advanced-economy ceiling of the ICRV spectrum, where digital infrastructure is near-universally diffused. Using World Bank Enterprise Survey microdata (Singapore 2023, N = 623), the analysis separates firm-internal capability depth (TCI) from foundational digital interfaces and transaction-enabling mechanisms (DAI).</w:t>
      </w:r>
    </w:p>
    <w:p>
      <w:pPr>
        <w:pStyle w:val="BodyText"/>
      </w:pPr>
      <w:r>
        <w:t xml:space="preserve">Three findings emerge. Within the observed export-intensity range, the I–P relationship is better characterized as predominantly positive with mild quadratic curvature than as an inverted-U, and the implied turning point lies in a sparsely populated upper tail. Technological capability is positively associated with labour productivity. No TCI moderation of the I–P curve is detected, however. Foundational digital adoption tells a more conditional story: it does not produce a uniform productivity premium, and its productivity association becomes more positive only at higher export intensity, with the clearest signal in the high-export tail. This pattern suggests that foundational digital adoption operates as a contingent scaling resource whose productivity relevance activates under cross-border coordination demands, rather than as a firm-wide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r>
        <w:t xml:space="preserve"> </w:t>
      </w:r>
      <w:r>
        <w:t xml:space="preserve">## 1 Introduction</w:t>
      </w:r>
      <w:r>
        <w:t xml:space="preserve"> </w:t>
      </w:r>
      <w:r>
        <w:t xml:space="preserve">### 1.1 Background and motivation</w:t>
      </w:r>
      <w:r>
        <w:t xml:space="preserve"> </w:t>
      </w: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Much of this literature, however, was developed in pre-digital or transitional-digital settings, where institutional and infrastructural conditions differ substantially from those of digitally advanced economies (Peng 2003; Peng et al. 2008). It may therefore not fully capture how the I–P curve behaves once firms operate in a digitally advanced institutional environment. The conditions that make Singapore distinctive are well documented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The Smart Nation 2.0 initiative (launched 2024) goes further, formalizing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a</w:t>
      </w:r>
      <w:r>
        <w:t xml:space="preserve"> </w:t>
      </w:r>
      <w:r>
        <w:rPr>
          <w:iCs/>
          <w:i/>
        </w:rPr>
        <w:t xml:space="preserve">digital saturation</w:t>
      </w:r>
      <w:r>
        <w:t xml:space="preserve"> </w:t>
      </w:r>
      <w:r>
        <w:t xml:space="preserve">condition in which the cross-sectional discriminatory power of foundational digital adoption is attenuated relative to less digitally mature institutional settings. The mechanism, that widely diffused technologies become hygiene factors and lose their cross-firm discriminatory power as cross-firm variance contracts toward a saturated ceiling, is well established in the technology-adoption diffusion literature (Rogers 1962; Bharadwaj et al. 2013). The contribution of this study is not to name this condition but to document its specific empirical signature in WBES Singapore 2023: where Tier 1–2 digital interfaces (websites, electronic payment systems) are already widely diffused, these tools function as hygiene factors for domestic operations rather than as differentiating assets. The near-universal Tier 1–2 diffusion is itself enabled by Singapore’s nationally deployed Digital Public Infrastructure (digital identity systems, payment rails, and data-exchange platforms), which the World Bank (2025a) identifies as the foundational enabling layer for firm-level digital adoption in advanced economies. The sample bears this out. Among Singapore firms, 82% report zero exports, while only 3% exceed 50% foreign sales to total sales, a striking domestic orientation despite the economy’s mature digital infrastructure. The productivity returns to foundational digital adoption should not, therefore, be expected to manifest uniformly across sampled firms. They should instead become measurable primarily when firms face the intensified coordination and transaction demands of cross-border activity. Singapore serves here as an analytically ideal stress test rather than a convenient empirical setting: an environment in which the conditional logic of foundational digital adoption is most legible because domestic saturation removes the uniform-premium effect and leaves only the export-contingent signal.</w:t>
      </w:r>
      <w:r>
        <w:t xml:space="preserve"> </w:t>
      </w:r>
      <w:r>
        <w:t xml:space="preserve">A second motivation concerns construct clarity. In digitally advanced settings, firms may differ both in deeper technological capability rooted in learning, innovation, and absorptive capacity, and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r>
        <w:t xml:space="preserve"> </w:t>
      </w:r>
      <w:r>
        <w:t xml:space="preserve">### 1.2 Gap, contribution, and roadmap</w:t>
      </w:r>
    </w:p>
    <w:p>
      <w:pPr>
        <w:pStyle w:val="BodyText"/>
      </w:pPr>
      <w:r>
        <w:t xml:space="preserve">Three gaps motivate this study. First,</w:t>
      </w:r>
      <w:r>
        <w:t xml:space="preserve"> </w:t>
      </w:r>
      <w:r>
        <w:rPr>
          <w:bCs/>
          <w:b/>
        </w:rPr>
        <w:t xml:space="preserve">construct bundling</w:t>
      </w:r>
      <w:r>
        <w:t xml:space="preserve">: prior research has often folded digitalization-related firm attributes into broad umbrella constructs that blur firm-internal technological capability from more basic forms of digital adoption — the two domains imply different mechanisms of advantage. Second,</w:t>
      </w:r>
      <w:r>
        <w:t xml:space="preserve"> </w:t>
      </w:r>
      <w:r>
        <w:rPr>
          <w:bCs/>
          <w:b/>
        </w:rPr>
        <w:t xml:space="preserve">empirical evidence</w:t>
      </w:r>
      <w:r>
        <w:t xml:space="preserve">: firm-level evidence on how basic digital adoption relates to export intensity within a single digitally advanced institutional environment remains thin; whether foundational tools matter uniformly across firms or only when cross-border coordination demands intensify is unsettled. Focusing on Tier 1–2 adoption (the most widely diffused and comparable digital layer) is a deliberate design choice: if even these foundational tools exhibit export-contingent productivity associations, higher-tier technologies (automation, integrated ERP, AI-enabled systems) should produce stronger differentiation, making this the most conservative and replicable test of the conditional digital-adoption hypothesis. Third,</w:t>
      </w:r>
      <w:r>
        <w:t xml:space="preserve"> </w:t>
      </w:r>
      <w:r>
        <w:rPr>
          <w:bCs/>
          <w:b/>
        </w:rPr>
        <w:t xml:space="preserve">interpretation in mature digital settings</w:t>
      </w:r>
      <w:r>
        <w:t xml:space="preserve">: how inverted-U patterns should be read in a digitally advanced economy where the right-side decline may not be cleanly identifiable within the actual export-intensity range remains under-specified.</w:t>
      </w:r>
    </w:p>
    <w:p>
      <w:pPr>
        <w:pStyle w:val="BodyText"/>
      </w:pPr>
      <w:r>
        <w:t xml:space="preserve">The contribution is one primary empirical signature plus two supporting clarifications. The</w:t>
      </w:r>
      <w:r>
        <w:t xml:space="preserve"> </w:t>
      </w:r>
      <w:r>
        <w:rPr>
          <w:bCs/>
          <w:b/>
        </w:rPr>
        <w:t xml:space="preserve">primary signature</w:t>
      </w:r>
      <w:r>
        <w:t xml:space="preserve"> </w:t>
      </w:r>
      <w:r>
        <w:t xml:space="preserve">documents that foundational DAI functions as a</w:t>
      </w:r>
      <w:r>
        <w:t xml:space="preserve"> </w:t>
      </w:r>
      <w:r>
        <w:rPr>
          <w:iCs/>
          <w:i/>
        </w:rPr>
        <w:t xml:space="preserve">conditional scaling resource</w:t>
      </w:r>
      <w:r>
        <w:t xml:space="preserve"> </w:t>
      </w:r>
      <w:r>
        <w:t xml:space="preserve">rather than a uniform productivity premium in a digitally advanced economy: Tier 1–2 productivity association is weak across most of the export-intensity distribution and becomes positive only in the high-export tail where cross-border coordination demands are densest. The evidence (H3: positive quadratic DAI × FSTS² interaction, β = +3.119, p = .005) is the most distinctive finding and the one least anticipated by prior literature. The</w:t>
      </w:r>
      <w:r>
        <w:t xml:space="preserve"> </w:t>
      </w:r>
      <w:r>
        <w:rPr>
          <w:bCs/>
          <w:b/>
        </w:rPr>
        <w:t xml:space="preserve">first supporting contribution</w:t>
      </w:r>
      <w:r>
        <w:t xml:space="preserve"> </w:t>
      </w:r>
      <w:r>
        <w:t xml:space="preserve">qualifies the nonlinear I–P literature: within the observed export-intensity range, the fitted quadratic is more defensibly read as predominantly positive with mild curvature than as a formally established inverted-U; the implied TP ≈ 82 % lies in a sparsely populated upper tail and the Lind–Mehlum test does not formally confirm a right-side decline at conventional thresholds. In a digitally mature economy where Tier 1–2 tools are widely diffused, this is an informative positive null consistent with the saturation hypothesis. The</w:t>
      </w:r>
      <w:r>
        <w:t xml:space="preserve"> </w:t>
      </w:r>
      <w:r>
        <w:rPr>
          <w:bCs/>
          <w:b/>
        </w:rPr>
        <w:t xml:space="preserve">second supporting contribution</w:t>
      </w:r>
      <w:r>
        <w:t xml:space="preserve"> </w:t>
      </w:r>
      <w:r>
        <w:t xml:space="preserve">clarifies construct boundaries: TCI shows a more stable direct productivity association, DAI shows a contingent export-intensity-dependent pattern. The §4.5 R1 indicator-sensitivity diagnostic further clarifies that the Tier-1+2 composition of DAI (website presence + two-way electronic-payment intensity) is what generates discriminatory power; a Tier-1-only restriction substantially weakens the quadratic interaction, so the empirical legibility of the conditional-scaling mechanism depends on institutional availability of Tier-2 transaction-enabling infrastructure (see §5.1 for the construct-boundary discussion).</w:t>
      </w:r>
    </w:p>
    <w:p>
      <w:pPr>
        <w:pStyle w:val="BodyText"/>
      </w:pPr>
      <w:r>
        <w:t xml:space="preserve">Section 2 develops the theoretical framework and hypotheses; §3 describes data and methods; §4 reports results; §5 discusses theoretical and managerial implications; §6 concludes; §7 covers limitations and future research.</w:t>
      </w:r>
    </w:p>
    <w:bookmarkEnd w:id="20"/>
    <w:bookmarkStart w:id="28" w:name="theory-and-hypotheses"/>
    <w:p>
      <w:pPr>
        <w:pStyle w:val="Heading2"/>
      </w:pPr>
      <w:r>
        <w:t xml:space="preserve">2 Theory and Hypotheses</w:t>
      </w:r>
    </w:p>
    <w:bookmarkStart w:id="21" w:name="X001c1553335b0468ad48060ef103d7d22aed657"/>
    <w:p>
      <w:pPr>
        <w:pStyle w:val="Heading3"/>
      </w:pPr>
      <w:r>
        <w:t xml:space="preserve">2.1 The internationalization–performance relationship</w:t>
      </w:r>
    </w:p>
    <w:p>
      <w:pPr>
        <w:pStyle w:val="FirstParagraph"/>
      </w:pP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both on theory and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r>
        <w:t xml:space="preserve"> </w:t>
      </w:r>
      <w:r>
        <w:t xml:space="preserve">### 2.2 Two distinct constructs: TCI and DAI</w:t>
      </w:r>
      <w:r>
        <w:t xml:space="preserve"> </w:t>
      </w: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w:t>
      </w:r>
      <w:r>
        <w:t xml:space="preserve"> </w:t>
      </w:r>
      <w:r>
        <w:t xml:space="preserve">“</w:t>
      </w:r>
      <w:r>
        <w:t xml:space="preserve">digital adoption</w:t>
      </w:r>
      <w:r>
        <w:t xml:space="preserve">”</w:t>
      </w:r>
      <w:r>
        <w:t xml:space="preserve"> </w:t>
      </w:r>
      <w:r>
        <w:t xml:space="preserve">is more defensible than</w:t>
      </w:r>
      <w:r>
        <w:t xml:space="preserve"> </w:t>
      </w:r>
      <w:r>
        <w:t xml:space="preserve">“</w:t>
      </w:r>
      <w:r>
        <w:t xml:space="preserve">digital capability</w:t>
      </w:r>
      <w:r>
        <w:t xml:space="preserve">”</w:t>
      </w:r>
      <w:r>
        <w:t xml:space="preserve"> </w:t>
      </w:r>
      <w:r>
        <w:t xml:space="preserve">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The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w:t>
      </w:r>
      <w:r>
        <w:t xml:space="preserve"> </w:t>
      </w:r>
      <w:r>
        <w:t xml:space="preserve">“</w:t>
      </w:r>
      <w:r>
        <w:t xml:space="preserve">digital capability</w:t>
      </w:r>
      <w:r>
        <w:t xml:space="preserve">”</w:t>
      </w:r>
      <w:r>
        <w:t xml:space="preserve"> </w:t>
      </w:r>
      <w:r>
        <w:t xml:space="preserve">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t xml:space="preserve"> </w:t>
      </w:r>
      <w:r>
        <w:t xml:space="preserve">### 2.3 Hypothesis development</w:t>
      </w:r>
      <w:r>
        <w:t xml:space="preserve"> </w:t>
      </w:r>
      <w:r>
        <w:t xml:space="preserve">#### 2.3.1 TCI direct effect on productivity</w:t>
      </w:r>
      <w:r>
        <w:t xml:space="preserve"> </w:t>
      </w: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This study therefore hypothesize:</w:t>
      </w:r>
      <w:r>
        <w:t xml:space="preserve"> </w:t>
      </w:r>
      <w:r>
        <w:t xml:space="preserve">Hypothesis 1 (H1). In Singapore’s advanced-economy context, when firms invest more deeply in R&amp;D, innovation, technology licensing, and quality certification, labour productivity is higher because technological capability raises the firm’s operational efficiency and learning routines (Lall 1992; Cohen &amp; Levinthal 1990), before any additional moderation of the I–P curve shape is considered.</w:t>
      </w:r>
      <w:r>
        <w:t xml:space="preserve"> </w:t>
      </w:r>
      <w:r>
        <w:t xml:space="preserve">#### 2.3.2 TCI moderation of the I–P relationship</w:t>
      </w:r>
      <w:r>
        <w:t xml:space="preserve"> </w:t>
      </w: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r>
        <w:t xml:space="preserve"> </w:t>
      </w:r>
      <w:r>
        <w:t xml:space="preserve">#### 2.3.3 DAI direct effect on productivity</w:t>
      </w:r>
      <w:r>
        <w:t xml:space="preserve"> </w:t>
      </w: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In Singapore, when firms adopt foundational digital interfaces and transaction-enabling mechanisms (Tier 1–2), the productivity association of DAI is conditional rather than uniform across firms, because the marginal return to basic digital adoption depends on the scale at which those digital channels are actually used (Bharadwaj et al. 2013; Verhoef et al. 2021), until a level of export intensity is reached at which cross-border coordination demands generate measurable returns.</w:t>
      </w:r>
      <w:r>
        <w:t xml:space="preserve"> </w:t>
      </w:r>
      <w:r>
        <w:t xml:space="preserve">#### 2.3.4 DAI as a conditional complement to export intensity</w:t>
      </w:r>
      <w:r>
        <w:t xml:space="preserve"> </w:t>
      </w: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this study names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it is empirically distinguishable from substitution through the sign and significance of the</w:t>
      </w:r>
      <w:r>
        <w:t xml:space="preserve"> </w:t>
      </w:r>
      <w:r>
        <w:rPr>
          <w:iCs/>
          <w:i/>
        </w:rPr>
        <w:t xml:space="preserve">quadratic</w:t>
      </w:r>
      <w:r>
        <w:t xml:space="preserve"> </w:t>
      </w:r>
      <m:oMath>
        <m:r>
          <m:rPr>
            <m:nor/>
            <m:sty m:val="p"/>
          </m:rPr>
          <m:t>FSTS</m:t>
        </m:r>
        <m:r>
          <m:rPr>
            <m:sty m:val="p"/>
          </m:rPr>
          <m:t>×</m:t>
        </m:r>
        <m:r>
          <m:rPr>
            <m:nor/>
            <m:sty m:val="p"/>
          </m:rPr>
          <m:t>DAI</m:t>
        </m:r>
      </m:oMath>
      <w:r>
        <w:t xml:space="preserve"> </w:t>
      </w:r>
      <w:r>
        <w:t xml:space="preserve">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it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w:t>
      </w:r>
      <w:r>
        <w:t xml:space="preserve"> </w:t>
      </w:r>
      <m:oMath>
        <m:r>
          <m:rPr>
            <m:nor/>
            <m:sty m:val="p"/>
          </m:rPr>
          <m:t>FSTS</m:t>
        </m:r>
        <m:r>
          <m:rPr>
            <m:sty m:val="p"/>
          </m:rPr>
          <m:t>×</m:t>
        </m:r>
        <m:r>
          <m:rPr>
            <m:nor/>
            <m:sty m:val="p"/>
          </m:rPr>
          <m:t>DAI</m:t>
        </m:r>
      </m:oMath>
      <w:r>
        <w:t xml:space="preserve"> </w:t>
      </w:r>
      <w:r>
        <w:t xml:space="preserve">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(beyond linear) interaction term will serve as the empirical test of the amplification prediction in Section 4. The substitution and selection mechanisms are retained as alternative explanations to be assessed against the robustness evidence in Section 4.5.</w:t>
      </w:r>
    </w:p>
    <w:p>
      <w:pPr>
        <w:pStyle w:val="BodyText"/>
      </w:pPr>
      <w:r>
        <w:t xml:space="preserve">Hypothesis 3 (H3). In Singapore, when firms operate at higher export intensity, the association between digital adoption (DAI) and firm performance becomes more positive because foundational digital tools reduce cross-border coordination costs super-linearly rather than proportionally (coordination platform mechanism: Stallkamp &amp; Schotter, 2021; Verhoef et al., 2021), with the amplification effect becoming detectable only beyond the export-intensity threshold at which transaction volume justifies intensive use of digital interfaces and electronic-payment systems.</w:t>
      </w:r>
    </w:p>
    <w:bookmarkEnd w:id="21"/>
    <w:bookmarkStart w:id="25" w:name="conceptual-model"/>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CaptionedFigure"/>
      </w:pPr>
      <w:r>
        <w:drawing>
          <wp:inline>
            <wp:extent cx="5334000" cy="3688738"/>
            <wp:effectExtent b="0" l="0" r="0" t="0"/>
            <wp:docPr descr="Figure 1: Conceptual model, TCI and DAI moderating the I–P relationship (Singapore)" title="" id="23" name="Picture"/>
            <a:graphic>
              <a:graphicData uri="http://schemas.openxmlformats.org/drawingml/2006/picture">
                <pic:pic>
                  <pic:nvPicPr>
                    <pic:cNvPr descr="figures/p4_singapore/figure_1_conceptual_model.png" id="24" name="Picture"/>
                    <pic:cNvPicPr>
                      <a:picLocks noChangeArrowheads="1" noChangeAspect="1"/>
                    </pic:cNvPicPr>
                  </pic:nvPicPr>
                  <pic:blipFill>
                    <a:blip r:embed="rId22"/>
                    <a:stretch>
                      <a:fillRect/>
                    </a:stretch>
                  </pic:blipFill>
                  <pic:spPr bwMode="auto">
                    <a:xfrm>
                      <a:off x="0" y="0"/>
                      <a:ext cx="5334000" cy="3688738"/>
                    </a:xfrm>
                    <a:prstGeom prst="rect">
                      <a:avLst/>
                    </a:prstGeom>
                    <a:noFill/>
                    <a:ln w="9525">
                      <a:noFill/>
                      <a:headEnd/>
                      <a:tailEnd/>
                    </a:ln>
                  </pic:spPr>
                </pic:pic>
              </a:graphicData>
            </a:graphic>
          </wp:inline>
        </w:drawing>
      </w:r>
    </w:p>
    <w:p>
      <w:pPr>
        <w:pStyle w:val="ImageCaption"/>
      </w:pPr>
      <w:r>
        <w:t xml:space="preserve">Figure 1: Conceptual model, TCI and DAI moderating the I–P relationship (Singapore)</w:t>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 arrows represent moderating and conditional effects. The independent variable, internationalisation intensity (FSTS,</w:t>
      </w:r>
      <w:r>
        <w:t xml:space="preserve"> </w:t>
      </w:r>
      <m:oMath>
        <m:sSup>
          <m:e>
            <m:r>
              <m:rPr>
                <m:nor/>
                <m:sty m:val="p"/>
              </m:rPr>
              <m:t>FSTS</m:t>
            </m:r>
          </m:e>
          <m:sup>
            <m:r>
              <m:t>2</m:t>
            </m:r>
          </m:sup>
        </m:sSup>
      </m:oMath>
      <w:r>
        <w:t xml:space="preserve">_c), is placed at left, and the dependent variable, ln(labour productivity), is placed at right. H1 (inverted-U tendency with support-constrained turning point ~82% FSTS, bootstrap CI [53%, 253%]) is grounded in coordination-cost theory (Hitt et al., 1997); the right-side decline is not formally identified within the observed FSTS range, a theoretically informative result under the saturation framework (Lind–Mehlum p =.303). H1-TCI: technological capability (</w:t>
      </w:r>
      <m:oMath>
        <m:sSub>
          <m:e>
            <m:r>
              <m:rPr>
                <m:nor/>
                <m:sty m:val="p"/>
              </m:rPr>
              <m:t>TCI</m:t>
            </m:r>
          </m:e>
          <m:sub>
            <m:r>
              <m:t>z</m:t>
            </m:r>
          </m:sub>
        </m:sSub>
      </m:oMath>
      <w:r>
        <w:t xml:space="preserve">, RBV: Barney, 1991) enters as a direct level-shift to firm performance. H2: DAI (Tier-1+2: website + e-payment) exhibits a non-uniform positive direct effect that varies across export intensity. H3: DAI amplifies the internationalisation-to-performance returns at high FSTS, the primary contingency hypothesis (coordination platform mechanism: Stallkamp &amp; Schotter, 2021; Dynamic Capabilities: Teece, 2007). The Heckman two-step IMR sensitivity check controls exporter selection bias but is not displayed in the figure. (+) denotes positive association. Control variables (ln firm size, age, foreign ownership, sector FE) are included in all empirical models. Note: the H3 amplification test is conducted on the exporters-only subsample (n</w:t>
      </w:r>
      <w:r>
        <w:t xml:space="preserve"> </w:t>
      </w:r>
      <m:oMath>
        <m:r>
          <m:rPr>
            <m:sty m:val="p"/>
          </m:rPr>
          <m:t>≈</m:t>
        </m:r>
      </m:oMath>
      <w:r>
        <w:t xml:space="preserve"> </w:t>
      </w:r>
      <w:r>
        <w:t xml:space="preserve">84; power</w:t>
      </w:r>
      <w:r>
        <w:t xml:space="preserve"> </w:t>
      </w:r>
      <m:oMath>
        <m:r>
          <m:rPr>
            <m:sty m:val="p"/>
          </m:rPr>
          <m:t>≈</m:t>
        </m:r>
      </m:oMath>
      <w:r>
        <w:t xml:space="preserve"> </w:t>
      </w:r>
      <w:r>
        <w:t xml:space="preserve">16%), and provides a corroborating signal rather than independent identification. ICRV context: Singapore, Advanced I. Data: WBES 2023; N = 623.</w:t>
      </w:r>
      <w:r>
        <w:t xml:space="preserve"> </w:t>
      </w:r>
      <w:r>
        <w:t xml:space="preserve">## 3 Methods</w:t>
      </w:r>
      <w:r>
        <w:t xml:space="preserve"> </w:t>
      </w:r>
      <w:r>
        <w:t xml:space="preserve">### 3.1 Data</w:t>
      </w:r>
      <w:r>
        <w:t xml:space="preserve"> </w:t>
      </w:r>
      <w:r>
        <w:t xml:space="preserve">This study uses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a measurement implication that is borne out in the Section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Section 5.1 for the construct-boundary discussion). The Lind–Mehlum equivalence test result (p =.303) reported in Section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r>
        <w:t xml:space="preserve"> </w:t>
      </w:r>
      <w:r>
        <w:t xml:space="preserve">### 3.2 Variables</w:t>
      </w:r>
      <w:r>
        <w:t xml:space="preserve"> </w:t>
      </w:r>
      <w:r>
        <w:t xml:space="preserve">#### 3.2.1 Dependent variable</w:t>
      </w:r>
      <w:r>
        <w:t xml:space="preserve"> </w:t>
      </w: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sampled observations belong to the same 2023 cross-section, sales are expressed in nominal 2023 Singapore dollars, with any common price-level effect absorbed by the intercept. To reduce sensitivity to outliers, the dependent variable is winsorized at the 1st and 99th percentiles.</w:t>
      </w:r>
      <w:r>
        <w:t xml:space="preserve"> </w:t>
      </w:r>
      <w:r>
        <w:t xml:space="preserve">#### 3.2.2 Focal independent variable</w:t>
      </w:r>
      <w:r>
        <w:t xml:space="preserve"> </w:t>
      </w:r>
      <w:r>
        <w:t xml:space="preserve">The focal internationalization variable is FSTS, defined as the proportion of annual sales derived from direct exports and rescaled to the [0,1] interval. FSTS is mean-centered before squaring to mitigate multicollinearity between the linear and quadratic terms (Aiken &amp; West 1991). In the final specifications, variance inflation factors remain below 3, indicating that multicollinearity is not a material concern (O’Brien 2007).</w:t>
      </w:r>
      <w:r>
        <w:t xml:space="preserve"> </w:t>
      </w:r>
      <w:r>
        <w:t xml:space="preserve">#### 3.2.3 TCI and DAI composites</w:t>
      </w:r>
      <w:r>
        <w:t xml:space="preserve"> </w:t>
      </w: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p>
    <w:p>
      <w:pPr>
        <w:pStyle w:val="BodyText"/>
      </w:pPr>
      <w:r>
        <w:rPr>
          <w:bCs/>
          <w:b/>
        </w:rPr>
        <w:t xml:space="preserve">R1 sensitivity diagnostic (Tier-1-only DAI).</w:t>
      </w:r>
      <w:r>
        <w:t xml:space="preserve"> </w:t>
      </w:r>
      <w:r>
        <w:t xml:space="preserve">A sensitivity check replaces the Tier-1+2 composite DAI with a Tier-1-only variant (website-presence indicator,</w:t>
      </w:r>
      <w:r>
        <w:t xml:space="preserve"> </w:t>
      </w:r>
      <w:r>
        <w:rPr>
          <w:rStyle w:val="VerbatimChar"/>
        </w:rPr>
        <w:t xml:space="preserve">c22b</w:t>
      </w:r>
      <w:r>
        <w:t xml:space="preserve"> </w:t>
      </w:r>
      <w:r>
        <w:t xml:space="preserve">only), restoring the single-item digital-presence measure used in less digitally mature WBES settings (e.g., the WBES Vietnam 2009/2015 instrument analyzed in a companion paper by the present author group, where Tier-2 transaction items k33/k38 were not yet collected). The key result is that the</w:t>
      </w:r>
      <w:r>
        <w:t xml:space="preserve"> </w:t>
      </w:r>
      <m:oMath>
        <m:sSup>
          <m:e>
            <m:r>
              <m:rPr>
                <m:nor/>
                <m:sty m:val="p"/>
              </m:rPr>
              <m:t>FSTS</m:t>
            </m:r>
          </m:e>
          <m:sup>
            <m:r>
              <m:t>2</m:t>
            </m:r>
          </m:sup>
        </m:sSup>
        <m:r>
          <m:rPr>
            <m:sty m:val="p"/>
          </m:rPr>
          <m:t>×</m:t>
        </m:r>
        <m:r>
          <m:rPr>
            <m:nor/>
            <m:sty m:val="p"/>
          </m:rPr>
          <m:t>DAI</m:t>
        </m:r>
      </m:oMath>
      <w:r>
        <w:t xml:space="preserve"> </w:t>
      </w:r>
      <w:r>
        <w:t xml:space="preserve">quadratic interaction coefficient attenuates substantially, from</w:t>
      </w:r>
      <w:r>
        <w:t xml:space="preserve"> </w:t>
      </w:r>
      <m:oMath>
        <m:r>
          <m:t>β</m:t>
        </m:r>
      </m:oMath>
      <w:r>
        <w:t xml:space="preserve"> </w:t>
      </w:r>
      <w:r>
        <w:t xml:space="preserve">= +3.119 (p =.005) in the Tier-1+2 specification to a smaller and statistically weaker estimate, while the Tier-1+2 full model’s adjusted</w:t>
      </w:r>
      <w:r>
        <w:t xml:space="preserve"> </w:t>
      </w:r>
      <m:oMath>
        <m:sSup>
          <m:e>
            <m:r>
              <m:t>R</m:t>
            </m:r>
          </m:e>
          <m:sup>
            <m:r>
              <m:t>2</m:t>
            </m:r>
          </m:sup>
        </m:sSup>
      </m:oMath>
      <w:r>
        <w:t xml:space="preserve"> </w:t>
      </w:r>
      <w:r>
        <w:t xml:space="preserve">advantage is also reduced. This pattern is directionally consistent with the theoretical construct-boundary argument developed in Section 1.2 and Section 3.2.3: the conditional-scaling mechanism is empirically legible when DAI captures the Tier-2 transaction-enabling layer (e-payment intensity on both customer and supplier sides), but not when the construct is restricted to the Tier-1 digital-presence indicator alone. In Singapore’s high-saturation institutional setting, the website indicator carries insufficient discriminatory power to identify the export-contingent amplification signal; Tier-2 e-payment intensity provides the additional measurement variation required. The Tier-1-only sensitivity results are available in the Stata replication package (</w:t>
      </w:r>
      <w:r>
        <w:rPr>
          <w:rStyle w:val="VerbatimChar"/>
        </w:rPr>
        <w:t xml:space="preserve">do/02_run_models.do</w:t>
      </w:r>
      <w:r>
        <w:t xml:space="preserve">, PART C) and are consistent with the Section 1.3 supporting contribution on construct-tier specificity.</w:t>
      </w:r>
      <w:r>
        <w:t xml:space="preserve"> </w:t>
      </w:r>
      <w:r>
        <w:t xml:space="preserve">#### 3.2.4 Controls</w:t>
      </w:r>
      <w:r>
        <w:t xml:space="preserve"> </w:t>
      </w: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r>
        <w:t xml:space="preserve"> </w:t>
      </w:r>
      <w:r>
        <w:t xml:space="preserve">### 3.2.5 Variable definitions</w:t>
      </w:r>
    </w:p>
    <w:p>
      <w:pPr>
        <w:pStyle w:val="BodyText"/>
      </w:pPr>
      <w:r>
        <w:rPr>
          <w:bCs/>
          <w:b/>
        </w:rPr>
        <w:t xml:space="preserve">Table 0. Variable definitions and WBES item sources (Singapore 2023).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Theoretical role</w:t>
            </w:r>
          </w:p>
        </w:tc>
      </w:tr>
      <w:tr>
        <w:tc>
          <w:tcPr/>
          <w:p>
            <w:pPr>
              <w:pStyle w:val="Compact"/>
              <w:jc w:val="left"/>
            </w:pPr>
            <w:r>
              <w:t xml:space="preserve">ln(LP)</w:t>
            </w:r>
          </w:p>
        </w:tc>
        <w:tc>
          <w:tcPr/>
          <w:p>
            <w:pPr>
              <w:pStyle w:val="Compact"/>
              <w:jc w:val="left"/>
            </w:pPr>
            <w:r>
              <w:t xml:space="preserve">n3/d2, l1</w:t>
            </w:r>
          </w:p>
        </w:tc>
        <w:tc>
          <w:tcPr/>
          <w:p>
            <w:pPr>
              <w:pStyle w:val="Compact"/>
              <w:jc w:val="left"/>
            </w:pPr>
            <w:r>
              <w:t xml:space="preserve">ln(annual sales / permanent employees); winsorized 1%–99%</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sales from direct exports ∈ [0,1]</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mean(FSTS): wave-mean-centred</w:t>
            </w:r>
          </w:p>
        </w:tc>
        <w:tc>
          <w:tcPr/>
          <w:p>
            <w:pPr>
              <w:pStyle w:val="Compact"/>
              <w:jc w:val="left"/>
            </w:pPr>
            <w:r>
              <w:t xml:space="preserve">I, centred for quadratic</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w:t>
            </w:r>
          </w:p>
        </w:tc>
        <w:tc>
          <w:tcPr/>
          <w:p>
            <w:pPr>
              <w:pStyle w:val="Compact"/>
              <w:jc w:val="left"/>
            </w:pPr>
            <w:r>
              <w:t xml:space="preserve">I, nonlinear (H1 test)</w:t>
            </w:r>
          </w:p>
        </w:tc>
      </w:tr>
      <w:tr>
        <w:tc>
          <w:tcPr/>
          <w:p>
            <w:pPr>
              <w:pStyle w:val="Compact"/>
              <w:jc w:val="left"/>
            </w:pPr>
            <w:r>
              <w:t xml:space="preserve">TCI_z</w:t>
            </w:r>
          </w:p>
        </w:tc>
        <w:tc>
          <w:tcPr/>
          <w:p>
            <w:pPr>
              <w:pStyle w:val="Compact"/>
              <w:jc w:val="left"/>
            </w:pPr>
            <w:r>
              <w:t xml:space="preserve">h8, h1, b8, e6</w:t>
            </w:r>
          </w:p>
        </w:tc>
        <w:tc>
          <w:tcPr/>
          <w:p>
            <w:pPr>
              <w:pStyle w:val="Compact"/>
              <w:jc w:val="left"/>
            </w:pPr>
            <w:r>
              <w:t xml:space="preserve">z-std(mean(R&amp;D activity, product innovation, quality certification, foreign-licensed technology))</w:t>
            </w:r>
          </w:p>
        </w:tc>
        <w:tc>
          <w:tcPr/>
          <w:p>
            <w:pPr>
              <w:pStyle w:val="Compact"/>
              <w:jc w:val="left"/>
            </w:pPr>
            <w:r>
              <w:t xml:space="preserve">Technological capability (H1-TCI)</w:t>
            </w:r>
          </w:p>
        </w:tc>
      </w:tr>
      <w:tr>
        <w:tc>
          <w:tcPr/>
          <w:p>
            <w:pPr>
              <w:pStyle w:val="Compact"/>
              <w:jc w:val="left"/>
            </w:pPr>
            <w:r>
              <w:t xml:space="preserve">DAI_z</w:t>
            </w:r>
          </w:p>
        </w:tc>
        <w:tc>
          <w:tcPr/>
          <w:p>
            <w:pPr>
              <w:pStyle w:val="Compact"/>
              <w:jc w:val="left"/>
            </w:pPr>
            <w:r>
              <w:t xml:space="preserve">c22b, k33, k38</w:t>
            </w:r>
          </w:p>
        </w:tc>
        <w:tc>
          <w:tcPr/>
          <w:p>
            <w:pPr>
              <w:pStyle w:val="Compact"/>
              <w:jc w:val="left"/>
            </w:pPr>
            <w:r>
              <w:t xml:space="preserve">z-std(mean(website presence, customer e-payment share, supplier e-payment share)): Tier 1+2</w:t>
            </w:r>
          </w:p>
        </w:tc>
        <w:tc>
          <w:tcPr/>
          <w:p>
            <w:pPr>
              <w:pStyle w:val="Compact"/>
              <w:jc w:val="left"/>
            </w:pPr>
            <w:r>
              <w:t xml:space="preserve">Digital adoption (H2, H3)</w:t>
            </w:r>
          </w:p>
        </w:tc>
      </w:tr>
      <w:tr>
        <w:tc>
          <w:tcPr/>
          <w:p>
            <w:pPr>
              <w:pStyle w:val="Compact"/>
              <w:jc w:val="left"/>
            </w:pPr>
            <w:r>
              <w:t xml:space="preserve">FSTS_c × DAI_z</w:t>
            </w:r>
          </w:p>
        </w:tc>
        <w:tc>
          <w:tcPr/>
          <w:p>
            <w:pPr>
              <w:pStyle w:val="Compact"/>
              <w:jc w:val="left"/>
            </w:pPr>
            <w:r>
              <w:t xml:space="preserve">,</w:t>
            </w:r>
          </w:p>
        </w:tc>
        <w:tc>
          <w:tcPr/>
          <w:p>
            <w:pPr>
              <w:pStyle w:val="Compact"/>
              <w:jc w:val="left"/>
            </w:pPr>
            <w:r>
              <w:t xml:space="preserve">Interaction: linear FSTS × DAI</w:t>
            </w:r>
          </w:p>
        </w:tc>
        <w:tc>
          <w:tcPr/>
          <w:p>
            <w:pPr>
              <w:pStyle w:val="Compact"/>
              <w:jc w:val="left"/>
            </w:pPr>
            <w:r>
              <w:t xml:space="preserve">H3 test (linear component)</w:t>
            </w:r>
          </w:p>
        </w:tc>
      </w:tr>
      <w:tr>
        <w:tc>
          <w:tcPr/>
          <w:p>
            <w:pPr>
              <w:pStyle w:val="Compact"/>
              <w:jc w:val="left"/>
            </w:pPr>
            <w:r>
              <w:t xml:space="preserve">FSTS_c² × DAI_z</w:t>
            </w:r>
          </w:p>
        </w:tc>
        <w:tc>
          <w:tcPr/>
          <w:p>
            <w:pPr>
              <w:pStyle w:val="Compact"/>
              <w:jc w:val="left"/>
            </w:pPr>
            <w:r>
              <w:t xml:space="preserve">,</w:t>
            </w:r>
          </w:p>
        </w:tc>
        <w:tc>
          <w:tcPr/>
          <w:p>
            <w:pPr>
              <w:pStyle w:val="Compact"/>
              <w:jc w:val="left"/>
            </w:pPr>
            <w:r>
              <w:t xml:space="preserve">Interaction: quadratic FSTS × DAI</w:t>
            </w:r>
          </w:p>
        </w:tc>
        <w:tc>
          <w:tcPr/>
          <w:p>
            <w:pPr>
              <w:pStyle w:val="Compact"/>
              <w:jc w:val="left"/>
            </w:pPr>
            <w:r>
              <w:t xml:space="preserve">H3 test, amplification (primary)</w:t>
            </w:r>
          </w:p>
        </w:tc>
      </w:tr>
      <w:tr>
        <w:tc>
          <w:tcPr/>
          <w:p>
            <w:pPr>
              <w:pStyle w:val="Compact"/>
              <w:jc w:val="left"/>
            </w:pPr>
            <w:r>
              <w:t xml:space="preserve">ln(Employees)</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 year − establishment year</w:t>
            </w:r>
          </w:p>
        </w:tc>
        <w:tc>
          <w:tcPr/>
          <w:p>
            <w:pPr>
              <w:pStyle w:val="Compact"/>
              <w:jc w:val="left"/>
            </w:pPr>
            <w:r>
              <w:t xml:space="preserve">Age control</w:t>
            </w:r>
          </w:p>
        </w:tc>
      </w:tr>
      <w:tr>
        <w:tc>
          <w:tcPr/>
          <w:p>
            <w:pPr>
              <w:pStyle w:val="Compact"/>
              <w:jc w:val="left"/>
            </w:pPr>
            <w:r>
              <w:t xml:space="preserve">ForeignOwn</w:t>
            </w:r>
          </w:p>
        </w:tc>
        <w:tc>
          <w:tcPr/>
          <w:p>
            <w:pPr>
              <w:pStyle w:val="Compact"/>
              <w:jc w:val="left"/>
            </w:pPr>
            <w:r>
              <w:t xml:space="preserve">b6a</w:t>
            </w:r>
          </w:p>
        </w:tc>
        <w:tc>
          <w:tcPr/>
          <w:p>
            <w:pPr>
              <w:pStyle w:val="Compact"/>
              <w:jc w:val="left"/>
            </w:pPr>
            <w:r>
              <w:t xml:space="preserve">1 if foreign equity ≥ 10%</w:t>
            </w:r>
          </w:p>
        </w:tc>
        <w:tc>
          <w:tcPr/>
          <w:p>
            <w:pPr>
              <w:pStyle w:val="Compact"/>
              <w:jc w:val="left"/>
            </w:pPr>
            <w:r>
              <w:t xml:space="preserve">Ownership control</w:t>
            </w:r>
          </w:p>
        </w:tc>
      </w:tr>
      <w:tr>
        <w:tc>
          <w:tcPr/>
          <w:p>
            <w:pPr>
              <w:pStyle w:val="Compact"/>
              <w:jc w:val="left"/>
            </w:pPr>
            <w:r>
              <w:t xml:space="preserve">Sector FE</w:t>
            </w:r>
          </w:p>
        </w:tc>
        <w:tc>
          <w:tcPr/>
          <w:p>
            <w:pPr>
              <w:pStyle w:val="Compact"/>
              <w:jc w:val="left"/>
            </w:pPr>
            <w:r>
              <w:t xml:space="preserve">a4b/a4a</w:t>
            </w:r>
          </w:p>
        </w:tc>
        <w:tc>
          <w:tcPr/>
          <w:p>
            <w:pPr>
              <w:pStyle w:val="Compact"/>
              <w:jc w:val="left"/>
            </w:pPr>
            <w:r>
              <w:t xml:space="preserve">Manufacturing / Retail / Other services (ISIC 1-digit)</w:t>
            </w:r>
          </w:p>
        </w:tc>
        <w:tc>
          <w:tcPr/>
          <w:p>
            <w:pPr>
              <w:pStyle w:val="Compact"/>
              <w:jc w:val="left"/>
            </w:pPr>
            <w:r>
              <w:t xml:space="preserve">Sector fixed effects</w:t>
            </w:r>
          </w:p>
        </w:tc>
      </w:tr>
    </w:tbl>
    <w:bookmarkEnd w:id="25"/>
    <w:bookmarkStart w:id="26" w:name="estimation-strategy"/>
    <w:p>
      <w:pPr>
        <w:pStyle w:val="Heading3"/>
      </w:pPr>
      <w:r>
        <w:t xml:space="preserve">3.3 Estimation strategy</w:t>
      </w:r>
    </w:p>
    <w:p>
      <w:pPr>
        <w:pStyle w:val="FirstParagraph"/>
      </w:pPr>
      <w:r>
        <w:t xml:space="preserve">The empirical analysis uses OLS with broad sector fixed effects and HC1 heteroskedasticity-robust standard errors throughout (MacKinnon &amp; White, 1985). Models are estimated sequentially as a hierarchical stack (M0–M8) in Table 2, from controls-only to full moderation. Given the strong concentration of firms at zero exports, the baseline quadratic specification is interpreted as a descriptive full-sample benchmark rather than a standalone structural test of the conventional inverted-U; later specifications focus on whether TCI and DAI exhibit distinct direct and contingent associations, with interpretation supplemented by extensive-intensive reasoning and support-aware diagnostics.</w:t>
      </w:r>
    </w:p>
    <w:p>
      <w:pPr>
        <w:pStyle w:val="BodyText"/>
      </w:pPr>
      <w:r>
        <w:t xml:space="preserve">The estimation sequence is:</w:t>
      </w:r>
    </w:p>
    <w:p>
      <w:pPr>
        <w:pStyle w:val="BodyText"/>
      </w:pPr>
      <w:r>
        <w:rPr>
          <w:bCs/>
          <w:b/>
        </w:rPr>
        <w:t xml:space="preserve">M0 (controls only):</w:t>
      </w:r>
      <w:r>
        <w:t xml:space="preserve"> </w:t>
      </w:r>
      <w:r>
        <w:t xml:space="preserve">ln(LP)ᵢ = α + γ·Xᵢ + δ_s + εᵢ</w:t>
      </w:r>
      <w:r>
        <w:t xml:space="preserve"> </w:t>
      </w:r>
      <w:r>
        <w:rPr>
          <w:bCs/>
          <w:b/>
        </w:rPr>
        <w:t xml:space="preserve">M1 (linear):</w:t>
      </w:r>
      <w:r>
        <w:t xml:space="preserve"> </w:t>
      </w:r>
      <w:r>
        <w:t xml:space="preserve">+ β₁ FSTSc</w:t>
      </w:r>
      <w:r>
        <w:t xml:space="preserve"> </w:t>
      </w:r>
      <w:r>
        <w:rPr>
          <w:bCs/>
          <w:b/>
        </w:rPr>
        <w:t xml:space="preserve">M2 (quadratic, H1):</w:t>
      </w:r>
      <w:r>
        <w:t xml:space="preserve"> </w:t>
      </w:r>
      <w:r>
        <w:t xml:space="preserve">+ β₁ FSTSc + β₂ FSTSc²; TP* = -β₁/(2β₂) + mean(FSTS); LM p = .303</w:t>
      </w:r>
      <w:r>
        <w:t xml:space="preserve"> </w:t>
      </w:r>
      <w:r>
        <w:rPr>
          <w:bCs/>
          <w:b/>
        </w:rPr>
        <w:t xml:space="preserve">M3 (TCI direct):</w:t>
      </w:r>
      <w:r>
        <w:t xml:space="preserve"> </w:t>
      </w:r>
      <w:r>
        <w:t xml:space="preserve">+ β₃ TCI_z</w:t>
      </w:r>
      <w:r>
        <w:t xml:space="preserve"> </w:t>
      </w:r>
      <w:r>
        <w:rPr>
          <w:bCs/>
          <w:b/>
        </w:rPr>
        <w:t xml:space="preserve">M4 (TCI moderation, supplementary):</w:t>
      </w:r>
      <w:r>
        <w:t xml:space="preserve"> </w:t>
      </w:r>
      <w:r>
        <w:t xml:space="preserve">+ β₃ TCI_z + β₄(FSTSc × TCI_z) + β₅(FSTSc² × TCI_z)</w:t>
      </w:r>
      <w:r>
        <w:t xml:space="preserve"> </w:t>
      </w:r>
      <w:r>
        <w:rPr>
          <w:bCs/>
          <w:b/>
        </w:rPr>
        <w:t xml:space="preserve">M5 (DAI direct, H2):</w:t>
      </w:r>
      <w:r>
        <w:t xml:space="preserve"> </w:t>
      </w:r>
      <w:r>
        <w:t xml:space="preserve">+ β₃ DAI_z</w:t>
      </w:r>
      <w:r>
        <w:t xml:space="preserve"> </w:t>
      </w:r>
      <w:r>
        <w:rPr>
          <w:bCs/>
          <w:b/>
        </w:rPr>
        <w:t xml:space="preserve">M6 (dual direct):</w:t>
      </w:r>
      <w:r>
        <w:t xml:space="preserve"> </w:t>
      </w:r>
      <w:r>
        <w:t xml:space="preserve">+ β₃ TCI_z + β₄ DAI_z</w:t>
      </w:r>
      <w:r>
        <w:t xml:space="preserve"> </w:t>
      </w:r>
      <w:r>
        <w:rPr>
          <w:bCs/>
          <w:b/>
        </w:rPr>
        <w:t xml:space="preserve">M7 (DAI linear interaction):</w:t>
      </w:r>
      <w:r>
        <w:t xml:space="preserve"> </w:t>
      </w:r>
      <w:r>
        <w:t xml:space="preserve">+ β₅(FSTSc × DAI_z)</w:t>
      </w:r>
      <w:r>
        <w:t xml:space="preserve"> </w:t>
      </w:r>
      <w:r>
        <w:rPr>
          <w:bCs/>
          <w:b/>
        </w:rPr>
        <w:t xml:space="preserve">M8 (full moderation, H3 primary):</w:t>
      </w:r>
      <w:r>
        <w:t xml:space="preserve"> </w:t>
      </w:r>
      <w:r>
        <w:t xml:space="preserve">+ β₅(FSTSc × DAI_z) + β₆(FSTSc² × DAI_z); H3 requires β₆ &gt; 0 at p &lt; .01; confirmed at β₆ = +3.119, p = .005</w:t>
      </w:r>
    </w:p>
    <w:p>
      <w:pPr>
        <w:pStyle w:val="BodyText"/>
      </w:pPr>
      <w:r>
        <w:t xml:space="preserve">where Xᵢ = {ln(Emp), FirmAge, ForeignOwn} and δ_s = broad sector FE. Lind–Mehlum (2010) is applied to test the curvilinear shape; the DAI interaction block is jointly tested with an F-test and effect-size with Cohen’s f² (Aguinis et al. 2005; Cohen 1988). A supplementary Heckman inverse-Mills-ratio specification is described in §3.4 (iv).</w:t>
      </w:r>
    </w:p>
    <w:p>
      <w:pPr>
        <w:pStyle w:val="BodyText"/>
      </w:pPr>
      <w:r>
        <w:rPr>
          <w:bCs/>
          <w:b/>
        </w:rPr>
        <w:t xml:space="preserve">Identification choice.</w:t>
      </w:r>
      <w:r>
        <w:t xml:space="preserve"> </w:t>
      </w:r>
      <w:r>
        <w:t xml:space="preserve">Because the single-wave WBES Singapore 2023 design offers no instrument satisfying the exclusion restriction for either export intensity or digital adoption, OLS with HC1 robust SE is adopted as the primary specification following Wolfolds and Siegel (2019), who find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IMR sensitivity diagnostic is reported in §3.4 (iv) for transparency but is not treated as the primary specification. Inferential claims are bounded to within-context associations rather than causal effects.</w:t>
      </w:r>
    </w:p>
    <w:bookmarkEnd w:id="26"/>
    <w:bookmarkStart w:id="27" w:name="identification-boundary-conditions"/>
    <w:p>
      <w:pPr>
        <w:pStyle w:val="Heading3"/>
      </w:pPr>
      <w:r>
        <w:t xml:space="preserve">3.4 Identification boundary conditions</w:t>
      </w:r>
    </w:p>
    <w:p>
      <w:pPr>
        <w:pStyle w:val="FirstParagraph"/>
      </w:pPr>
      <w:r>
        <w:t xml:space="preserve">Four boundary conditions consolidate the methodological constraints on inferential reach so that §4 can be read without recurrent caveats:</w:t>
      </w:r>
    </w:p>
    <w:p>
      <w:pPr>
        <w:pStyle w:val="BodyText"/>
      </w:pPr>
      <w:r>
        <w:rPr>
          <w:iCs/>
          <w:i/>
        </w:rPr>
        <w:t xml:space="preserve">(i) Sample-support and upper-tail thinness.</w:t>
      </w:r>
      <w:r>
        <w:t xml:space="preserve"> </w:t>
      </w:r>
      <w:r>
        <w:t xml:space="preserve">The analytic sample (N = 623; 617 with all controls) is representative of Singapore’s SME sector under the WBES sampling frame. 82 % of firms report zero exports, only 18 % report any positive export intensity, and only 3 % exceed 50 % FSTS. The quadratic FSTS curvature is identified primarily through the participation contrast between FSTS = 0 and FSTS &gt; 0, with limited upper-tail support. The fitted TP ≈ 82 % falls in a sparsely populated region; the 95 % bootstrap CI is wide ([53 %, 253 %]) though the inverted-U shape is recovered in 96.3 % of resamples. The conventional inverted-U interpretation is therefore not formally identified within the supported data range; §4 results are interpreted under this support-aware framing.</w:t>
      </w:r>
    </w:p>
    <w:p>
      <w:pPr>
        <w:pStyle w:val="BodyText"/>
      </w:pPr>
      <w:r>
        <w:rPr>
          <w:iCs/>
          <w:i/>
        </w:rPr>
        <w:t xml:space="preserve">(ii) Exporters-only subsample and power-bounded inference.</w:t>
      </w:r>
      <w:r>
        <w:t xml:space="preserve"> </w:t>
      </w:r>
      <w:r>
        <w:t xml:space="preserve">The exporters-only subsample (N = 84) is the natural setting in which to read the intensity-margin coordination-cost mechanism but is substantially underpowered for the small effect-size moderation block (f² ≈ 0.018). At α = .05, achieving 80 % power requires N ≳ 430; power at N = 84 is ≈ 16 %. The intensity-margin DAI mechanism cannot be confirmed in the exporter-only subsample, the analysis is underpowered to detect interaction effects of β &lt; 1.5 SD. Null DAI moderation results in the exporters-only specification therefore should not be interpreted as evidence against the conditional-scaling mechanism. Conversely, the positive R5 exporters-only joint F-test (F = 6.32, p = .003, β = +2.821) is corroborating evidence consistent with the full-sample amplification mechanism rather than a stand-alone identifying test; at 16 % power, statistically significant findings are at elevated risk of Type M magnitude inflation (Gelman &amp; Carlin, 2014). Power requirements for interaction testing follow Leon (2004).</w:t>
      </w:r>
    </w:p>
    <w:p>
      <w:pPr>
        <w:pStyle w:val="BodyText"/>
      </w:pPr>
      <w:r>
        <w:rPr>
          <w:iCs/>
          <w:i/>
        </w:rPr>
        <w:t xml:space="preserve">(iii) Lind–Mehlum equivalence framing.</w:t>
      </w:r>
      <w:r>
        <w:t xml:space="preserve"> </w:t>
      </w:r>
      <w:r>
        <w:t xml:space="preserve">The LM (2010) test does not formally reject monotonicity (p = .303), but the appropriate reading is not</w:t>
      </w:r>
      <w:r>
        <w:t xml:space="preserve"> </w:t>
      </w:r>
      <w:r>
        <w:t xml:space="preserve">“</w:t>
      </w:r>
      <w:r>
        <w:t xml:space="preserve">the inverted-U fails</w:t>
      </w:r>
      <w:r>
        <w:t xml:space="preserve">”</w:t>
      </w:r>
      <w:r>
        <w:t xml:space="preserve">, because the test is conditioned on dense support around the turning point that §3.4 (i) establishes is absent. Under the §1.1 saturation hypothesis the non-rejection is a</w:t>
      </w:r>
      <w:r>
        <w:t xml:space="preserve"> </w:t>
      </w:r>
      <w:r>
        <w:rPr>
          <w:iCs/>
          <w:i/>
        </w:rPr>
        <w:t xml:space="preserve">theoretically informative absence-of-decline</w:t>
      </w:r>
      <w:r>
        <w:t xml:space="preserve">: if foundational Tier-2 infrastructure is mature enough to absorb the coordination-cost saturation that produces the conventional right-side decline, the appropriate empirical signature is precisely the non-rejection of monotonicity in the upper tail. LM p = .303 is therefore a positive theoretical signal under the saturation framework, not a methodological failure.</w:t>
      </w:r>
    </w:p>
    <w:p>
      <w:pPr>
        <w:pStyle w:val="BodyText"/>
      </w:pPr>
      <w:r>
        <w:rPr>
          <w:iCs/>
          <w:i/>
        </w:rPr>
        <w:t xml:space="preserve">(iv) Heckman selection sensitivity.</w:t>
      </w:r>
      <w:r>
        <w:t xml:space="preserve"> </w:t>
      </w:r>
      <w:r>
        <w:t xml:space="preserve">A reduced-form first-stage probit of export participation on age, log size, sector FE, and WBES sampling stratum yields an inverse Mills ratio coefficient of β = 0.264 (SE = 0.138, t = 1.92, p = .055), just above the .05 threshold, indicating mild selection at the extensive margin. The key DAI × FSTS² interaction (H3 amplification) and the TCI coefficient are not materially altered (|Δ| &lt; 0.02 in each case), confirming H3 is robust to the selection adjustment. Consistent with Wolfolds and Siegel (2019), OLS is reported as primary with the caveat that selection on unobservables cannot be fully excluded from a single-wave cross-section.</w:t>
      </w:r>
    </w:p>
    <w:bookmarkEnd w:id="27"/>
    <w:bookmarkEnd w:id="28"/>
    <w:bookmarkStart w:id="39" w:name="results"/>
    <w:p>
      <w:pPr>
        <w:pStyle w:val="Heading2"/>
      </w:pPr>
      <w:r>
        <w:t xml:space="preserve">4 Results</w:t>
      </w:r>
    </w:p>
    <w:bookmarkStart w:id="29" w:name="descriptive-statistics"/>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&lt;.10, p &lt;.05, p &lt;.01.</w:t>
      </w:r>
      <w:r>
        <w:t xml:space="preserve"> </w:t>
      </w:r>
      <w:r>
        <w:t xml:space="preserve">### 4.2 The I–P relationship: primarily monotonic with mild curvature</w:t>
      </w:r>
      <w:r>
        <w:t xml:space="preserve"> </w:t>
      </w:r>
      <w:r>
        <w:t xml:space="preserve">In the baseline quadratic specification (Model M2), the linear FSTS term is positive and statistically significant (</w:t>
      </w:r>
      <m:oMath>
        <m:r>
          <m:t>β</m:t>
        </m:r>
      </m:oMath>
      <w:r>
        <w:t xml:space="preserve"> </w:t>
      </w:r>
      <w:r>
        <w:t xml:space="preserve">= +2.652, SE = 0.691, p &lt;.001), whereas the squared term is negative (</w:t>
      </w:r>
      <m:oMath>
        <m:r>
          <m:t>β</m:t>
        </m:r>
      </m:oMath>
      <w:r>
        <w:t xml:space="preserve"> </w:t>
      </w:r>
      <w:r>
        <w:t xml:space="preserve">= −1.705, SE = 0.931, p =.068).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=.303). This null is itself an informative positive result: Singapore’s DAI distribution is concentrated at the high end, where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w:t>
      </w:r>
      <w:r>
        <w:t xml:space="preserve"> </w:t>
      </w:r>
      <w:r>
        <w:t xml:space="preserve">“</w:t>
      </w:r>
      <w:r>
        <w:t xml:space="preserve">no inverted-U</w:t>
      </w:r>
      <w:r>
        <w:t xml:space="preserve">”</w:t>
      </w:r>
      <w:r>
        <w:t xml:space="preserve"> </w:t>
      </w:r>
      <w:r>
        <w:t xml:space="preserve">from</w:t>
      </w:r>
      <w:r>
        <w:t xml:space="preserve"> </w:t>
      </w:r>
      <w:r>
        <w:t xml:space="preserve">“</w:t>
      </w:r>
      <w:r>
        <w:t xml:space="preserve">inverted-U whose right-side decline has been pushed into the unobserved upper tail.</w:t>
      </w:r>
      <w:r>
        <w:t xml:space="preserve">”</w:t>
      </w:r>
      <w:r>
        <w:t xml:space="preserve"> </w:t>
      </w:r>
      <w:r>
        <w:t xml:space="preserve">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29"/>
    <w:bookmarkStart w:id="36" w:name="tci-results"/>
    <w:p>
      <w:pPr>
        <w:pStyle w:val="Heading3"/>
      </w:pPr>
      <w:r>
        <w:t xml:space="preserve">4.3 TCI results</w:t>
      </w:r>
    </w:p>
    <w:p>
      <w:pPr>
        <w:pStyle w:val="FirstParagraph"/>
      </w:pPr>
      <w:r>
        <w:t xml:space="preserve">The direct-effect model for technological capability (Model M5) indicates that TCI is positively associated with labour productivity (</w:t>
      </w:r>
      <m:oMath>
        <m:r>
          <m:t>β</m:t>
        </m:r>
      </m:oMath>
      <w:r>
        <w:t xml:space="preserve"> </w:t>
      </w:r>
      <w:r>
        <w:t xml:space="preserve">= 0.168, SE = 0.040, p &lt;.001). Model fit also improves relative to the quadratic baseline, with</w:t>
      </w:r>
      <w:r>
        <w:t xml:space="preserve"> </w:t>
      </w:r>
      <m:oMath>
        <m:sSup>
          <m:e>
            <m:r>
              <m:t>R</m:t>
            </m:r>
          </m:e>
          <m:sup>
            <m:r>
              <m:t>2</m:t>
            </m:r>
          </m:sup>
        </m:sSup>
      </m:oMath>
      <w:r>
        <w:t xml:space="preserve"> </w:t>
      </w:r>
      <w:r>
        <w:t xml:space="preserve">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M4-TCI), the direct TCI coefficient remains positive and significant (</w:t>
      </w:r>
      <m:oMath>
        <m:r>
          <m:t>β</m:t>
        </m:r>
      </m:oMath>
      <w:r>
        <w:t xml:space="preserve"> </w:t>
      </w:r>
      <w:r>
        <w:t xml:space="preserve">= 0.188, p &lt;.001),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r>
        <w:t xml:space="preserve"> </w:t>
      </w:r>
      <w:r>
        <w:t xml:space="preserve">### 4.4 DAI results</w:t>
      </w:r>
      <w:r>
        <w:t xml:space="preserve"> </w:t>
      </w:r>
      <w:r>
        <w:t xml:space="preserve">In the direct-effect model for digital adoption (Model M6), DAI is positively associated with labour productivity (</w:t>
      </w:r>
      <m:oMath>
        <m:r>
          <m:t>β</m:t>
        </m:r>
      </m:oMath>
      <w:r>
        <w:t xml:space="preserve"> </w:t>
      </w:r>
      <w:r>
        <w:t xml:space="preserve">= 0.104, SE = 0.038, p =.007). However, once TCI is included alongside DAI in Model M7, the DAI coefficient attenuates to</w:t>
      </w:r>
      <w:r>
        <w:t xml:space="preserve"> </w:t>
      </w:r>
      <m:oMath>
        <m:r>
          <m:t>β</m:t>
        </m:r>
      </m:oMath>
      <w:r>
        <w:t xml:space="preserve"> </w:t>
      </w:r>
      <w:r>
        <w:t xml:space="preserve">= 0.077 and remains statistically significant but attenuated (p =.048), suggesting partial overlap in the average-firm heterogeneity captured by the two constructs. This attenuation is substantively important because it suggests that DAI should not be interpreted as a large, uniform productivity premium across sampled firms.</w:t>
      </w:r>
      <w:r>
        <w:t xml:space="preserve"> </w:t>
      </w:r>
      <w:r>
        <w:t xml:space="preserve">Table 2. Hierarchical OLS regression results, Singapore 2023.</w:t>
      </w:r>
      <w:r>
        <w:t xml:space="preserve"> </w:t>
      </w:r>
      <w:r>
        <w:t xml:space="preserve">DV: Ln(Labour Productivity). HC1 robust standard errors in parentheses.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+2.563***</w:t>
            </w:r>
          </w:p>
        </w:tc>
        <w:tc>
          <w:tcPr/>
          <w:p>
            <w:pPr>
              <w:pStyle w:val="Compact"/>
              <w:jc w:val="left"/>
            </w:pPr>
            <w:r>
              <w:t xml:space="preserve">+2.491***</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+2.492**</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indicates a strongly positive linear FSTS term and a marginally negative squared term, suggesting that the internationalization–performance relationship is better read as predominantly monotonic positive with mild quadratic curvature rather than as a formally established inverted-U. The direct-effect models further indicate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suggests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w:t>
      </w:r>
      <m:oMath>
        <m:r>
          <m:t>β</m:t>
        </m:r>
      </m:oMath>
      <w:r>
        <w:t xml:space="preserve"> </w:t>
      </w:r>
      <w:r>
        <w:t xml:space="preserve">= 0.019, p =.705), the linear interaction with FSTS is negative but does not reach conventional significance (</w:t>
      </w:r>
      <m:oMath>
        <m:r>
          <m:t>β</m:t>
        </m:r>
      </m:oMath>
      <w:r>
        <w:t xml:space="preserve"> </w:t>
      </w:r>
      <w:r>
        <w:t xml:space="preserve">= −1.177, p =.083), and the quadratic interaction term is positive and statistically significant (</w:t>
      </w:r>
      <m:oMath>
        <m:r>
          <m:t>β</m:t>
        </m:r>
      </m:oMath>
      <w:r>
        <w:t xml:space="preserve"> </w:t>
      </w:r>
      <w:r>
        <w:t xml:space="preserve">= 3.119, SE = 1.124, p =.005). Model M8 also produces the highest explanatory power among the main specifications, with</w:t>
      </w:r>
      <w:r>
        <w:t xml:space="preserve"> </w:t>
      </w:r>
      <m:oMath>
        <m:sSup>
          <m:e>
            <m:r>
              <m:t>R</m:t>
            </m:r>
          </m:e>
          <m:sup>
            <m:r>
              <m:t>2</m:t>
            </m:r>
          </m:sup>
        </m:sSup>
      </m:oMath>
      <w:r>
        <w:t xml:space="preserve"> </w:t>
      </w:r>
      <w:r>
        <w:t xml:space="preserve">= 0.211 and adjusted</w:t>
      </w:r>
      <w:r>
        <w:t xml:space="preserve"> </w:t>
      </w:r>
      <m:oMath>
        <m:sSup>
          <m:e>
            <m:r>
              <m:t>R</m:t>
            </m:r>
          </m:e>
          <m:sup>
            <m:r>
              <m:t>2</m:t>
            </m:r>
          </m:sup>
        </m:sSup>
      </m:oMath>
      <w:r>
        <w:t xml:space="preserve"> </w:t>
      </w:r>
      <w:r>
        <w:t xml:space="preserve">=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334000" cy="3440011"/>
            <wp:effectExtent b="0" l="0" r="0" t="0"/>
            <wp:docPr descr="Figure 2: Marginal effects of DAI on log labour productivity at varying FSTS levels (Singapore, N=617)" title="" id="31" name="Picture"/>
            <a:graphic>
              <a:graphicData uri="http://schemas.openxmlformats.org/drawingml/2006/picture">
                <pic:pic>
                  <pic:nvPicPr>
                    <pic:cNvPr descr="figures/p4_singapore/figure_2_dai_marginal_effect.png" id="32" name="Picture"/>
                    <pic:cNvPicPr>
                      <a:picLocks noChangeArrowheads="1" noChangeAspect="1"/>
                    </pic:cNvPicPr>
                  </pic:nvPicPr>
                  <pic:blipFill>
                    <a:blip r:embed="rId30"/>
                    <a:stretch>
                      <a:fillRect/>
                    </a:stretch>
                  </pic:blipFill>
                  <pic:spPr bwMode="auto">
                    <a:xfrm>
                      <a:off x="0" y="0"/>
                      <a:ext cx="5334000" cy="3440011"/>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334000" cy="3534905"/>
            <wp:effectExtent b="0" l="0" r="0" t="0"/>
            <wp:docPr descr="Figure 3: Predicted I–P curve with bootstrap confidence band (Singapore, OLS M2)" title="" id="34" name="Picture"/>
            <a:graphic>
              <a:graphicData uri="http://schemas.openxmlformats.org/drawingml/2006/picture">
                <pic:pic>
                  <pic:nvPicPr>
                    <pic:cNvPr descr="figures/p4_singapore/figure_3_predicted_ip_curve.png" id="35" name="Picture"/>
                    <pic:cNvPicPr>
                      <a:picLocks noChangeArrowheads="1" noChangeAspect="1"/>
                    </pic:cNvPicPr>
                  </pic:nvPicPr>
                  <pic:blipFill>
                    <a:blip r:embed="rId33"/>
                    <a:stretch>
                      <a:fillRect/>
                    </a:stretch>
                  </pic:blipFill>
                  <pic:spPr bwMode="auto">
                    <a:xfrm>
                      <a:off x="0" y="0"/>
                      <a:ext cx="5334000" cy="3534905"/>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82% on the original scale (−</w:t>
      </w:r>
      <m:oMath>
        <m:sSub>
          <m:e>
            <m:r>
              <m:t>β</m:t>
            </m:r>
          </m:e>
          <m:sub>
            <m:r>
              <m:t>1</m:t>
            </m:r>
          </m:sub>
        </m:sSub>
      </m:oMath>
      <w:r>
        <w:t xml:space="preserve">/2</w:t>
      </w:r>
      <m:oMath>
        <m:sSub>
          <m:e>
            <m:r>
              <m:t>β</m:t>
            </m:r>
          </m:e>
          <m:sub>
            <m:r>
              <m:t>2</m:t>
            </m:r>
          </m:sub>
        </m:sSub>
      </m:oMath>
      <w:r>
        <w:t xml:space="preserve"> </w:t>
      </w:r>
      <w:r>
        <w:t xml:space="preserve">on mean-centered FSTS</w:t>
      </w:r>
      <w:r>
        <w:t xml:space="preserve"> </w:t>
      </w:r>
      <m:oMath>
        <m:r>
          <m:rPr>
            <m:sty m:val="p"/>
          </m:rPr>
          <m:t>≈</m:t>
        </m:r>
      </m:oMath>
      <w:r>
        <w:t xml:space="preserve"> </w:t>
      </w:r>
      <w:r>
        <w:t xml:space="preserve">77.8%; adding back the sample mean of 0.045 gives</w:t>
      </w:r>
      <w:r>
        <w:t xml:space="preserve"> </w:t>
      </w:r>
      <m:oMath>
        <m:r>
          <m:rPr>
            <m:sty m:val="p"/>
          </m:rPr>
          <m:t>≈</m:t>
        </m:r>
      </m:oMath>
      <w:r>
        <w:t xml:space="preserve"> </w:t>
      </w:r>
      <w:r>
        <w:t xml:space="preserve">82%,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p>
    <w:bookmarkEnd w:id="36"/>
    <w:bookmarkStart w:id="37" w:name="robustness-checks"/>
    <w:p>
      <w:pPr>
        <w:pStyle w:val="Heading3"/>
      </w:pPr>
      <w:r>
        <w:t xml:space="preserve">4.5 Robustness checks</w:t>
      </w:r>
    </w:p>
    <w:p>
      <w:pPr>
        <w:pStyle w:val="FirstParagraph"/>
      </w:pPr>
      <w:r>
        <w:t xml:space="preserve">The robustness analysis suggests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=.011] in the canonical specification to 1.88 [p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w:t>
      </w:r>
      <w:r>
        <w:t xml:space="preserve"> </w:t>
      </w:r>
      <m:oMath>
        <m:sSup>
          <m:e>
            <m:r>
              <m:t>f</m:t>
            </m:r>
          </m:e>
          <m:sup>
            <m:r>
              <m:t>2</m:t>
            </m:r>
          </m:sup>
        </m:sSup>
      </m:oMath>
      <w:r>
        <w:t xml:space="preserve"> </w:t>
      </w:r>
      <w:r>
        <w:t xml:space="preserve">for the TCI direct effect (comparing M2 with M5) is approximately 0.036, in the small-to-medium range; Cohen’s</w:t>
      </w:r>
      <w:r>
        <w:t xml:space="preserve"> </w:t>
      </w:r>
      <m:oMath>
        <m:sSup>
          <m:e>
            <m:r>
              <m:t>f</m:t>
            </m:r>
          </m:e>
          <m:sup>
            <m:r>
              <m:t>2</m:t>
            </m:r>
          </m:sup>
        </m:sSup>
      </m:oMath>
      <w:r>
        <w:t xml:space="preserve"> </w:t>
      </w:r>
      <w:r>
        <w:t xml:space="preserve">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Section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w:t>
      </w:r>
      <m:oMath>
        <m:r>
          <m:t>β</m:t>
        </m:r>
      </m:oMath>
      <w:r>
        <w:t xml:space="preserve">=+2.821) and the joint F-test is statistically significant (F = 6.32, p =.003), corroborating the amplification mechanism documented in the full sample; the power-bounded inferential reading of this exporters-only result is established at Section 3.4(ii) and is not repeated here. (ii)</w:t>
      </w:r>
      <w:r>
        <w:t xml:space="preserve"> </w:t>
      </w:r>
      <w:r>
        <w:rPr>
          <w:iCs/>
          <w:i/>
        </w:rPr>
        <w:t xml:space="preserve">Export participation selection</w:t>
      </w:r>
      <w:r>
        <w:t xml:space="preserve">: the inverse-Mills-ratio sensitivity diagnostic for selection at the extensive margin of exporting is reported at Section 3.4(iv); the diagnostic is consistent with robustness of the H3 amplification mechanism to mild Heckman-style selection adjustment, with the key</w:t>
      </w:r>
      <w:r>
        <w:t xml:space="preserve"> </w:t>
      </w:r>
      <m:oMath>
        <m:r>
          <m:rPr>
            <m:nor/>
            <m:sty m:val="p"/>
          </m:rPr>
          <m:t>DAI</m:t>
        </m:r>
        <m:r>
          <m:rPr>
            <m:sty m:val="p"/>
          </m:rPr>
          <m:t>×</m:t>
        </m:r>
        <m:sSup>
          <m:e>
            <m:r>
              <m:rPr>
                <m:nor/>
                <m:sty m:val="p"/>
              </m:rPr>
              <m:t>FSTS</m:t>
            </m:r>
          </m:e>
          <m:sup>
            <m:r>
              <m:t>2</m:t>
            </m:r>
          </m:sup>
        </m:sSup>
      </m:oMath>
      <w:r>
        <w:t xml:space="preserve"> </w:t>
      </w:r>
      <w:r>
        <w:t xml:space="preserve">interaction altered by |</w:t>
      </w:r>
      <m:oMath>
        <m:r>
          <m:t>Δ</m:t>
        </m:r>
      </m:oMath>
      <w:r>
        <w:t xml:space="preserve">|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r>
        <w:t xml:space="preserve"> </w:t>
      </w:r>
      <w:r>
        <w:t xml:space="preserve">## 5 Discussion</w:t>
      </w:r>
      <w:r>
        <w:t xml:space="preserve"> </w:t>
      </w:r>
      <w:r>
        <w:t xml:space="preserve">### 5.1 Theoretical implications</w:t>
      </w:r>
    </w:p>
    <w:p>
      <w:pPr>
        <w:pStyle w:val="BodyText"/>
      </w:pPr>
      <w:r>
        <w:t xml:space="preserve">Three theoretical implications follow. The TCI result supports a capability-depth reading of firm performance in internationalizing firms: technological capability is positively associated with labour productivity in a way more stable than any moderation pattern identified here, fitting the view that internal capability depth underpins a stronger productivity base from which firms engage international markets. This sits within absorptive-capacity and technological-capability traditions that treat learning, innovation, and technology absorption as firm-internal sources of productivity heterogeneity rather than as identified shifters of I–P curvature.</w:t>
      </w:r>
    </w:p>
    <w:p>
      <w:pPr>
        <w:pStyle w:val="BodyText"/>
      </w:pPr>
      <w:r>
        <w:t xml:space="preserve">The second implication qualifies rather than overturns the conventional nonlinear I–P literature. The Singapore-sample fitted quadratic displays mild curvature, but the right-side decline is not formally identified within the export-intensity range occupied by most firms, and the implied turning point lies in a sparsely populated upper tail. The appropriate reading is that the study provides within-context evidence showing how the conventional I–P logic appears when most firms remain clustered at very low export intensity and the upper tail is thin, not that it establishes a general boundary condition for digitally mature economies.</w:t>
      </w:r>
    </w:p>
    <w:p>
      <w:pPr>
        <w:pStyle w:val="BodyText"/>
      </w:pPr>
      <w:r>
        <w:t xml:space="preserve">The third implication, least anticipated by prior work, is that DAI behaves as a</w:t>
      </w:r>
      <w:r>
        <w:t xml:space="preserve"> </w:t>
      </w:r>
      <w:r>
        <w:rPr>
          <w:iCs/>
          <w:i/>
        </w:rPr>
        <w:t xml:space="preserve">conditional scaling resource</w:t>
      </w:r>
      <w:r>
        <w:t xml:space="preserve"> </w:t>
      </w:r>
      <w:r>
        <w:t xml:space="preserve">rather than a uniform productivity premium. Across much of the observed export-intensity distribution the DAI association is weak or statistically indistinct; it becomes more positive only in the high-export tail, where firms face denser cross-border coordination and transaction demands. From a transaction-cost perspective (Coase, 1937; Williamson, 1985), the conditional pattern is consistent with foundational digital interfaces absorbing coordination costs that scale super-linearly with cross-border transaction volume; below the threshold of high export intensity, the marginal benefit of these systems may not exceed installation and routine-use costs, explaining the absence of a uniform premium. Framed as</w:t>
      </w:r>
      <w:r>
        <w:t xml:space="preserve"> </w:t>
      </w:r>
      <w:r>
        <w:rPr>
          <w:iCs/>
          <w:i/>
        </w:rPr>
        <w:t xml:space="preserve">fixed-transaction-cost amortization</w:t>
      </w:r>
      <w:r>
        <w:t xml:space="preserve">, the sunk cost of advanced digital interfaces is recovered only at extreme export scale; this is one reason the implied turning point lies in the high-FSTS tail (≈ 82 %, a support-constrained estimate) rather than the conventional 30–60 % range. In this role DAI operates as a</w:t>
      </w:r>
      <w:r>
        <w:t xml:space="preserve"> </w:t>
      </w:r>
      <w:r>
        <w:rPr>
          <w:iCs/>
          <w:i/>
        </w:rPr>
        <w:t xml:space="preserve">scale lubricant</w:t>
      </w:r>
      <w:r>
        <w:t xml:space="preserve"> </w:t>
      </w:r>
      <w:r>
        <w:t xml:space="preserve">lowering the marginal coordination cost of each additional unit of cross-border throughput. The absence of a uniform DAI premium is itself informative: in an environment where Tier 1–2 tools are near-universally diffused, these tools cannot generate cross-sectional productivity advantages in domestic operations, consistent with the digital-saturation paradox outlined in §1.</w:t>
      </w:r>
    </w:p>
    <w:p>
      <w:pPr>
        <w:pStyle w:val="BodyText"/>
      </w:pPr>
      <w:r>
        <w:t xml:space="preserve">Read against the substitution / amplification / selection contrast established in §2.3.4, the Singapore evidence is most consistent with the</w:t>
      </w:r>
      <w:r>
        <w:t xml:space="preserve"> </w:t>
      </w:r>
      <w:r>
        <w:rPr>
          <w:bCs/>
          <w:b/>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the positive coefficient on FSTS² × DAI (β = +3.119, p = .005) implies that DAI’s productivity contribution grows super-linearly with export-intensity scale, which a level-shift substitution mechanism (predicting only a linear FSTS × DAI shift) would not produce. The robustness of this quadratic sign across sample restrictions (R1 thin-website, R3 micro-firm exclusion, R4 SMEs only, R5 exporters-only) and indicator-sensitivity diagnostics is inconsistent with a pure selection story; the §4.5 (ii) Heckman sensitivity diagnostic indicates mild but non-eliminating extensive-margin selection. Read together, the evidence supports amplification as the focal mechanism while retaining selection as a bounded residual concern. The contribution is not to establish a universal digitalization mechanism but to clarify that foundational digital adoption and technological capability are analytically distinct and empirically associated with performance in different ways within this setting. Influential conceptual work has proposed frameworks for platform boundaries and internalization in digital settings (Banalieva &amp; Dhanaraj, 2019; Stallkamp &amp; Schotter, 2021); firm-level empirical evidence on how foundational digital adoption interacts with export intensity within a single digitally advanced economy remains limited, and the present findings provide one such data point.</w:t>
      </w:r>
    </w:p>
    <w:p>
      <w:pPr>
        <w:pStyle w:val="BodyText"/>
      </w:pPr>
      <w:r>
        <w:rPr>
          <w:bCs/>
          <w:b/>
        </w:rPr>
        <w:t xml:space="preserve">Tier-1 vs Tier-1+2 construct boundary and institutional transferability.</w:t>
      </w:r>
      <w:r>
        <w:t xml:space="preserve"> </w:t>
      </w:r>
      <w:r>
        <w:t xml:space="preserve">The amplification reading is structurally tied to the</w:t>
      </w:r>
      <w:r>
        <w:t xml:space="preserve"> </w:t>
      </w:r>
      <w:r>
        <w:rPr>
          <w:iCs/>
          <w:i/>
        </w:rPr>
        <w:t xml:space="preserve">Tier-1+2</w:t>
      </w:r>
      <w:r>
        <w:t xml:space="preserve"> </w:t>
      </w:r>
      <w:r>
        <w:t xml:space="preserve">composition of the DAI construct. DAI here combines website presence (Tier-1, c22b) with two-way electronic-payment intensity (Tier-2, k33 + k38); the empirical signal is concentrated in the Tier-2 layer. The §4.5 R1 specification makes this explicit: reducing DAI to the website-only Tier-1 binary weakens the quadratic interaction substantially (β drops from +3.119 to +1.552; joint F retained marginal at 4.01, p = .019), and the item-swap falsification test indicates that the moderation weakens when c22b is moved from DAI to TCI. In advanced-economy settings where Tier-2 transaction-enabling infrastructure (electronic-payment rails, two-way digital interfaces) is widely diffused alongside Tier-1 presence, the Tier-1+2 composite retains discriminatory power across the export-intensity range and the amplification mechanism becomes empirically detectable. In transitional economies where Tier-1 has diffused widely but Tier-2 infrastructure remains institutionally bounded (settings where cross-border electronic-payment rails reached systemic scale only in the late 2010s; World Bank, 2023), the Tier-1-only construct is expected to lose discriminatory power as the population-diffusion ceiling is approached; any contingent association with export intensity is then most plausibly read as construct-tier obsolescence. The Singapore amplification should not be over-extrapolated to settings where Tier-2 infrastructure has not yet matured; conversely, the finding sharpens the theoretical claim that the conditional-scaling mechanism becomes empirically legible precisely when domestic saturation removes the uniform-premium effect and Tier-2 infrastructure is institutionally available. Whether this is a transferable Tier-1+2 threshold effect, and where the operational threshold lies, cannot be established from a single-country cross-section; the Singapore finding identifies a candidate boundary case to be tested in cross-economy comparative designs.</w:t>
      </w:r>
    </w:p>
    <w:bookmarkEnd w:id="37"/>
    <w:bookmarkStart w:id="38" w:name="managerial-implications"/>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equally across sampled firms.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r>
        <w:t xml:space="preserve"> </w:t>
      </w:r>
      <w:r>
        <w:t xml:space="preserve">## 6 Conclusion</w:t>
      </w:r>
      <w:r>
        <w:t xml:space="preserve"> </w:t>
      </w: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suggests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r>
        <w:t xml:space="preserve"> </w:t>
      </w:r>
      <w:r>
        <w:t xml:space="preserve">## 7 Limitations and Future Research</w:t>
      </w:r>
      <w:r>
        <w:t xml:space="preserve"> </w:t>
      </w:r>
      <w:r>
        <w:t xml:space="preserve">Three limitations warrant caution in interpreting the findings. The first is one of design: the analysis rests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then, is that the study documents how these variables co-vary in Singapore rather than establishing a causal mechanism.</w:t>
      </w:r>
      <w:r>
        <w:t xml:space="preserve"> </w:t>
      </w:r>
      <w:r>
        <w:t xml:space="preserve">A second limitation is the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The third limitation is one of measurement: the estimated digital-adoption effect should be read within the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r>
        <w:t xml:space="preserve"> </w:t>
      </w:r>
      <w:r>
        <w:t xml:space="preserve">## Data Availability Statement</w:t>
      </w:r>
      <w:r>
        <w:t xml:space="preserve"> </w:t>
      </w:r>
      <w:r>
        <w:t xml:space="preserve">The data analyzed in this study are from the World Bank Enterprise Survey (WBES) Singapore 2023 wave, publicly available at www.enterprisesurveys.org. Analysis scripts to replicate the results are available from the corresponding author on reasonable request.</w:t>
      </w:r>
    </w:p>
    <w:bookmarkEnd w:id="38"/>
    <w:bookmarkEnd w:id="39"/>
    <w:bookmarkStart w:id="4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bookmarkEnd w:id="40"/>
    <w:bookmarkStart w:id="41" w:name="funding"/>
    <w:p>
      <w:pPr>
        <w:pStyle w:val="Heading2"/>
      </w:pPr>
      <w:r>
        <w:t xml:space="preserve">Funding</w:t>
      </w:r>
    </w:p>
    <w:p>
      <w:pPr>
        <w:pStyle w:val="FirstParagraph"/>
      </w:pPr>
      <w:r>
        <w:t xml:space="preserve">This research received no external funding.</w:t>
      </w:r>
    </w:p>
    <w:bookmarkEnd w:id="41"/>
    <w:bookmarkStart w:id="42" w:name="conflict-of-interest"/>
    <w:p>
      <w:pPr>
        <w:pStyle w:val="Heading2"/>
      </w:pPr>
      <w:r>
        <w:t xml:space="preserve">Conflict of Interest</w:t>
      </w:r>
    </w:p>
    <w:p>
      <w:pPr>
        <w:pStyle w:val="FirstParagraph"/>
      </w:pPr>
      <w:r>
        <w:t xml:space="preserve">The authors declare no conflicts of interest.</w:t>
      </w:r>
    </w:p>
    <w:bookmarkEnd w:id="42"/>
    <w:bookmarkStart w:id="43"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 corrections only. No AI tools were used for idea generation, literature synthesis, data analysis, or content creation.</w:t>
      </w:r>
    </w:p>
    <w:p>
      <w:pPr>
        <w:pStyle w:val="BodyText"/>
      </w:pPr>
      <w:r>
        <w:rPr>
          <w:bCs/>
          <w:b/>
        </w:rPr>
        <w:t xml:space="preserve">Data availability</w:t>
      </w:r>
      <w:r>
        <w:t xml:space="preserve">: The data supporting this study were obtained from the World Bank Enterprise Surveys (WBES) B-READY 2023 Singapore dataset, publicly available at https://www.enterprisesurveys.org. Processed data and replication code are available from the corresponding author upon reasonable request.</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https://doi.org/10.1037/0021-9010.90.1.94</w:t>
      </w:r>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 https://doi.org/10.1057/s41287-020-00328-2</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Barney, J. (1991). Firm resources and sustained competitive advantage.</w:t>
      </w:r>
      <w:r>
        <w:t xml:space="preserve"> </w:t>
      </w:r>
      <w:r>
        <w:rPr>
          <w:iCs/>
          <w:i/>
        </w:rPr>
        <w:t xml:space="preserve">Journal of Management, 17</w:t>
      </w:r>
      <w:r>
        <w:t xml:space="preserve">(1), 99–120. https://doi.org/10.1177/014920639101700108</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Coase, R. H. (1937). The nature of the firm.</w:t>
      </w:r>
      <w:r>
        <w:t xml:space="preserve"> </w:t>
      </w:r>
      <w:r>
        <w:rPr>
          <w:iCs/>
          <w:i/>
        </w:rPr>
        <w:t xml:space="preserve">Economica, 4</w:t>
      </w:r>
      <w:r>
        <w:t xml:space="preserve">(16), 386–405. https://doi.org/10.1111/j.1468-0335.1937.tb00002.x</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r>
        <w:t xml:space="preserve"> </w:t>
      </w:r>
      <w:r>
        <w:t xml:space="preserve">Gelman, A., &amp; Carlin, J. (2014). Beyond power calculations: Assessing Type S (sign) and Type M (magnitude) errors.</w:t>
      </w:r>
      <w:r>
        <w:t xml:space="preserve"> </w:t>
      </w:r>
      <w:r>
        <w:rPr>
          <w:iCs/>
          <w:i/>
        </w:rPr>
        <w:t xml:space="preserve">Perspectives on Psychological Science, 9</w:t>
      </w:r>
      <w:r>
        <w:t xml:space="preserve">(6), 641–651. https://doi.org/10.1177/1745691614551642</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r>
        <w:t xml:space="preserve"> </w:t>
      </w:r>
      <w:r>
        <w:t xml:space="preserve">Krammer, S. M. S., Strange, R., &amp; Lashitew, A. (2018). The export performance of emerging economy firms.</w:t>
      </w:r>
      <w:r>
        <w:t xml:space="preserve"> </w:t>
      </w:r>
      <w:r>
        <w:rPr>
          <w:iCs/>
          <w:i/>
        </w:rPr>
        <w:t xml:space="preserve">International Business Review, 27</w:t>
      </w:r>
      <w:r>
        <w:t xml:space="preserve">(1), 218–230. https://doi.org/10.1016/j.ibusrev.2017.07.003</w:t>
      </w:r>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Leon, A. C. (2004). Sample-size requirements for comparison of two correlated proportions.</w:t>
      </w:r>
      <w:r>
        <w:t xml:space="preserve"> </w:t>
      </w:r>
      <w:r>
        <w:rPr>
          <w:iCs/>
          <w:i/>
        </w:rPr>
        <w:t xml:space="preserve">Statistics in Medicine, 23</w:t>
      </w:r>
      <w:r>
        <w:t xml:space="preserve">(4), 549–567. https://doi.org/10.1002/sim.1576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r>
        <w:t xml:space="preserve"> </w:t>
      </w:r>
      <w:r>
        <w:t xml:space="preserve">O’Brien, R. M. (2007). A caution regarding rules of thumb for variance inflation factors.</w:t>
      </w:r>
      <w:r>
        <w:t xml:space="preserve"> </w:t>
      </w:r>
      <w:r>
        <w:rPr>
          <w:iCs/>
          <w:i/>
        </w:rPr>
        <w:t xml:space="preserve">Quality &amp; Quantity, 41</w:t>
      </w:r>
      <w:r>
        <w:t xml:space="preserve">(5), 673–690. https://doi.org/10.1007/s11135-006-9018-6</w:t>
      </w:r>
      <w:r>
        <w:t xml:space="preserve"> </w:t>
      </w:r>
      <w:r>
        <w:t xml:space="preserve">Peng, M. W. (2003). Institutional transitions and strategic choices.</w:t>
      </w:r>
      <w:r>
        <w:t xml:space="preserve"> </w:t>
      </w:r>
      <w:r>
        <w:rPr>
          <w:iCs/>
          <w:i/>
        </w:rPr>
        <w:t xml:space="preserve">Academy of Management Review, 28</w:t>
      </w:r>
      <w:r>
        <w:t xml:space="preserve">(2), 275–296. https://doi.org/10.5465/amr.2003.9416341</w:t>
      </w:r>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r>
        <w:t xml:space="preserve"> </w:t>
      </w: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 https://doi.org/10.1057/palgrave.jibs.8400073</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(6), 1244–1256. https://doi.org/10.1177/0149206319846272</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Williamson, O. E. (1985).</w:t>
      </w:r>
      <w:r>
        <w:t xml:space="preserve"> </w:t>
      </w:r>
      <w:r>
        <w:rPr>
          <w:iCs/>
          <w:i/>
        </w:rPr>
        <w:t xml:space="preserve">The economic institutions of capitalism: Firms, markets, relational contracting</w:t>
      </w:r>
      <w:r>
        <w:t xml:space="preserve">. Free Press.</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r>
        <w:pict>
          <v:rect style="width:0;height:1.5pt" o:hralign="center" o:hrstd="t" o:hr="t"/>
        </w:pict>
      </w:r>
    </w:p>
    <w:p>
      <w:pPr>
        <w:pStyle w:val="FirstParagraph"/>
      </w:pPr>
      <w:r>
        <w:t xml:space="preserve">World Bank. (2023).</w:t>
      </w:r>
      <w:r>
        <w:t xml:space="preserve"> </w:t>
      </w:r>
      <w:r>
        <w:rPr>
          <w:iCs/>
          <w:i/>
        </w:rPr>
        <w:t xml:space="preserve">World Development Indicators 2023</w:t>
      </w:r>
      <w:r>
        <w:t xml:space="preserve">. World Bank Group. https://databank.worldbank.org/source/world-development-indicators</w:t>
      </w:r>
    </w:p>
    <w:p>
      <w:pPr>
        <w:pStyle w:val="BodyText"/>
      </w:pPr>
      <w:r>
        <w:t xml:space="preserve">World Bank. (2025a).</w:t>
      </w:r>
      <w:r>
        <w:t xml:space="preserve"> </w:t>
      </w:r>
      <w:r>
        <w:rPr>
          <w:iCs/>
          <w:i/>
        </w:rPr>
        <w:t xml:space="preserve">Digital Public Infrastructure: Foundations for an inclusive digital economy</w:t>
      </w:r>
      <w:r>
        <w:t xml:space="preserve">. World Bank Group. https://www.worldbank.org/en/topic/digitaldevelopment/brief/digital-public-infrastructure</w:t>
      </w:r>
    </w:p>
    <w:p>
      <w:pPr>
        <w:pStyle w:val="BodyText"/>
      </w:pPr>
      <w:r>
        <w:rPr>
          <w:iCs/>
          <w:i/>
        </w:rPr>
        <w:t xml:space="preserve">Additional contextual sources (cited in Section 1.1 and Section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t xml:space="preserve">World Bank. (2024).</w:t>
      </w:r>
      <w:r>
        <w:t xml:space="preserve"> </w:t>
      </w:r>
      <w:r>
        <w:rPr>
          <w:iCs/>
          <w:i/>
        </w:rPr>
        <w:t xml:space="preserve">World Bank Enterprise Survey: Singapore 2023</w:t>
      </w:r>
      <w:r>
        <w:t xml:space="preserve">. https://www.enterprisesurveys.org</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2026-06-03T03:39:22Z</dcterms:created>
  <dcterms:modified xsi:type="dcterms:W3CDTF">2026-06-03T03:39:22Z</dcterms:modified>
</cp:coreProperties>
</file>

<file path=docProps/custom.xml><?xml version="1.0" encoding="utf-8"?>
<Properties xmlns="http://schemas.openxmlformats.org/officeDocument/2006/custom-properties" xmlns:vt="http://schemas.openxmlformats.org/officeDocument/2006/docPropsVTypes"/>
</file>