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1"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t xml:space="preserve"> </w:t>
      </w:r>
      <w:r>
        <w:rPr>
          <w:bCs/>
          <w:b/>
        </w:rPr>
        <w:t xml:space="preserve">Target journal:</w:t>
      </w:r>
      <w:r>
        <w:t xml:space="preserve"> </w:t>
      </w:r>
      <w:r>
        <w:t xml:space="preserve">Journal of International Business Studies (JIBS)</w:t>
      </w:r>
      <w:r>
        <w:t xml:space="preserve"> </w:t>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Research on the internationalization–performance (I–P) relationship has largely settled whether it is non-linear; the unresolved question is what determines where its optimum falls. This study develops and test a multi-level account in which the inverted-U is universal in form but jointly conditioned by institutional regime and digital capability: regime governs amplitude; digital capability reshapes the curve as a partial substitute for institutional strength. Using harmonised World Bank Enterprise Survey microdata (N = 82,302; 45 economies; 98 country-year waves, 2003–2025) spanning all six Institutional Context Regime Variation (ICRV) groups, the analysis estimates hierarchical OLS models. The I–P relationship is robustly inverted-U with a turning point near 37% export intensity (Lind–Mehlum p &lt;.001). Concavity deepens as institutional quality declines, the over-internationalisation penalty is sharpest in frontier and vulnerable regimes. Digital adoption both raises performance and reshapes the curve; its reshaping potency is significantly stronger in weaker-institution regimes (</w:t>
      </w:r>
      <m:oMath>
        <m:r>
          <m:rPr>
            <m:nor/>
            <m:sty m:val="p"/>
          </m:rPr>
          <m:t>DAI</m:t>
        </m:r>
        <m:r>
          <m:rPr>
            <m:sty m:val="p"/>
          </m:rPr>
          <m:t>×</m:t>
        </m:r>
        <m:r>
          <m:rPr>
            <m:nor/>
            <m:sty m:val="p"/>
          </m:rPr>
          <m:t>ICRV</m:t>
        </m:r>
      </m:oMath>
      <w:r>
        <w:t xml:space="preserve"> </w:t>
      </w:r>
      <w:r>
        <w:t xml:space="preserve">p =.049), consistent with digital-for-institutional substitution. The account resolves the fragmented Asian I–P literature: divergent country findings locate firms at different positions on a single optimum.</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pPr>
        <w:pStyle w:val="BodyText"/>
      </w:pPr>
      <w:r>
        <w:rPr>
          <w:bCs/>
          <w:b/>
        </w:rPr>
        <w:t xml:space="preserve">JEL classification:</w:t>
      </w:r>
      <w:r>
        <w:t xml:space="preserve"> </w:t>
      </w:r>
      <w:r>
        <w:t xml:space="preserve">F23 (multinational firms; international business); O33 (technological change: choices and consequences); O17 (formal and informal sectors; institutional arrangements); D22 (firm behaviour: empirical analysis); L25 (firm performance); O53 (economywide country studies: Asia including Middle East).</w:t>
      </w:r>
    </w:p>
    <w:p>
      <w:pPr>
        <w:pStyle w:val="BodyText"/>
      </w:pPr>
      <w:r>
        <w:rPr>
          <w:bCs/>
          <w:b/>
        </w:rPr>
        <w:t xml:space="preserve">Paper type:</w:t>
      </w:r>
      <w:r>
        <w:t xml:space="preserve"> </w:t>
      </w:r>
      <w:r>
        <w:t xml:space="preserve">Research article (multi-country empirical)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not the sign of the average effect,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conditions that prior single-country and meta-analytic designs have not jointly satisfied.</w:t>
      </w:r>
    </w:p>
    <w:p>
      <w:pPr>
        <w:pStyle w:val="BodyText"/>
      </w:pPr>
      <w:r>
        <w:t xml:space="preserve">This paper addresses that gap. This study pools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The sample spans all six ICRV regime groups, from advanced innovation-driven economies (Singapore, Korea, Taiwan, HongKong, Israel) to Pacific Small Island Developing States (Vanuatu, Solomon Islands, Fiji, Tonga, Samoa, Kiribati, Papua New Guinea, Timor-Leste) and Gulf advanced-resource economies (Bahrain, Kuwait, Qatar, Brunei, Saudi Arabia), classified through the Institutional Context Regime Variation (ICRV) framework that anchors a broader multi-country research programme of which this study is part.</w:t>
      </w:r>
    </w:p>
    <w:p>
      <w:pPr>
        <w:pStyle w:val="BodyText"/>
      </w:pPr>
      <w:r>
        <w:t xml:space="preserve">The contributions of this study are theoretical, not merely empirical. First, this study advancess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=.026).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this study theorises and tests</w:t>
      </w:r>
      <w:r>
        <w:t xml:space="preserve"> </w:t>
      </w:r>
      <w:r>
        <w:rPr>
          <w:iCs/>
          <w:i/>
        </w:rPr>
        <w:t xml:space="preserve">digital-for-institutional substitution</w:t>
      </w:r>
      <w:r>
        <w:t xml:space="preserve">: the curve-reshaping potency of digital adoption is significantly greater where formal institutions are weaker (</w:t>
      </w:r>
      <m:oMath>
        <m:r>
          <m:rPr>
            <m:nor/>
            <m:sty m:val="p"/>
          </m:rPr>
          <m:t>DAI</m:t>
        </m:r>
        <m:r>
          <m:rPr>
            <m:sty m:val="p"/>
          </m:rPr>
          <m:t>×</m:t>
        </m:r>
        <m:r>
          <m:rPr>
            <m:nor/>
            <m:sty m:val="p"/>
          </m:rPr>
          <m:t>ICRV</m:t>
        </m:r>
      </m:oMath>
      <w:r>
        <w:t xml:space="preserve">, p =.049), positioning foundational digital capability as a partial substitute for institutional infrastructure in converting exports into performance, a multi-economy extension of the institutional-voids logic (Khanna &amp; Palepu, 1997) into the digital domain. Third, this study formalises the Institutional Context Regime Variation (ICRV) framework as a firm-relevant contingency construct that orders economies jointly by institutional capability and exposure to resource vulnerability, and shows that it predicts both the slope and the curvature of the I–P function,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This study draws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This study integrates them through a single contingency construct, the</w:t>
      </w:r>
      <w:r>
        <w:t xml:space="preserve"> </w:t>
      </w:r>
      <w:r>
        <w:rPr>
          <w:bCs/>
          <w:b/>
        </w:rPr>
        <w:t xml:space="preserve">Institutional Context Regime Variation (ICRV)</w:t>
      </w:r>
      <w:r>
        <w:t xml:space="preserve"> </w:t>
      </w:r>
      <w:r>
        <w:t xml:space="preserve">framework,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The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p>
      <w:pPr>
        <w:pStyle w:val="BodyText"/>
      </w:pPr>
      <w:r>
        <w:rPr>
          <w:bCs/>
          <w:b/>
        </w:rPr>
        <w:t xml:space="preserve">ICRV vs prior institutional typologies.</w:t>
      </w:r>
      <w:r>
        <w:t xml:space="preserve"> </w:t>
      </w:r>
      <w:r>
        <w:t xml:space="preserve">ICRV is designed to do firm-relevant contingency work that prior typologies leave undone. Hoskisson, Eden, Lau, and Wright (2000) AMR partition emerging economies into four region-style groups (transition, developing Asia, Latin America, advanced industrial) keyed to strategic-management questions of entry and diversification; ICRV instead orders economies on two continuous theoretical dimensions (institutional capability × resource vulnerability) and is keyed to a firm-level I–P functional-form prediction. Peng (2003) and Wright, Filatotchev, Hoskisson, and Peng (2005) developed an institution-based view that treats institutional transitions as a</w:t>
      </w:r>
      <w:r>
        <w:t xml:space="preserve"> </w:t>
      </w:r>
      <w:r>
        <w:rPr>
          <w:iCs/>
          <w:i/>
        </w:rPr>
        <w:t xml:space="preserve">third leg</w:t>
      </w:r>
      <w:r>
        <w:t xml:space="preserve"> </w:t>
      </w:r>
      <w:r>
        <w:t xml:space="preserve">of strategy research alongside industry and resource conditions; ICRV operationalises that institution-based logic into a six-group taxonomy with explicit performance-curve predictions across the full Asian/Pacific institutional spectrum rather than the emerging-economy slice the institution-based view addresses. Whitley’s (1999)</w:t>
      </w:r>
      <w:r>
        <w:t xml:space="preserve"> </w:t>
      </w:r>
      <w:r>
        <w:rPr>
          <w:iCs/>
          <w:i/>
        </w:rPr>
        <w:t xml:space="preserve">Divergent Capitalisms</w:t>
      </w:r>
      <w:r>
        <w:t xml:space="preserve"> </w:t>
      </w:r>
      <w:r>
        <w:t xml:space="preserve">typologises mature OECD business systems on owner-manager, supplier, and labour-market dimensions; ICRV extends this beyond OECD coverage and adds the resource-vulnerability axis that Whitley’s mature-market frame excludes. Hoskisson, Wright, Filatotchev, and Peng (2013) identify mid-range emerging multinationals as an under-theorised category; ICRV’s Group III–IV explicitly captures this mid-range and predicts (in H5) that I–P concavity should deepen there rather than at the frontier alone. Cuervo-Cazurra, Ciravegna, Melgarejo, and Lopez (2017) document an uncertainty-management capability that mediates the I–P relationship under home-country uncertainty; ICRV is complementary in that it positions institutional uncertainty at the</w:t>
      </w:r>
      <w:r>
        <w:t xml:space="preserve"> </w:t>
      </w:r>
      <w:r>
        <w:rPr>
          <w:iCs/>
          <w:i/>
        </w:rPr>
        <w:t xml:space="preserve">regime</w:t>
      </w:r>
      <w:r>
        <w:t xml:space="preserve"> </w:t>
      </w:r>
      <w:r>
        <w:t xml:space="preserve">rather than the</w:t>
      </w:r>
      <w:r>
        <w:t xml:space="preserve"> </w:t>
      </w:r>
      <w:r>
        <w:rPr>
          <w:iCs/>
          <w:i/>
        </w:rPr>
        <w:t xml:space="preserve">firm-capability</w:t>
      </w:r>
      <w:r>
        <w:t xml:space="preserve"> </w:t>
      </w:r>
      <w:r>
        <w:t xml:space="preserve">level and predicts the shape of the I–P function that firms operate on, on which the uncertainty-management capability would be a firm-level shifter. ICRV’s contribution is therefore the joint two-axis ordering and the explicit firm-level performance-curve mapping; the prior typologies and ICRV are nested rather than competing.</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companion country-specific studies provide prior evidence. For Vietnam (companion study), the inverted-U is confirmed with a turning point at 39–46% using a WBES-based instrumental variable design. For China (companion study), an inverted-U turning point of 47–49% is replicated across specifications with Paternoster cross-cohort tests (p =.545). For Singapore (companion study), the relationship is predominantly positive with a very late turning point (~82%), consistent with near-monotonic returns in a high-institutional, digitally saturated economy. Pooled across a much larger and institutionally heterogeneous sample, this study expects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this study expects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beyond a parallel upward shift.</w:t>
      </w:r>
    </w:p>
    <w:p>
      <w:pPr>
        <w:pStyle w:val="BodyText"/>
      </w:pPr>
      <w:r>
        <w:t xml:space="preserve">This amplification logic carries a built-in scope condition that the multi-economy design lets us test directly. Curve reshaping, as opposed to a parallel level lift, requires that the marginal productivity return to technological capability itself vary along the export-intensity range, which in turn presumes an institutional environment that lets capability translate into differential cross-border returns: enforceable contracts, protectable intellectual property, and functioning technology-transfer channels. Where those complements are present, the amplifier mechanism should operate; where they are unevenly distributed, as they necessarily are across forty-five economies spanning six institutional regimes, firm-level capability and the curvature it would reshape are no longer aligned, and the amplification predicted within any single institutional setting may average out in the pool. This study therefore advance H2 as a curve-amplifier hypothesis while recognising a competing prediction, that in an institutionally heterogeneous pool TCI survives as a robust level shifter but its curvature-reshaping signal attenuates. Adjudicating between these is itself informative: a null curvature interaction in the pool, set against the curve moderation documented in single-country studies, would localise capability-driven reshaping as an institutionally contingent rather than universal phenomenon.</w:t>
      </w:r>
    </w:p>
    <w:p>
      <w:pPr>
        <w:pStyle w:val="BodyText"/>
      </w:pPr>
      <w:r>
        <w:t xml:space="preserve">This prediction is consistent with the companion Vietnam study (</w:t>
      </w:r>
      <m:oMath>
        <m:r>
          <m:t>β</m:t>
        </m:r>
      </m:oMath>
      <w:r>
        <w:t xml:space="preserve">(TCI) = +0.179, IV-identified) and the companion China study (</w:t>
      </w:r>
      <m:oMath>
        <m:r>
          <m:t>β</m:t>
        </m:r>
      </m:oMath>
      <w:r>
        <w:t xml:space="preserve">(TCI) increasing from +0.28 to +0.43 across cohorts), both showing TCI as a positive level shifter. the companion Singapore study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related work in this programme, DAI’s effect depends on the interaction of regime quality, FSTS level, and digital market saturation. Specifically, in institutionally advanced economies where digital infrastructure is mature, DAI provides universal performance lifts (as in the companion Singapore study:</w:t>
      </w:r>
      <w:r>
        <w:t xml:space="preserve"> </w:t>
      </w:r>
      <m:oMath>
        <m:r>
          <m:t>β</m:t>
        </m:r>
      </m:oMath>
      <w:r>
        <w:t xml:space="preserve">(DAI) positive and significant). In emerging-economy contexts with substantial selection into digital adoption (the companion Vietnam study: IV-estimated</w:t>
      </w:r>
      <w:r>
        <w:t xml:space="preserve"> </w:t>
      </w:r>
      <m:oMath>
        <m:r>
          <m:t>β</m:t>
        </m:r>
      </m:oMath>
      <w:r>
        <w:t xml:space="preserve">(DAI)</w:t>
      </w:r>
      <w:r>
        <w:t xml:space="preserve"> </w:t>
      </w:r>
      <m:oMath>
        <m:r>
          <m:rPr>
            <m:sty m:val="p"/>
          </m:rPr>
          <m:t>≈</m:t>
        </m:r>
      </m:oMath>
      <w:r>
        <w:t xml:space="preserve"> </w:t>
      </w:r>
      <w:r>
        <w:t xml:space="preserve">0, consistent with selection bias in OLS), DAI’s curve-shaping role is attenuated. Across the pooled multi-economy sample, this study expects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odyText"/>
      </w:pPr>
      <w:r>
        <w:t xml:space="preserve">The predicted curve signature, a negative</w:t>
      </w:r>
      <w:r>
        <w:t xml:space="preserve"> </w:t>
      </w:r>
      <m:oMath>
        <m:r>
          <m:rPr>
            <m:nor/>
            <m:sty m:val="p"/>
          </m:rPr>
          <m:t>FSTS</m:t>
        </m:r>
        <m:r>
          <m:rPr>
            <m:sty m:val="p"/>
          </m:rPr>
          <m:t>×</m:t>
        </m:r>
        <m:r>
          <m:rPr>
            <m:nor/>
            <m:sty m:val="p"/>
          </m:rPr>
          <m:t>DAI</m:t>
        </m:r>
      </m:oMath>
      <w:r>
        <w:t xml:space="preserve"> </w:t>
      </w:r>
      <w:r>
        <w:t xml:space="preserve">interaction paired with a positive</w:t>
      </w:r>
      <w:r>
        <w:t xml:space="preserve"> </w:t>
      </w:r>
      <m:oMath>
        <m:sSup>
          <m:e>
            <m:r>
              <m:rPr>
                <m:nor/>
                <m:sty m:val="p"/>
              </m:rPr>
              <m:t>FSTS</m:t>
            </m:r>
          </m:e>
          <m:sup>
            <m:r>
              <m:t>2</m:t>
            </m:r>
          </m:sup>
        </m:sSup>
        <m:r>
          <m:rPr>
            <m:sty m:val="p"/>
          </m:rPr>
          <m:t>×</m:t>
        </m:r>
        <m:r>
          <m:rPr>
            <m:nor/>
            <m:sty m:val="p"/>
          </m:rPr>
          <m:t>DAI</m:t>
        </m:r>
      </m:oMath>
      <w:r>
        <w:t xml:space="preserve"> </w:t>
      </w:r>
      <w:r>
        <w:t xml:space="preserve">interaction, admits two non-exclusive readings that the present design cannot fully separate, and this study flags the ambiguity rather than assume it away. The first is a substantive coordination mechanism: foundational digital interfaces lower the marginal cost of managing geographically dispersed transactions, so their performance contribution is small for domestically oriented firms but rises precisely where cross-border coordination demands are heaviest, flattening the descending limb. The second is a selection or sunk-cost artefact: firms that adopt low-cost digital tools may be disproportionately those facing binding productivity constraints, or may carry near-term adoption costs not yet amortised, depressing the ascending-limb slope without any causal coordination benefit. Both mechanisms generate the same observable curvature, so a significant interaction is consistent with either; this study returns to this identification limit in the discussion and treat the level effect, for which selection works against rather than toward the hypothesis, as the more robustly interpretable component.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This study expects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This study operationalises institutional regime through the ICRV classification system developed in related work in this programme: six groups ranging from Group I (Advanced innovation-driven: Singapore, Korea, Taiwan, Israel) to Group VI (SIDS and small open economies: Vanuatu, Solomon Islands, Timor-Leste). Higher ICRV group numbers denote weaker institutions.</w:t>
      </w:r>
    </w:p>
    <w:p>
      <w:pPr>
        <w:pStyle w:val="BodyText"/>
      </w:pPr>
      <w:r>
        <w:t xml:space="preserve">It is important to separate two observationally distinct ways in which institutions can moderate an inverted-U, because they carry different empirical signatures and the prior literature has not kept them apart. The first is</w:t>
      </w:r>
      <w:r>
        <w:t xml:space="preserve"> </w:t>
      </w:r>
      <w:r>
        <w:rPr>
          <w:iCs/>
          <w:i/>
        </w:rPr>
        <w:t xml:space="preserve">location</w:t>
      </w:r>
      <w:r>
        <w:t xml:space="preserve"> </w:t>
      </w:r>
      <w:r>
        <w:t xml:space="preserve">moderation: institutions shift the performance-maximising turning point along the FSTS axis, so the optimum occurs at a systematically different export share across regimes. The second is</w:t>
      </w:r>
      <w:r>
        <w:t xml:space="preserve"> </w:t>
      </w:r>
      <w:r>
        <w:rPr>
          <w:iCs/>
          <w:i/>
        </w:rPr>
        <w:t xml:space="preserve">amplitude</w:t>
      </w:r>
      <w:r>
        <w:t xml:space="preserve"> </w:t>
      </w:r>
      <w:r>
        <w:t xml:space="preserve">moderation: institutions govern the concavity, or sharpness, of the curve, holding the approximate location of the peak roughly constant while making the over-internationalisation penalty steeper or flatter. A transaction-cost reading of North (1990) is consistent with either: weaker institutions raise the coordination and contracting costs that bend the curve downward at high export commitment, which can manifest as an earlier peak, a sharper concave decline, or both. Because the two signatures are not equivalent, this study states H5 at the level of curve moderation and treat the</w:t>
      </w:r>
      <w:r>
        <w:t xml:space="preserve"> </w:t>
      </w:r>
      <w:r>
        <w:rPr>
          <w:iCs/>
          <w:i/>
        </w:rPr>
        <w:t xml:space="preserve">form</w:t>
      </w:r>
      <w:r>
        <w:t xml:space="preserve"> </w:t>
      </w:r>
      <w:r>
        <w:t xml:space="preserve">the moderation takes, location versus amplitude, as an empirical question the multi-economy design is built to adjudicate. This study expects positive</w:t>
      </w:r>
      <w:r>
        <w:t xml:space="preserve"> </w:t>
      </w:r>
      <m:oMath>
        <m:r>
          <m:rPr>
            <m:nor/>
            <m:sty m:val="p"/>
          </m:rPr>
          <m:t>FSTS</m:t>
        </m:r>
        <m:r>
          <m:rPr>
            <m:sty m:val="p"/>
          </m:rPr>
          <m:t>×</m:t>
        </m:r>
        <m:r>
          <m:rPr>
            <m:nor/>
            <m:sty m:val="p"/>
          </m:rPr>
          <m:t>ICRV</m:t>
        </m:r>
      </m:oMath>
      <w:r>
        <w:t xml:space="preserve"> </w:t>
      </w:r>
      <w:r>
        <w:t xml:space="preserve">and negative</w:t>
      </w:r>
      <w:r>
        <w:t xml:space="preserve"> </w:t>
      </w:r>
      <m:oMath>
        <m:sSup>
          <m:e>
            <m:r>
              <m:rPr>
                <m:nor/>
                <m:sty m:val="p"/>
              </m:rPr>
              <m:t>FSTS</m:t>
            </m:r>
          </m:e>
          <m:sup>
            <m:r>
              <m:t>2</m:t>
            </m:r>
          </m:sup>
        </m:sSup>
        <m:r>
          <m:rPr>
            <m:sty m:val="p"/>
          </m:rPr>
          <m:t>×</m:t>
        </m:r>
        <m:r>
          <m:rPr>
            <m:nor/>
            <m:sty m:val="p"/>
          </m:rPr>
          <m:t>ICRV</m:t>
        </m:r>
      </m:oMath>
      <w:r>
        <w:t xml:space="preserve"> </w:t>
      </w:r>
      <w:r>
        <w:t xml:space="preserve">interactions in Group III–VI relative to Group I (a higher Group I baseline coefficient), the negative quadratic interaction implying a deepening concavity as institutions weaken.</w:t>
      </w:r>
    </w:p>
    <w:p>
      <w:pPr>
        <w:pStyle w:val="BlockText"/>
      </w:pPr>
      <w:r>
        <w:rPr>
          <w:bCs/>
          <w:b/>
        </w:rPr>
        <w:t xml:space="preserve">H5:</w:t>
      </w:r>
      <w:r>
        <w:t xml:space="preserve"> </w:t>
      </w:r>
      <w:r>
        <w:t xml:space="preserve">The ICRV institutional regime systematically moderates the I–P curve. As institutional quality declines (higher ICRV group number), the concavity of the inverted-U deepens, so the marginal penalty to over-internationalisation is sharper in weaker-institution regimes; whether this operates primarily by relocating the turning point or by amplifying the curvature is adjudicated empirically.</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research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w:t>
      </w:r>
      <w:r>
        <w:t xml:space="preserve"> </w:t>
      </w:r>
      <m:oMath>
        <m:r>
          <m:rPr>
            <m:nor/>
            <m:sty m:val="p"/>
          </m:rPr>
          <m:t>DAI</m:t>
        </m:r>
        <m:r>
          <m:rPr>
            <m:sty m:val="p"/>
          </m:rPr>
          <m:t>×</m:t>
        </m:r>
        <m:r>
          <m:rPr>
            <m:nor/>
            <m:sty m:val="p"/>
          </m:rPr>
          <m:t>ICRV</m:t>
        </m:r>
      </m:oMath>
      <w:r>
        <w:t xml:space="preserve"> </w:t>
      </w:r>
      <w:r>
        <w:t xml:space="preserve">interaction therefore tests whether digital capabilities’ curve-reshaping potency (established in H3) varies systematically across the institutional spectrum,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rPr>
          <w:bCs/>
          <w:b/>
        </w:rPr>
        <w:t xml:space="preserve">Companion-paper disclosure.</w:t>
      </w:r>
      <w:r>
        <w:t xml:space="preserve"> </w:t>
      </w:r>
      <w:r>
        <w:t xml:space="preserve">Throughout the paper this study makes repeated reference to</w:t>
      </w:r>
      <w:r>
        <w:t xml:space="preserve"> </w:t>
      </w:r>
      <w:r>
        <w:t xml:space="preserve">“</w:t>
      </w:r>
      <w:r>
        <w:t xml:space="preserve">the companion Vietnam study,</w:t>
      </w:r>
      <w:r>
        <w:t xml:space="preserve">”</w:t>
      </w:r>
      <w:r>
        <w:t xml:space="preserve"> </w:t>
      </w:r>
      <w:r>
        <w:t xml:space="preserve">“</w:t>
      </w:r>
      <w:r>
        <w:t xml:space="preserve">the companion China study,</w:t>
      </w:r>
      <w:r>
        <w:t xml:space="preserve">”</w:t>
      </w:r>
      <w:r>
        <w:t xml:space="preserve"> </w:t>
      </w:r>
      <w:r>
        <w:t xml:space="preserve">and</w:t>
      </w:r>
      <w:r>
        <w:t xml:space="preserve"> </w:t>
      </w:r>
      <w:r>
        <w:t xml:space="preserve">“</w:t>
      </w:r>
      <w:r>
        <w:t xml:space="preserve">the companion Singapore study.</w:t>
      </w:r>
      <w:r>
        <w:t xml:space="preserve">”</w:t>
      </w:r>
      <w:r>
        <w:t xml:space="preserve"> </w:t>
      </w:r>
      <w:r>
        <w:t xml:space="preserve">These are three single-country working papers prepared by the present author group on the same WBES data infrastructure, each tested as a stand-alone analysis under blinded peer review at separate journals. They are referred to with the</w:t>
      </w:r>
      <w:r>
        <w:t xml:space="preserve"> </w:t>
      </w:r>
      <w:r>
        <w:rPr>
          <w:iCs/>
          <w:i/>
        </w:rPr>
        <w:t xml:space="preserve">companion</w:t>
      </w:r>
      <w:r>
        <w:t xml:space="preserve"> </w:t>
      </w:r>
      <w:r>
        <w:t xml:space="preserve">label rather than cited as Author Citations because (a) the present manuscript is under blinded review and the author identities are masked, and (b) the country-specific findings are stable inputs the present analysis discusses but does not re-derive. This study flags the relationship rather than conceal it so that readers may interpret the cross-paper consistency claims with appropriate caution: the country comparators are drawn from the present study’s own research programme, not from independent third-party replications.</w:t>
      </w:r>
    </w:p>
    <w:p>
      <w:pPr>
        <w:pStyle w:val="BodyText"/>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This study uses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This study adopts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this study excludes economies that straddle the Europe–Asia boundary and are conventionally treated as transcontinental: Türkiye and Cyprus, and the three South Caucasus economies (Armenia, Azerbaijan, Georgia),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w:t>
      </w:r>
      <m:oMath>
        <m:sSub>
          <m:e>
            <m:r>
              <m:rPr>
                <m:nor/>
                <m:sty m:val="p"/>
              </m:rPr>
              <m:t>FSTS</m:t>
            </m:r>
          </m:e>
          <m:sub>
            <m:r>
              <m:t>c</m:t>
            </m:r>
          </m:sub>
        </m:sSub>
      </m:oMath>
      <w:r>
        <w:t xml:space="preserve">); the quadratic term</w:t>
      </w:r>
      <w:r>
        <w:t xml:space="preserve"> </w:t>
      </w:r>
      <m:oMath>
        <m:sSubSup>
          <m:e>
            <m:r>
              <m:rPr>
                <m:nor/>
                <m:sty m:val="p"/>
              </m:rPr>
              <m:t>FSTS</m:t>
            </m:r>
          </m:e>
          <m:sub>
            <m:r>
              <m:t>c</m:t>
            </m:r>
          </m:sub>
          <m:sup>
            <m:r>
              <m:t>2</m:t>
            </m:r>
          </m:sup>
        </m:sSubSup>
      </m:oMath>
      <w:r>
        <w:t xml:space="preserve"> </w:t>
      </w:r>
      <w:r>
        <w:t xml:space="preserve">is computed from the centred value.</w:t>
      </w:r>
    </w:p>
    <w:p>
      <w:pPr>
        <w:pStyle w:val="BodyText"/>
      </w:pPr>
      <w:r>
        <w:rPr>
          <w:bCs/>
          <w:b/>
        </w:rPr>
        <w:t xml:space="preserve">Technological capability index (</w:t>
      </w:r>
      <m:oMath>
        <m:sSub>
          <m:e>
            <m:r>
              <m:rPr>
                <m:nor/>
                <m:sty m:val="p"/>
              </m:rPr>
              <m:t>TCI</m:t>
            </m:r>
          </m:e>
          <m:sub>
            <m:r>
              <m:t>z</m:t>
            </m:r>
          </m:sub>
        </m:sSub>
      </m:oMath>
      <w:r>
        <w:rPr>
          <w:bCs/>
          <w:b/>
        </w:rPr>
        <w:t xml:space="preserve">).</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w:t>
      </w:r>
      <m:oMath>
        <m:sSub>
          <m:e>
            <m:r>
              <m:rPr>
                <m:nor/>
                <m:sty m:val="p"/>
              </m:rPr>
              <m:t>DAI</m:t>
            </m:r>
          </m:e>
          <m:sub>
            <m:r>
              <m:t>z</m:t>
            </m:r>
          </m:sub>
        </m:sSub>
      </m:oMath>
      <w:r>
        <w:rPr>
          <w:bCs/>
          <w:b/>
        </w:rPr>
        <w:t xml:space="preserve">).</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The analysis estimates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and (b) the turning point lies strictly within the observed FSTS range, and (c) the slope at the extremes satisfies the directional prediction. The analysis reports the turning point as: TP = −</w:t>
      </w:r>
      <m:oMath>
        <m:sSub>
          <m:e>
            <m:r>
              <m:t>β</m:t>
            </m:r>
          </m:e>
          <m:sub>
            <m:r>
              <m:t>1</m:t>
            </m:r>
          </m:sub>
        </m:sSub>
      </m:oMath>
      <w:r>
        <w:t xml:space="preserve"> </w:t>
      </w:r>
      <w:r>
        <w:t xml:space="preserve">/ (2</w:t>
      </w:r>
      <m:oMath>
        <m:sSub>
          <m:e>
            <m:r>
              <m:t>β</m:t>
            </m:r>
          </m:e>
          <m:sub>
            <m:r>
              <m:t>2</m:t>
            </m:r>
          </m:sub>
        </m:sSub>
      </m:oMath>
      <w:r>
        <w:t xml:space="preserve">) + mean(FSTS), where</w:t>
      </w:r>
      <w:r>
        <w:t xml:space="preserve"> </w:t>
      </w:r>
      <m:oMath>
        <m:sSub>
          <m:e>
            <m:r>
              <m:t>β</m:t>
            </m:r>
          </m:e>
          <m:sub>
            <m:r>
              <m:t>1</m:t>
            </m:r>
          </m:sub>
        </m:sSub>
      </m:oMath>
      <w:r>
        <w:t xml:space="preserve"> </w:t>
      </w:r>
      <w:r>
        <w:t xml:space="preserve">and</w:t>
      </w:r>
      <w:r>
        <w:t xml:space="preserve"> </w:t>
      </w:r>
      <m:oMath>
        <m:sSub>
          <m:e>
            <m:r>
              <m:t>β</m:t>
            </m:r>
          </m:e>
          <m:sub>
            <m:r>
              <m:t>2</m:t>
            </m:r>
          </m:sub>
        </m:sSub>
      </m:oMath>
      <w:r>
        <w:t xml:space="preserve"> </w:t>
      </w:r>
      <w:r>
        <w:t xml:space="preserve">are estimated on the mean-centred</w:t>
      </w:r>
      <w:r>
        <w:t xml:space="preserve"> </w:t>
      </w:r>
      <m:oMath>
        <m:sSub>
          <m:e>
            <m:r>
              <m:rPr>
                <m:nor/>
                <m:sty m:val="p"/>
              </m:rPr>
              <m:t>FSTS</m:t>
            </m:r>
          </m:e>
          <m:sub>
            <m:r>
              <m:t>c</m:t>
            </m:r>
          </m:sub>
        </m:sSub>
      </m:oMath>
      <w:r>
        <w:t xml:space="preserve"> </w:t>
      </w:r>
      <w:r>
        <w:t xml:space="preserve">scale and the result is expressed as a proportion (0–1) of total sales.</w:t>
      </w:r>
    </w:p>
    <w:p>
      <w:pPr>
        <w:pStyle w:val="BodyText"/>
      </w:pPr>
      <w:r>
        <w:t xml:space="preserve">For moderation tests (M7–M11), this study includes interaction terms FSTS</w:t>
      </w:r>
      <m:oMath>
        <m:r>
          <m:rPr>
            <m:sty m:val="p"/>
          </m:rPr>
          <m:t>×</m:t>
        </m:r>
      </m:oMath>
      <w:r>
        <w:t xml:space="preserve">moderator and</w:t>
      </w:r>
      <w:r>
        <w:t xml:space="preserve"> </w:t>
      </w:r>
      <m:oMath>
        <m:sSup>
          <m:e>
            <m:r>
              <m:rPr>
                <m:nor/>
                <m:sty m:val="p"/>
              </m:rPr>
              <m:t>FSTS</m:t>
            </m:r>
          </m:e>
          <m:sup>
            <m:r>
              <m:t>2</m:t>
            </m:r>
          </m:sup>
        </m:sSup>
      </m:oMath>
      <m:oMath>
        <m:r>
          <m:rPr>
            <m:sty m:val="p"/>
          </m:rPr>
          <m:t>×</m:t>
        </m:r>
      </m:oMath>
      <w:r>
        <w:t xml:space="preserve">moderator. The joint significance of the two interaction terms is tested with an F-test; the analysis reports both the joint p-value and individual coefficient p-values.</w:t>
      </w:r>
    </w:p>
    <w:p>
      <w:pPr>
        <w:pStyle w:val="BodyText"/>
      </w:pPr>
      <w:r>
        <w:rPr>
          <w:bCs/>
          <w:b/>
        </w:rPr>
        <w:t xml:space="preserve">Identification and the interpretation of estimates.</w:t>
      </w:r>
      <w:r>
        <w:t xml:space="preserve"> </w:t>
      </w:r>
      <w:r>
        <w:t xml:space="preserve">The WBES is cross-sectional within each wave, so our coefficients describe within-survey-year associations rather than panel-tracked causal effects, and this study adopts the disciplined-language posture recommended for design-constrained inference (Meyer, van Witteloostuijn, &amp; Beugelsdijk, 2017), reporting associations throughout. Two endogeneity channels warrant explicit attention. The first is selection into exporting: more productive firms are more likely to export and to export intensively, which biases the</w:t>
      </w:r>
      <w:r>
        <w:t xml:space="preserve"> </w:t>
      </w:r>
      <w:r>
        <w:rPr>
          <w:iCs/>
          <w:i/>
        </w:rPr>
        <w:t xml:space="preserve">linear</w:t>
      </w:r>
      <w:r>
        <w:t xml:space="preserve"> </w:t>
      </w:r>
      <w:r>
        <w:t xml:space="preserve">FSTS coefficient upward. This channel, however, operates primarily on the level and slope rather than on the sign of the curvature; for selection to manufacture a spurious inverted-U it would have to induce a non-monotone relationship between unobserved productivity and export intensity, a far more demanding condition than simple positive sorting. The second is reverse causality between digital adoption and productivity, which would inflate the DAI</w:t>
      </w:r>
      <w:r>
        <w:t xml:space="preserve"> </w:t>
      </w:r>
      <w:r>
        <w:rPr>
          <w:iCs/>
          <w:i/>
        </w:rPr>
        <w:t xml:space="preserve">main</w:t>
      </w:r>
      <w:r>
        <w:t xml:space="preserve"> </w:t>
      </w:r>
      <w:r>
        <w:t xml:space="preserve">effect; because selection of productivity-constrained firms into low-cost digital tools (Section 2.4) works</w:t>
      </w:r>
      <w:r>
        <w:t xml:space="preserve"> </w:t>
      </w:r>
      <w:r>
        <w:rPr>
          <w:iCs/>
          <w:i/>
        </w:rPr>
        <w:t xml:space="preserve">against</w:t>
      </w:r>
      <w:r>
        <w:t xml:space="preserve"> </w:t>
      </w:r>
      <w:r>
        <w:t xml:space="preserve">a positive level coefficient, the estimated DAI premium is, if anything, conservative. We bound these concerns three ways: the country-year fixed-effects benchmark (M5) absorbs all unobserved time-invariant and wave-specific country heterogeneity, including price levels, exchange-rate regimes, and macro shocks, and the inverted-U survives it (TP = 39.5%, LM p &lt;.001); the firm-level instrumental-variable design deployed in the Vietnam study (companion study) returns a null instrumented DAI coefficient, corroborating that the OLS digital premium is partly selection-driven; and the curvature result is reproduced under the most demanding three-way specification (M11). A firm-level IV is not available at scale across all forty-five economies, which this study records as a boundary on causal interpretation.</w:t>
      </w:r>
    </w:p>
    <w:bookmarkEnd w:id="32"/>
    <w:bookmarkStart w:id="33" w:name="sample-sizes"/>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w:t>
      </w:r>
      <w:r>
        <w:t xml:space="preserve"> </w:t>
      </w:r>
      <m:oMath>
        <m:r>
          <m:rPr>
            <m:sty m:val="p"/>
          </m:rPr>
          <m:t>≈</m:t>
        </m:r>
      </m:oMath>
      <w:r>
        <w:t xml:space="preserve"> </w:t>
      </w:r>
      <w:r>
        <w:t xml:space="preserve">36,481; adding DAI (M8) N</w:t>
      </w:r>
      <w:r>
        <w:t xml:space="preserve"> </w:t>
      </w:r>
      <m:oMath>
        <m:r>
          <m:rPr>
            <m:sty m:val="p"/>
          </m:rPr>
          <m:t>≈</m:t>
        </m:r>
      </m:oMath>
      <w:r>
        <w:t xml:space="preserve"> </w:t>
      </w:r>
      <w:r>
        <w:t xml:space="preserve">36,372; manager models (M9) N</w:t>
      </w:r>
      <w:r>
        <w:t xml:space="preserve"> </w:t>
      </w:r>
      <m:oMath>
        <m:r>
          <m:rPr>
            <m:sty m:val="p"/>
          </m:rPr>
          <m:t>≈</m:t>
        </m:r>
      </m:oMath>
      <w:r>
        <w:t xml:space="preserve"> </w:t>
      </w:r>
      <w:r>
        <w:t xml:space="preserve">34,228; ICRV-moderation (M10) N</w:t>
      </w:r>
      <w:r>
        <w:t xml:space="preserve"> </w:t>
      </w:r>
      <m:oMath>
        <m:r>
          <m:rPr>
            <m:sty m:val="p"/>
          </m:rPr>
          <m:t>≈</m:t>
        </m:r>
      </m:oMath>
      <w:r>
        <w:t xml:space="preserve"> </w:t>
      </w:r>
      <w:r>
        <w:t xml:space="preserve">30,360; full three-way (M11) N</w:t>
      </w:r>
      <w:r>
        <w:t xml:space="preserve"> </w:t>
      </w:r>
      <m:oMath>
        <m:r>
          <m:rPr>
            <m:sty m:val="p"/>
          </m:rPr>
          <m:t>≈</m:t>
        </m:r>
      </m:oMath>
      <w:r>
        <w:t xml:space="preserve"> </w:t>
      </w:r>
      <w:r>
        <w:t xml:space="preserve">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w:t>
      </w:r>
      <w:r>
        <w:t xml:space="preserve"> </w:t>
      </w:r>
      <m:oMath>
        <m:r>
          <m:rPr>
            <m:sty m:val="p"/>
          </m:rPr>
          <m:t>≈</m:t>
        </m:r>
      </m:oMath>
      <w:r>
        <w:t xml:space="preserve"> </w:t>
      </w:r>
      <w:r>
        <w:t xml:space="preserve">0), reflecting the fact that most WBES firms are domestically oriented; exporters (FSTS &gt; 0) represent approximately 18% of the sample. Labour productivity ranges from ln(LP)</w:t>
      </w:r>
      <w:r>
        <w:t xml:space="preserve"> </w:t>
      </w:r>
      <m:oMath>
        <m:r>
          <m:rPr>
            <m:sty m:val="p"/>
          </m:rPr>
          <m:t>≈</m:t>
        </m:r>
      </m:oMath>
      <w:r>
        <w:t xml:space="preserve"> </w:t>
      </w:r>
      <w:r>
        <w:t xml:space="preserve">9 (Kiribati, Timor-Leste) to ln(LP)</w:t>
      </w:r>
      <w:r>
        <w:t xml:space="preserve"> </w:t>
      </w:r>
      <m:oMath>
        <m:r>
          <m:rPr>
            <m:sty m:val="p"/>
          </m:rPr>
          <m:t>≈</m:t>
        </m:r>
      </m:oMath>
      <w:r>
        <w:t xml:space="preserve"> </w:t>
      </w:r>
      <w:r>
        <w:t xml:space="preserve">20 (Vietnam, Korea, reflecting PPP-unadjusted nominal sales differences). Pairwise correlations among focal variables are modest (|r| &lt;.15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w:t>
      </w:r>
      <m:oMath>
        <m:sSup>
          <m:e>
            <m:r>
              <m:t>R</m:t>
            </m:r>
          </m:e>
          <m:sup>
            <m:r>
              <m:t>2</m:t>
            </m:r>
          </m:sup>
        </m:sSup>
      </m:oMath>
      <w:r>
        <w:t xml:space="preserve"> </w:t>
      </w:r>
      <w:r>
        <w:t xml:space="preserve">=.000). Adding the quadratic term</w:t>
      </w:r>
      <w:r>
        <w:t xml:space="preserve"> </w:t>
      </w:r>
      <m:oMath>
        <m:sSup>
          <m:e>
            <m:r>
              <m:rPr>
                <m:nor/>
                <m:sty m:val="p"/>
              </m:rPr>
              <m:t>FSTS</m:t>
            </m:r>
          </m:e>
          <m:sup>
            <m:r>
              <m:t>2</m:t>
            </m:r>
          </m:sup>
        </m:sSup>
      </m:oMath>
      <w:r>
        <w:t xml:space="preserve"> </w:t>
      </w:r>
      <w:r>
        <w:t xml:space="preserve">(M2) yields</w:t>
      </w:r>
      <w:r>
        <w:t xml:space="preserve"> </w:t>
      </w:r>
      <m:oMath>
        <m:sSub>
          <m:e>
            <m:r>
              <m:t>β</m:t>
            </m:r>
          </m:e>
          <m:sub>
            <m:r>
              <m:t>1</m:t>
            </m:r>
          </m:sub>
        </m:sSub>
      </m:oMath>
      <w:r>
        <w:t xml:space="preserve"> </w:t>
      </w:r>
      <w:r>
        <w:t xml:space="preserve">= +1.211 (p &lt;.001) and</w:t>
      </w:r>
      <w:r>
        <w:t xml:space="preserve"> </w:t>
      </w:r>
      <m:oMath>
        <m:sSub>
          <m:e>
            <m:r>
              <m:t>β</m:t>
            </m:r>
          </m:e>
          <m:sub>
            <m:r>
              <m:t>2</m:t>
            </m:r>
          </m:sub>
        </m:sSub>
      </m:oMath>
      <w:r>
        <w:t xml:space="preserve"> </w:t>
      </w:r>
      <w:r>
        <w:t xml:space="preserve">= −1.630 (p &lt;.001), consistent with an inverted-U. Following Haans, Pieters, and He (2016), all four formal conditions for a genuine inverted-U are satisfied in M2: (C1)</w:t>
      </w:r>
      <w:r>
        <w:t xml:space="preserve"> </w:t>
      </w:r>
      <m:oMath>
        <m:sSub>
          <m:e>
            <m:r>
              <m:t>β</m:t>
            </m:r>
          </m:e>
          <m:sub>
            <m:r>
              <m:t>1</m:t>
            </m:r>
          </m:sub>
        </m:sSub>
      </m:oMath>
      <w:r>
        <w:t xml:space="preserve"> </w:t>
      </w:r>
      <w:r>
        <w:t xml:space="preserve">= +1.211 (p &lt;.001), confirming a positive ascending limb; (C2)</w:t>
      </w:r>
      <w:r>
        <w:t xml:space="preserve"> </w:t>
      </w:r>
      <m:oMath>
        <m:sSub>
          <m:e>
            <m:r>
              <m:t>β</m:t>
            </m:r>
          </m:e>
          <m:sub>
            <m:r>
              <m:t>2</m:t>
            </m:r>
          </m:sub>
        </m:sSub>
      </m:oMath>
      <w:r>
        <w:t xml:space="preserve"> </w:t>
      </w:r>
      <w:r>
        <w:t xml:space="preserve">= −1.630 (p &lt;.001), confirming concavity; (C3) the turning point TP*</w:t>
      </w:r>
      <w:r>
        <w:t xml:space="preserve"> </w:t>
      </w:r>
      <m:oMath>
        <m:r>
          <m:rPr>
            <m:sty m:val="p"/>
          </m:rPr>
          <m:t>≈</m:t>
        </m:r>
      </m:oMath>
      <w:r>
        <w:t xml:space="preserve"> </w:t>
      </w:r>
      <w:r>
        <w:t xml:space="preserve">37.1% lies well within the observed FSTS range [0%, 100%]; and (C4) the marginal effect of internationalization is positive at the lower data boundary (FSTS</w:t>
      </w:r>
      <w:r>
        <w:t xml:space="preserve"> </w:t>
      </w:r>
      <m:oMath>
        <m:r>
          <m:rPr>
            <m:sty m:val="p"/>
          </m:rPr>
          <m:t>≈</m:t>
        </m:r>
      </m:oMath>
      <w:r>
        <w:t xml:space="preserve"> </w:t>
      </w:r>
      <w:r>
        <w:t xml:space="preserve">0%, slope</w:t>
      </w:r>
      <w:r>
        <w:t xml:space="preserve"> </w:t>
      </w:r>
      <m:oMath>
        <m:r>
          <m:rPr>
            <m:sty m:val="p"/>
          </m:rPr>
          <m:t>≈</m:t>
        </m:r>
      </m:oMath>
      <w:r>
        <w:t xml:space="preserve"> </w:t>
      </w:r>
      <w:r>
        <w:t xml:space="preserve">+1.21) and negative at the upper boundary (FSTS</w:t>
      </w:r>
      <w:r>
        <w:t xml:space="preserve"> </w:t>
      </w:r>
      <m:oMath>
        <m:r>
          <m:rPr>
            <m:sty m:val="p"/>
          </m:rPr>
          <m:t>≈</m:t>
        </m:r>
      </m:oMath>
      <w:r>
        <w:t xml:space="preserve"> </w:t>
      </w:r>
      <w:r>
        <w:t xml:space="preserve">100%, slope</w:t>
      </w:r>
      <w:r>
        <w:t xml:space="preserve"> </w:t>
      </w:r>
      <m:oMath>
        <m:r>
          <m:rPr>
            <m:sty m:val="p"/>
          </m:rPr>
          <m:t>≈</m:t>
        </m:r>
      </m:oMath>
      <w:r>
        <w:t xml:space="preserve"> </w:t>
      </w:r>
      <w:r>
        <w:t xml:space="preserve">−2.05), with opposite signs confirmed by the Lind–Mehlum (2010) u-test (joint p &lt;.001). The inverted-U remains significant when controls are added (M3: TP = 34.1%, LM p &lt;.001) and when country-year fixed effects absorb all unobserved time-varying country heterogeneity (M5: TP = 39.5%, LM p &lt;.001, adj</w:t>
      </w:r>
      <m:oMath>
        <m:sSup>
          <m:e>
            <m:r>
              <m:t>R</m:t>
            </m:r>
          </m:e>
          <m:sup>
            <m:r>
              <m:t>2</m:t>
            </m:r>
          </m:sup>
        </m:sSup>
      </m:oMath>
      <w:r>
        <w:t xml:space="preserve"> </w:t>
      </w:r>
      <w:r>
        <w:t xml:space="preserve">=.671). The consistency of the turning point across M2, M3, and M5, ranging from 34.1% to 39.5%, provides strong evidence that the inverted-U is not an artefact of omitted country-level confounders. The inverted-U is also confirmed in the full three-way moderation model M11 (TP = 25.7%, LM p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w:t>
      </w:r>
      <w:r>
        <w:t xml:space="preserve"> </w:t>
      </w:r>
      <m:oMath>
        <m:r>
          <m:t>β</m:t>
        </m:r>
      </m:oMath>
      <w:r>
        <w:t xml:space="preserve"> </w:t>
      </w:r>
      <w:r>
        <w:t xml:space="preserve">= +0.342, p &lt;.001) raises adj</w:t>
      </w:r>
      <m:oMath>
        <m:sSup>
          <m:e>
            <m:r>
              <m:t>R</m:t>
            </m:r>
          </m:e>
          <m:sup>
            <m:r>
              <m:t>2</m:t>
            </m:r>
          </m:sup>
        </m:sSup>
      </m:oMath>
      <w:r>
        <w:t xml:space="preserve"> </w:t>
      </w:r>
      <w:r>
        <w:t xml:space="preserve">from.017 to.027. The interaction model M7 adds</w:t>
      </w:r>
      <w:r>
        <w:t xml:space="preserve"> </w:t>
      </w:r>
      <m:oMath>
        <m:r>
          <m:rPr>
            <m:nor/>
            <m:sty m:val="p"/>
          </m:rPr>
          <m:t>FSTS</m:t>
        </m:r>
        <m:r>
          <m:rPr>
            <m:sty m:val="p"/>
          </m:rPr>
          <m:t>×</m:t>
        </m:r>
        <m:r>
          <m:rPr>
            <m:nor/>
            <m:sty m:val="p"/>
          </m:rPr>
          <m:t>TCI</m:t>
        </m:r>
      </m:oMath>
      <w:r>
        <w:t xml:space="preserve"> </w:t>
      </w:r>
      <w:r>
        <w:t xml:space="preserve">and</w:t>
      </w:r>
      <w:r>
        <w:t xml:space="preserve"> </w:t>
      </w:r>
      <m:oMath>
        <m:sSup>
          <m:e>
            <m:r>
              <m:rPr>
                <m:nor/>
                <m:sty m:val="p"/>
              </m:rPr>
              <m:t>FSTS</m:t>
            </m:r>
          </m:e>
          <m:sup>
            <m:r>
              <m:t>2</m:t>
            </m:r>
          </m:sup>
        </m:sSup>
        <m:r>
          <m:rPr>
            <m:sty m:val="p"/>
          </m:rPr>
          <m:t>×</m:t>
        </m:r>
        <m:r>
          <m:rPr>
            <m:nor/>
            <m:sty m:val="p"/>
          </m:rPr>
          <m:t>TCI</m:t>
        </m:r>
      </m:oMath>
      <w:r>
        <w:t xml:space="preserve">. Results show:</w:t>
      </w:r>
    </w:p>
    <w:p>
      <w:pPr>
        <w:numPr>
          <w:ilvl w:val="0"/>
          <w:numId w:val="1001"/>
        </w:numPr>
        <w:pStyle w:val="Compact"/>
      </w:pPr>
      <w:r>
        <w:t xml:space="preserve">TCI main effect:</w:t>
      </w:r>
      <w:r>
        <w:t xml:space="preserve"> </w:t>
      </w:r>
      <m:oMath>
        <m:r>
          <m:t>β</m:t>
        </m:r>
      </m:oMath>
      <w:r>
        <w:t xml:space="preserve"> </w:t>
      </w:r>
      <w:r>
        <w:t xml:space="preserve">= +0.372 (p &lt;.001), higher TCI raises baseline performance</w:t>
      </w:r>
    </w:p>
    <w:p>
      <w:pPr>
        <w:numPr>
          <w:ilvl w:val="0"/>
          <w:numId w:val="1001"/>
        </w:numPr>
        <w:pStyle w:val="Compact"/>
      </w:pPr>
      <m:oMath>
        <m:r>
          <m:rPr>
            <m:nor/>
            <m:sty m:val="p"/>
          </m:rPr>
          <m:t>FSTS</m:t>
        </m:r>
        <m:r>
          <m:rPr>
            <m:sty m:val="p"/>
          </m:rPr>
          <m:t>×</m:t>
        </m:r>
        <m:r>
          <m:rPr>
            <m:nor/>
            <m:sty m:val="p"/>
          </m:rPr>
          <m:t>TCI</m:t>
        </m:r>
      </m:oMath>
      <w:r>
        <w:t xml:space="preserve">:</w:t>
      </w:r>
      <w:r>
        <w:t xml:space="preserve"> </w:t>
      </w:r>
      <m:oMath>
        <m:r>
          <m:t>β</m:t>
        </m:r>
      </m:oMath>
      <w:r>
        <w:t xml:space="preserve"> </w:t>
      </w:r>
      <w:r>
        <w:t xml:space="preserve">= −0.090 (NS), the ascending limb interaction is not significant</w:t>
      </w:r>
    </w:p>
    <w:p>
      <w:pPr>
        <w:numPr>
          <w:ilvl w:val="0"/>
          <w:numId w:val="1001"/>
        </w:numPr>
        <w:pStyle w:val="Compact"/>
      </w:pPr>
      <m:oMath>
        <m:sSup>
          <m:e>
            <m:r>
              <m:rPr>
                <m:nor/>
                <m:sty m:val="p"/>
              </m:rPr>
              <m:t>FSTS</m:t>
            </m:r>
          </m:e>
          <m:sup>
            <m:r>
              <m:t>2</m:t>
            </m:r>
          </m:sup>
        </m:sSup>
        <m:r>
          <m:rPr>
            <m:sty m:val="p"/>
          </m:rPr>
          <m:t>×</m:t>
        </m:r>
        <m:r>
          <m:rPr>
            <m:nor/>
            <m:sty m:val="p"/>
          </m:rPr>
          <m:t>TCI</m:t>
        </m:r>
      </m:oMath>
      <w:r>
        <w:t xml:space="preserve">:</w:t>
      </w:r>
      <w:r>
        <w:t xml:space="preserve"> </w:t>
      </w:r>
      <m:oMath>
        <m:r>
          <m:t>β</m:t>
        </m:r>
      </m:oMath>
      <w:r>
        <w:t xml:space="preserve"> </w:t>
      </w:r>
      <w:r>
        <w:t xml:space="preserve">= −0.227 (NS in M7; remains NS in M8, p =.077)</w:t>
      </w:r>
    </w:p>
    <w:p>
      <w:pPr>
        <w:pStyle w:val="FirstParagraph"/>
      </w:pPr>
      <w:r>
        <w:t xml:space="preserve">The joint F-test for the two TCI interaction terms is not significant across M7–M9. The inverted-U remains confirmed in M7 (TP = 34.2%, LM p &lt;.001). A one-SD increase in TCI raises labour productivity by exp(0.372) − 1</w:t>
      </w:r>
      <w:r>
        <w:t xml:space="preserve"> </w:t>
      </w:r>
      <m:oMath>
        <m:r>
          <m:rPr>
            <m:sty m:val="p"/>
          </m:rPr>
          <m:t>≈</m:t>
        </m:r>
      </m:oMath>
      <w:r>
        <w:t xml:space="preserve"> </w:t>
      </w:r>
      <w:r>
        <w:t xml:space="preserve">45%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the companion Vietnam and China studies.</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w:t>
      </w:r>
      <m:oMath>
        <m:r>
          <m:t>β</m:t>
        </m:r>
      </m:oMath>
      <w:r>
        <w:t xml:space="preserve"> </w:t>
      </w:r>
      <w:r>
        <w:t xml:space="preserve">= +0.172, p &lt;.001), consistent with approximately a 19% performance premium for digitally active firms (exp(0.172) − 1</w:t>
      </w:r>
      <w:r>
        <w:t xml:space="preserve"> </w:t>
      </w:r>
      <m:oMath>
        <m:r>
          <m:rPr>
            <m:sty m:val="p"/>
          </m:rPr>
          <m:t>≈</m:t>
        </m:r>
      </m:oMath>
      <w:r>
        <w:t xml:space="preserve"> </w:t>
      </w:r>
      <w:r>
        <w:t xml:space="preserve">19%). Strikingly, both DAI interaction terms are statistically significant in M8:</w:t>
      </w:r>
      <w:r>
        <w:t xml:space="preserve"> </w:t>
      </w:r>
      <m:oMath>
        <m:r>
          <m:rPr>
            <m:nor/>
            <m:sty m:val="p"/>
          </m:rPr>
          <m:t>FSTS</m:t>
        </m:r>
        <m:r>
          <m:rPr>
            <m:sty m:val="p"/>
          </m:rPr>
          <m:t>×</m:t>
        </m:r>
        <m:r>
          <m:rPr>
            <m:nor/>
            <m:sty m:val="p"/>
          </m:rPr>
          <m:t>DAI</m:t>
        </m:r>
      </m:oMath>
      <w:r>
        <w:t xml:space="preserve"> </w:t>
      </w:r>
      <w:r>
        <w:t xml:space="preserve">= −0.588 (p &lt;.001,</w:t>
      </w:r>
      <w:r>
        <w:t xml:space="preserve"> </w:t>
      </w:r>
      <w:r>
        <w:rPr>
          <w:bCs/>
          <w:b/>
          <w:iCs/>
          <w:i/>
        </w:rPr>
        <w:t xml:space="preserve">) and</w:t>
      </w:r>
      <w:r>
        <w:rPr>
          <w:bCs/>
          <w:b/>
          <w:iCs/>
          <w:i/>
        </w:rPr>
        <w:t xml:space="preserve"> </w:t>
      </w:r>
      <m:oMath>
        <m:sSup>
          <m:e>
            <m:r>
              <m:rPr>
                <m:nor/>
                <m:sty m:val="p"/>
              </m:rPr>
              <m:t>FSTS</m:t>
            </m:r>
          </m:e>
          <m:sup>
            <m:r>
              <m:t>2</m:t>
            </m:r>
          </m:sup>
        </m:sSup>
        <m:r>
          <m:rPr>
            <m:sty m:val="p"/>
          </m:rPr>
          <m:t>×</m:t>
        </m:r>
        <m:r>
          <m:rPr>
            <m:nor/>
            <m:sty m:val="p"/>
          </m:rPr>
          <m:t>DAI</m:t>
        </m:r>
      </m:oMath>
      <w:r>
        <w:rPr>
          <w:bCs/>
          <w:b/>
          <w:iCs/>
          <w:i/>
        </w:rPr>
        <w:t xml:space="preserve"> </w:t>
      </w:r>
      <w:r>
        <w:rPr>
          <w:bCs/>
          <w:b/>
          <w:iCs/>
          <w:i/>
        </w:rPr>
        <w:t xml:space="preserve">= +0.726 (p =.002,</w:t>
      </w:r>
      <w:r>
        <w:rPr>
          <w:bCs/>
          <w:b/>
          <w:iCs/>
          <w:i/>
        </w:rPr>
        <w:t xml:space="preserve"> </w:t>
      </w:r>
      <w:r>
        <w:rPr>
          <w:iCs/>
          <w:i/>
        </w:rPr>
        <w:t xml:space="preserve">). The interaction pattern, negative</w:t>
      </w:r>
      <w:r>
        <w:rPr>
          <w:iCs/>
          <w:i/>
        </w:rPr>
        <w:t xml:space="preserve"> </w:t>
      </w:r>
      <m:oMath>
        <m:r>
          <m:rPr>
            <m:nor/>
            <m:sty m:val="p"/>
          </m:rPr>
          <m:t>FSTS</m:t>
        </m:r>
        <m:r>
          <m:rPr>
            <m:sty m:val="p"/>
          </m:rPr>
          <m:t>×</m:t>
        </m:r>
        <m:r>
          <m:rPr>
            <m:nor/>
            <m:sty m:val="p"/>
          </m:rPr>
          <m:t>DAI</m:t>
        </m:r>
      </m:oMath>
      <w:r>
        <w:rPr>
          <w:iCs/>
          <w:i/>
        </w:rPr>
        <w:t xml:space="preserve"> </w:t>
      </w:r>
      <w:r>
        <w:rPr>
          <w:iCs/>
          <w:i/>
        </w:rPr>
        <w:t xml:space="preserve">and positive</w:t>
      </w:r>
      <w:r>
        <w:rPr>
          <w:iCs/>
          <w:i/>
        </w:rPr>
        <w:t xml:space="preserve"> </w:t>
      </w:r>
      <m:oMath>
        <m:sSup>
          <m:e>
            <m:r>
              <m:rPr>
                <m:nor/>
                <m:sty m:val="p"/>
              </m:rPr>
              <m:t>FSTS</m:t>
            </m:r>
          </m:e>
          <m:sup>
            <m:r>
              <m:t>2</m:t>
            </m:r>
          </m:sup>
        </m:sSup>
        <m:r>
          <m:rPr>
            <m:sty m:val="p"/>
          </m:rPr>
          <m:t>×</m:t>
        </m:r>
        <m:r>
          <m:rPr>
            <m:nor/>
            <m:sty m:val="p"/>
          </m:rPr>
          <m:t>DAI</m:t>
        </m:r>
      </m:oMath>
      <w:r>
        <w:rPr>
          <w:iCs/>
          <w:i/>
        </w:rPr>
        <w:t xml:space="preserve">,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w:t>
      </w:r>
      <w:r>
        <w:rPr>
          <w:iCs/>
          <w:i/>
        </w:rPr>
        <w:t xml:space="preserve"> </w:t>
      </w:r>
      <m:oMath>
        <m:r>
          <m:rPr>
            <m:nor/>
            <m:sty m:val="p"/>
          </m:rPr>
          <m:t>FSTS</m:t>
        </m:r>
        <m:r>
          <m:rPr>
            <m:sty m:val="p"/>
          </m:rPr>
          <m:t>×</m:t>
        </m:r>
        <m:r>
          <m:rPr>
            <m:nor/>
            <m:sty m:val="p"/>
          </m:rPr>
          <m:t>DAI</m:t>
        </m:r>
      </m:oMath>
      <w:r>
        <w:rPr>
          <w:iCs/>
          <w:i/>
        </w:rPr>
        <w:t xml:space="preserve"> </w:t>
      </w:r>
      <w:r>
        <w:rPr>
          <w:iCs/>
          <w:i/>
        </w:rPr>
        <w:t xml:space="preserve">= −0.786 (p &lt;.001,</w:t>
      </w:r>
      <w:r>
        <w:rPr>
          <w:iCs/>
          <w:i/>
        </w:rPr>
        <w:t xml:space="preserve"> </w:t>
      </w:r>
      <w:r>
        <w:rPr>
          <w:bCs/>
          <w:b/>
        </w:rPr>
        <w:t xml:space="preserve">) and</w:t>
      </w:r>
      <w:r>
        <w:rPr>
          <w:bCs/>
          <w:b/>
        </w:rPr>
        <w:t xml:space="preserve"> </w:t>
      </w:r>
      <m:oMath>
        <m:sSup>
          <m:e>
            <m:r>
              <m:rPr>
                <m:nor/>
                <m:sty m:val="p"/>
              </m:rPr>
              <m:t>FSTS</m:t>
            </m:r>
          </m:e>
          <m:sup>
            <m:r>
              <m:t>2</m:t>
            </m:r>
          </m:sup>
        </m:sSup>
        <m:r>
          <m:rPr>
            <m:sty m:val="p"/>
          </m:rPr>
          <m:t>×</m:t>
        </m:r>
        <m:r>
          <m:rPr>
            <m:nor/>
            <m:sty m:val="p"/>
          </m:rPr>
          <m:t>DAI</m:t>
        </m:r>
      </m:oMath>
      <w:r>
        <w:rPr>
          <w:bCs/>
          <w:b/>
        </w:rPr>
        <w:t xml:space="preserve"> </w:t>
      </w:r>
      <w:r>
        <w:rPr>
          <w:bCs/>
          <w:b/>
        </w:rPr>
        <w:t xml:space="preserve">= +0.982 (p &lt;.001,</w:t>
      </w:r>
      <w:r>
        <w:rPr>
          <w:bCs/>
          <w:b/>
        </w:rPr>
        <w:t xml:space="preserve"> </w:t>
      </w:r>
      <w:r>
        <w:t xml:space="preserve">*).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compressing the ascending limb and attenuating the performance decline at high FSTS,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w:t>
      </w:r>
      <m:oMath>
        <m:r>
          <m:t>β</m:t>
        </m:r>
      </m:oMath>
      <w:r>
        <w:t xml:space="preserve"> </w:t>
      </w:r>
      <w:r>
        <w:t xml:space="preserve">= +0.018, p &lt;.001) and female top manager (</w:t>
      </w:r>
      <m:oMath>
        <m:r>
          <m:t>β</m:t>
        </m:r>
      </m:oMath>
      <w:r>
        <w:t xml:space="preserve"> </w:t>
      </w:r>
      <w:r>
        <w:t xml:space="preserve">= +0.202, p &lt;.001) both raise firm performance independently of FSTS in M9. The experience effect implies approximately 2% higher labour productivity per additional year of sectoral experience; the female top manager effect implies approximately a 22% performance premium (exp(0.202) − 1</w:t>
      </w:r>
      <w:r>
        <w:t xml:space="preserve"> </w:t>
      </w:r>
      <m:oMath>
        <m:r>
          <m:rPr>
            <m:sty m:val="p"/>
          </m:rPr>
          <m:t>≈</m:t>
        </m:r>
      </m:oMath>
      <w:r>
        <w:t xml:space="preserve"> </w:t>
      </w:r>
      <w:r>
        <w:t xml:space="preserve">22%). The FSTS</w:t>
      </w:r>
      <m:oMath>
        <m:r>
          <m:rPr>
            <m:sty m:val="p"/>
          </m:rPr>
          <m:t>×</m:t>
        </m:r>
      </m:oMath>
      <w:r>
        <w:t xml:space="preserve">manager_experience interaction is not significant in either M9 (</w:t>
      </w:r>
      <m:oMath>
        <m:r>
          <m:t>β</m:t>
        </m:r>
      </m:oMath>
      <w:r>
        <w:t xml:space="preserve"> </w:t>
      </w:r>
      <w:r>
        <w:t xml:space="preserve">= +0.005, p =.29) or M11 (</w:t>
      </w:r>
      <m:oMath>
        <m:r>
          <m:t>β</m:t>
        </m:r>
      </m:oMath>
      <w:r>
        <w:t xml:space="preserve"> </w:t>
      </w:r>
      <w:r>
        <w:t xml:space="preserve">= +0.007, p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w:t>
      </w:r>
      <m:oMath>
        <m:r>
          <m:t>β</m:t>
        </m:r>
      </m:oMath>
      <w:r>
        <w:t xml:space="preserve"> </w:t>
      </w:r>
      <w:r>
        <w:t xml:space="preserve">= +0.592, p &lt;.001) indicates that, controlling for TCI, DAI, and firm characteristics, each step up the ICRV scale (from Group I to VI, i.e., from stronger to weaker institutions) is associated with approximately an 81% higher labour productivity level (exp(0.592) − 1</w:t>
      </w:r>
      <w:r>
        <w:t xml:space="preserve"> </w:t>
      </w:r>
      <m:oMath>
        <m:r>
          <m:rPr>
            <m:sty m:val="p"/>
          </m:rPr>
          <m:t>≈</m:t>
        </m:r>
      </m:oMath>
      <w:r>
        <w:t xml:space="preserve"> </w:t>
      </w:r>
      <w:r>
        <w:t xml:space="preserve">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w:t>
      </w:r>
      <w:r>
        <w:t xml:space="preserve"> </w:t>
      </w:r>
      <m:oMath>
        <m:r>
          <m:rPr>
            <m:nor/>
            <m:sty m:val="p"/>
          </m:rPr>
          <m:t>FSTS</m:t>
        </m:r>
        <m:r>
          <m:rPr>
            <m:sty m:val="p"/>
          </m:rPr>
          <m:t>×</m:t>
        </m:r>
        <m:r>
          <m:rPr>
            <m:nor/>
            <m:sty m:val="p"/>
          </m:rPr>
          <m:t>ICRV</m:t>
        </m:r>
      </m:oMath>
      <w:r>
        <w:t xml:space="preserve"> </w:t>
      </w:r>
      <w:r>
        <w:t xml:space="preserve">(</w:t>
      </w:r>
      <m:oMath>
        <m:r>
          <m:t>β</m:t>
        </m:r>
      </m:oMath>
      <w:r>
        <w:t xml:space="preserve"> </w:t>
      </w:r>
      <w:r>
        <w:t xml:space="preserve">= +1.849, p &lt;.001) and</w:t>
      </w:r>
      <w:r>
        <w:t xml:space="preserve"> </w:t>
      </w:r>
      <m:oMath>
        <m:sSup>
          <m:e>
            <m:r>
              <m:rPr>
                <m:nor/>
                <m:sty m:val="p"/>
              </m:rPr>
              <m:t>FSTS</m:t>
            </m:r>
          </m:e>
          <m:sup>
            <m:r>
              <m:t>2</m:t>
            </m:r>
          </m:sup>
        </m:sSup>
        <m:r>
          <m:rPr>
            <m:sty m:val="p"/>
          </m:rPr>
          <m:t>×</m:t>
        </m:r>
        <m:r>
          <m:rPr>
            <m:nor/>
            <m:sty m:val="p"/>
          </m:rPr>
          <m:t>ICRV</m:t>
        </m:r>
      </m:oMath>
      <w:r>
        <w:t xml:space="preserve"> </w:t>
      </w:r>
      <w:r>
        <w:t xml:space="preserve">(</w:t>
      </w:r>
      <m:oMath>
        <m:r>
          <m:t>β</m:t>
        </m:r>
      </m:oMath>
      <w:r>
        <w:t xml:space="preserve"> </w:t>
      </w:r>
      <w:r>
        <w:t xml:space="preserve">= −2.932, p &lt;.001). The negative</w:t>
      </w:r>
      <w:r>
        <w:t xml:space="preserve"> </w:t>
      </w:r>
      <m:oMath>
        <m:sSup>
          <m:e>
            <m:r>
              <m:rPr>
                <m:nor/>
                <m:sty m:val="p"/>
              </m:rPr>
              <m:t>FSTS</m:t>
            </m:r>
          </m:e>
          <m:sup>
            <m:r>
              <m:t>2</m:t>
            </m:r>
          </m:sup>
        </m:sSup>
        <m:r>
          <m:rPr>
            <m:sty m:val="p"/>
          </m:rPr>
          <m:t>×</m:t>
        </m:r>
        <m:r>
          <m:rPr>
            <m:nor/>
            <m:sty m:val="p"/>
          </m:rPr>
          <m:t>ICRV</m:t>
        </m:r>
      </m:oMath>
      <w:r>
        <w:t xml:space="preserve"> </w:t>
      </w:r>
      <w:r>
        <w:t xml:space="preserve">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even mildly convex within the observed range,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w:t>
      </w:r>
      <m:oMath>
        <m:r>
          <m:rPr>
            <m:nor/>
            <m:sty m:val="p"/>
          </m:rPr>
          <m:t>FSTS</m:t>
        </m:r>
        <m:r>
          <m:rPr>
            <m:sty m:val="p"/>
          </m:rPr>
          <m:t>×</m:t>
        </m:r>
        <m:r>
          <m:rPr>
            <m:nor/>
            <m:sty m:val="p"/>
          </m:rPr>
          <m:t>DAI</m:t>
        </m:r>
        <m:r>
          <m:rPr>
            <m:sty m:val="p"/>
          </m:rPr>
          <m:t>×</m:t>
        </m:r>
        <m:r>
          <m:rPr>
            <m:nor/>
            <m:sty m:val="p"/>
          </m:rPr>
          <m:t>ICRV</m:t>
        </m:r>
      </m:oMath>
      <w:r>
        <w:t xml:space="preserve">, plus constituent lower-order interactions). The Lind–Mehlum test in M11 confirms the inverted-U (TP = 25.7%, LM p =.026), establishing that the inverted-U shape holds even in the most demanding specification.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=.049, *) is statistically significant, consistent with the CDCM prediction that digital capabilities provide stronger per-unit performance effects in weaker institutional environments.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w:t>
      </w:r>
      <m:oMath>
        <m:r>
          <m:t>β</m:t>
        </m:r>
      </m:oMath>
      <w:r>
        <w:t xml:space="preserve"> </w:t>
      </w:r>
      <w:r>
        <w:t xml:space="preserve">= −0.016, NS) is not significant, indicating that the DAI curve-reshaping effect documented in M8/M9 does not systematically vary across the ICRV regime gradient in this specification.</w:t>
      </w:r>
    </w:p>
    <w:p>
      <w:pPr>
        <w:pStyle w:val="BodyText"/>
      </w:pPr>
      <w:r>
        <w:t xml:space="preserve">Adj</w:t>
      </w:r>
      <m:oMath>
        <m:sSup>
          <m:e>
            <m:r>
              <m:t>R</m:t>
            </m:r>
          </m:e>
          <m:sup>
            <m:r>
              <m:t>2</m:t>
            </m:r>
          </m:sup>
        </m:sSup>
      </m:oMath>
      <w:r>
        <w:t xml:space="preserve"> </w:t>
      </w:r>
      <w:r>
        <w:t xml:space="preserve">=.057 in M11 (vs..039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w:t>
      </w:r>
      <w:r>
        <w:t xml:space="preserve"> </w:t>
      </w:r>
      <m:oMath>
        <m:r>
          <m:rPr>
            <m:nor/>
            <m:sty m:val="p"/>
          </m:rPr>
          <m:t>DAI</m:t>
        </m:r>
        <m:r>
          <m:rPr>
            <m:sty m:val="p"/>
          </m:rPr>
          <m:t>×</m:t>
        </m:r>
        <m:r>
          <m:rPr>
            <m:nor/>
            <m:sty m:val="p"/>
          </m:rPr>
          <m:t>ICRV</m:t>
        </m:r>
      </m:oMath>
      <w:r>
        <w:t xml:space="preserve"> </w:t>
      </w:r>
      <w:r>
        <w:t xml:space="preserve">main interaction is statistically significant (p =.049), supporting regime-contingent digital effects. The three-way FSTS curve-reshaping via</w:t>
      </w:r>
      <w:r>
        <w:t xml:space="preserve"> </w:t>
      </w:r>
      <m:oMath>
        <m:r>
          <m:rPr>
            <m:nor/>
            <m:sty m:val="p"/>
          </m:rPr>
          <m:t>DAI</m:t>
        </m:r>
        <m:r>
          <m:rPr>
            <m:sty m:val="p"/>
          </m:rPr>
          <m:t>×</m:t>
        </m:r>
        <m:r>
          <m:rPr>
            <m:nor/>
            <m:sty m:val="p"/>
          </m:rPr>
          <m:t>ICRV</m:t>
        </m:r>
      </m:oMath>
      <w:r>
        <w:t xml:space="preserve"> </w:t>
      </w:r>
      <w:r>
        <w:t xml:space="preserve">does not reach statistical significance, the WBES DAI measure’s limited dimensionality (Tier 1–2 only) likely constrains detection of the full CDCM-predicted interaction.</w:t>
      </w:r>
    </w:p>
    <w:bookmarkEnd w:id="41"/>
    <w:bookmarkStart w:id="42" w:name="multidimensional-performance-robustness"/>
    <w:p>
      <w:pPr>
        <w:pStyle w:val="Heading3"/>
      </w:pPr>
      <w:r>
        <w:t xml:space="preserve">4.8 Multidimensional Performance Robustness</w:t>
      </w:r>
    </w:p>
    <w:p>
      <w:pPr>
        <w:pStyle w:val="FirstParagraph"/>
      </w:pPr>
      <w:r>
        <w:t xml:space="preserve">Firm performance is multidimensional (Combs, Crook, &amp; Shook, 2005; Richard, Devinney, Yip, &amp; Johnson, 2009), so this study tests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w:t>
      </w:r>
      <m:oMath>
        <m:sSup>
          <m:e>
            <m:r>
              <m:rPr>
                <m:nor/>
                <m:sty m:val="p"/>
              </m:rPr>
              <m:t>FSTS</m:t>
            </m:r>
          </m:e>
          <m:sup>
            <m:r>
              <m:t>2</m:t>
            </m:r>
          </m:sup>
        </m:sSup>
      </m:oMath>
      <w:r>
        <w:t xml:space="preserve"> </w:t>
      </w:r>
      <m:oMath>
        <m:r>
          <m:t>β</m:t>
        </m:r>
      </m:oMath>
      <w:r>
        <w:t xml:space="preserve"> </w:t>
      </w:r>
      <w:r>
        <w:t xml:space="preserve">= −0.80, p =.008; TP</w:t>
      </w:r>
      <w:r>
        <w:t xml:space="preserve"> </w:t>
      </w:r>
      <m:oMath>
        <m:r>
          <m:rPr>
            <m:sty m:val="p"/>
          </m:rPr>
          <m:t>≈</m:t>
        </m:r>
      </m:oMath>
      <w:r>
        <w:t xml:space="preserve"> </w:t>
      </w:r>
      <w:r>
        <w:t xml:space="preserve">37%) but is</w:t>
      </w:r>
      <w:r>
        <w:t xml:space="preserve"> </w:t>
      </w:r>
      <w:r>
        <w:rPr>
          <w:bCs/>
          <w:b/>
        </w:rPr>
        <w:t xml:space="preserve">not</w:t>
      </w:r>
      <w:r>
        <w:t xml:space="preserve"> </w:t>
      </w:r>
      <w:r>
        <w:t xml:space="preserve">detected for sales growth (</w:t>
      </w:r>
      <m:oMath>
        <m:sSup>
          <m:e>
            <m:r>
              <m:rPr>
                <m:nor/>
                <m:sty m:val="p"/>
              </m:rPr>
              <m:t>FSTS</m:t>
            </m:r>
          </m:e>
          <m:sup>
            <m:r>
              <m:t>2</m:t>
            </m:r>
          </m:sup>
        </m:sSup>
      </m:oMath>
      <w:r>
        <w:t xml:space="preserve"> </w:t>
      </w:r>
      <m:oMath>
        <m:r>
          <m:t>β</m:t>
        </m:r>
      </m:oMath>
      <w:r>
        <w:t xml:space="preserve"> </w:t>
      </w:r>
      <m:oMath>
        <m:r>
          <m:rPr>
            <m:sty m:val="p"/>
          </m:rPr>
          <m:t>≈</m:t>
        </m:r>
      </m:oMath>
      <w:r>
        <w:t xml:space="preserve"> </w:t>
      </w:r>
      <w:r>
        <w:t xml:space="preserve">0, p =.16; n.s.). This divergence is theoretically coherent rather than contradictory: the relocated-optimum mechanism concerns the</w:t>
      </w:r>
      <w:r>
        <w:t xml:space="preserve"> </w:t>
      </w:r>
      <w:r>
        <w:rPr>
          <w:iCs/>
          <w:i/>
        </w:rPr>
        <w:t xml:space="preserve">value captured per unit of internationalisation</w:t>
      </w:r>
      <w:r>
        <w:t xml:space="preserve">, a stock property of productivity,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this study flags this as a measurement limitation. The primary inverted-U finding should therefore be read as a property of cross-sectional productivity levels, not of firm growth trajectories.</w:t>
      </w:r>
    </w:p>
    <w:p>
      <w:r>
        <w:pict>
          <v:rect style="width:0;height:1.5pt" o:hralign="center" o:hrstd="t" o:hr="t"/>
        </w:pict>
      </w:r>
    </w:p>
    <w:bookmarkEnd w:id="42"/>
    <w:bookmarkEnd w:id="43"/>
    <w:bookmarkStart w:id="51" w:name="discussion"/>
    <w:p>
      <w:pPr>
        <w:pStyle w:val="Heading2"/>
      </w:pPr>
      <w:r>
        <w:t xml:space="preserve">5. Discussion</w:t>
      </w:r>
    </w:p>
    <w:bookmarkStart w:id="44" w:name="X578d84a21b3accaf1a7ada71f01c76c882cdaa8"/>
    <w:p>
      <w:pPr>
        <w:pStyle w:val="Heading3"/>
      </w:pPr>
      <w:r>
        <w:t xml:space="preserve">5.1 Theoretical Contributions: A Jointly-Determined Optimum</w:t>
      </w:r>
    </w:p>
    <w:p>
      <w:pPr>
        <w:pStyle w:val="FirstParagraph"/>
      </w:pPr>
      <w:r>
        <w:t xml:space="preserve">The present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this study offers a</w:t>
      </w:r>
      <w:r>
        <w:t xml:space="preserve"> </w:t>
      </w:r>
      <w:r>
        <w:rPr>
          <w:bCs/>
          <w:b/>
        </w:rPr>
        <w:t xml:space="preserve">relocated-optimum reframing</w:t>
      </w:r>
      <w:r>
        <w:t xml:space="preserve"> </w:t>
      </w:r>
      <w:r>
        <w:t xml:space="preserve">of the two-decade debate over the shape of the I–P curve. This study does not claim a novel non-linear functional form; the inverted-U is well established (Lu &amp; Beamish, 2004; Contractor et al., 2003; Bausch &amp; Krist, 2007; Kirca et al., 2012; Marano et al., 2016), and the role of context as a moderator is the canonical response to the resulting heterogeneity (Kirca et al., 2012; Marano et al., 2016; Wu et al., 2022). Our integrative reframing is that the inverted-U holds across all six ICRV regime groups (H1) while its shape is</w:t>
      </w:r>
      <w:r>
        <w:t xml:space="preserve"> </w:t>
      </w:r>
      <w:r>
        <w:rPr>
          <w:iCs/>
          <w:i/>
        </w:rPr>
        <w:t xml:space="preserve">not</w:t>
      </w:r>
      <w:r>
        <w:t xml:space="preserve"> </w:t>
      </w:r>
      <w:r>
        <w:t xml:space="preserve">a fixed structural parameter: the institutional regime governs the curve’s</w:t>
      </w:r>
      <w:r>
        <w:t xml:space="preserve"> </w:t>
      </w:r>
      <w:r>
        <w:rPr>
          <w:iCs/>
          <w:i/>
        </w:rPr>
        <w:t xml:space="preserve">amplitude</w:t>
      </w:r>
      <w:r>
        <w:t xml:space="preserve"> </w:t>
      </w:r>
      <w:r>
        <w:t xml:space="preserve">(H5), a pronounced inverted-U in weaker-institution economies flattening toward a near-linear profile in advanced ones, while digital capability reshapes the curve and relocates its effective optimum (H3). This dissolves the apparent contradiction between studies reporting positive-linear, inverted-U, and null effects (Section 5.2): they observe a single underlying curve whose sharpness, and whose payoff at high export intensity, are jointly set by institutional quality and digital capability. The contribution is therefore not to overturn the inverted-U canon but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The closest prior firm-level evidence is Bustamante, Mingo, and Matusik (2022), who document complementary institutional and digital-capability effects on SME internationalization in a multi-country sample; the contribution of this study is to extend that line by showing the substitution direction (not complementarity) emerges in the specific case of the export-intensity–performance conversion when the digital measure is the foundational Tier-1/Tier-2 capability captured by WBES across 45 institutionally heterogeneous economies. Read against this precedent, the result is incremental rather than discovery-class, and the substantive p =.049 estimate should be interpreted with appropriate caution (see Section 5.4).</w:t>
      </w:r>
    </w:p>
    <w:p>
      <w:pPr>
        <w:pStyle w:val="BodyText"/>
      </w:pPr>
      <w:r>
        <w:t xml:space="preserve">Third, the</w:t>
      </w:r>
      <w:r>
        <w:t xml:space="preserve"> </w:t>
      </w:r>
      <w:r>
        <w:rPr>
          <w:bCs/>
          <w:b/>
        </w:rPr>
        <w:t xml:space="preserve">level–relocation distinction</w:t>
      </w:r>
      <w:r>
        <w:t xml:space="preserve"> </w:t>
      </w:r>
      <w:r>
        <w:t xml:space="preserve">sharpens an analytical distinction that the capabilities and contingency literatures often invoke implicitly. Building on the long-standing distinction between performance-level shifters and curve-shape moderators in non-linear strategy research (Haans, Pieters, &amp; He, 2016), this study operationalises the distinction empirically across 45 economies: technological capability raises the performance level across the curve but does not reliably relocate the optimum in the pooled sample (Section 5.3), whereas institutional regime relocates the optimum without uniformly lifting the level. Distinguishing optimum-relocating forces from level-shifting forces clarifies why country-specific capability findings (e.g., TCI moderation in the companion Vietnam and China studies) need not generalise: capability-driven curve reshaping requires an institutional complementarity that is unevenly present across the ICRV spectrum.</w:t>
      </w:r>
    </w:p>
    <w:p>
      <w:pPr>
        <w:pStyle w:val="BodyText"/>
      </w:pPr>
      <w:r>
        <w:t xml:space="preserve">Fourth, this study offers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dimensions that the varieties-of-capitalism (Hall &amp; Soskice, 2001) and institutional-voids (Khanna &amp; Palepu, 1997) traditions treat separately, ICRV predicts both the slope and the curvature of the I–P function across 45 economies, providing a transportable scaffold for theorising firm strategy under heterogeneous institutional regimes.</w:t>
      </w:r>
    </w:p>
    <w:bookmarkEnd w:id="44"/>
    <w:bookmarkStart w:id="45" w:name="resolution-of-cross-study-heterogeneity"/>
    <w:p>
      <w:pPr>
        <w:pStyle w:val="Heading3"/>
      </w:pPr>
      <w:r>
        <w:t xml:space="preserve">5.2 Resolution of Cross-Study Heterogeneity</w:t>
      </w:r>
    </w:p>
    <w:p>
      <w:pPr>
        <w:pStyle w:val="FirstParagraph"/>
      </w:pPr>
      <w:r>
        <w:t xml:space="preserve">The central finding, an inverted-U with a turning point at approximately 37% foreign sales intensity, robust across 45 economies and six ICRV groups,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the companion Vietnam and China studies,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and the significant</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=.049) in M11,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p>
      <w:pPr>
        <w:pStyle w:val="BodyText"/>
      </w:pPr>
      <w:r>
        <w:t xml:space="preserve">The pattern of significance across the two- and three-way terms is itself substantively informative and should be read as a structural boundary rather than a weakness of the evidence. The two-way</w:t>
      </w:r>
      <w:r>
        <w:t xml:space="preserve"> </w:t>
      </w:r>
      <m:oMath>
        <m:r>
          <m:rPr>
            <m:nor/>
            <m:sty m:val="p"/>
          </m:rPr>
          <m:t>DAI</m:t>
        </m:r>
        <m:r>
          <m:rPr>
            <m:sty m:val="p"/>
          </m:rPr>
          <m:t>×</m:t>
        </m:r>
        <m:r>
          <m:rPr>
            <m:nor/>
            <m:sty m:val="p"/>
          </m:rPr>
          <m:t>ICRV</m:t>
        </m:r>
      </m:oMath>
      <w:r>
        <w:t xml:space="preserve"> </w:t>
      </w:r>
      <w:r>
        <w:t xml:space="preserve">interaction is significant (</w:t>
      </w:r>
      <m:oMath>
        <m:r>
          <m:t>β</m:t>
        </m:r>
      </m:oMath>
      <w:r>
        <w:t xml:space="preserve"> </w:t>
      </w:r>
      <w:r>
        <w:t xml:space="preserve">= +0.052, p =.049) while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is null: digital capability raises and protects the performance</w:t>
      </w:r>
      <w:r>
        <w:t xml:space="preserve"> </w:t>
      </w:r>
      <w:r>
        <w:rPr>
          <w:iCs/>
          <w:i/>
        </w:rPr>
        <w:t xml:space="preserve">level</w:t>
      </w:r>
      <w:r>
        <w:t xml:space="preserve"> </w:t>
      </w:r>
      <w:r>
        <w:t xml:space="preserve">more in weaker-institution regimes, but it does not detectably reshape the</w:t>
      </w:r>
      <w:r>
        <w:t xml:space="preserve"> </w:t>
      </w:r>
      <w:r>
        <w:rPr>
          <w:iCs/>
          <w:i/>
        </w:rPr>
        <w:t xml:space="preserve">curvature</w:t>
      </w:r>
      <w:r>
        <w:t xml:space="preserve"> </w:t>
      </w:r>
      <w:r>
        <w:t xml:space="preserve">of the I–P function across the institutional gradient. The analysis interprets this asymmetry as the signature of substitution operating at the level rather than the shape. The substitution mechanism, foundational digital tools standing in for the contract-enforcement and market-information functions that strong institutions otherwise supply, is powerful enough to lift the productivity floor where institutions are thin, but the surface-level Tier-1 and Tier-2 capabilities the WBES captures (a static website, an electronic-payment facility) are too thin an instrument to bend the second-order curvature of the export-performance trade-off in high-friction markets. The two-way result is therefore best read as a strong directional signal at the level margin rather than a settled magnitude, and the null three-way as a boundary on what surface digitalisation can accomplish, not as a refutation of the substitution logic.</w:t>
      </w:r>
    </w:p>
    <w:p>
      <w:pPr>
        <w:pStyle w:val="BodyText"/>
      </w:pPr>
      <w:r>
        <w:t xml:space="preserve">A multiple-comparison caveat applies. The two-way</w:t>
      </w:r>
      <w:r>
        <w:t xml:space="preserve"> </w:t>
      </w:r>
      <m:oMath>
        <m:r>
          <m:rPr>
            <m:nor/>
            <m:sty m:val="p"/>
          </m:rPr>
          <m:t>DAI</m:t>
        </m:r>
        <m:r>
          <m:rPr>
            <m:sty m:val="p"/>
          </m:rPr>
          <m:t>×</m:t>
        </m:r>
        <m:r>
          <m:rPr>
            <m:nor/>
            <m:sty m:val="p"/>
          </m:rPr>
          <m:t>ICRV</m:t>
        </m:r>
      </m:oMath>
      <w:r>
        <w:t xml:space="preserve"> </w:t>
      </w:r>
      <w:r>
        <w:t xml:space="preserve">interaction at p =.049 was estimated alongside several other moderator and three-way terms across the M5–M11 sequence (Appendix A); under a Bonferroni-style correction for the principal interactions of theoretical interest (TCI moderation, DAI moderation, ICRV moderation, and the FSTS × DAI × ICRV three-way), the per-test threshold tightens to approximately</w:t>
      </w:r>
      <w:r>
        <w:t xml:space="preserve"> </w:t>
      </w:r>
      <m:oMath>
        <m:sSup>
          <m:e>
            <m:r>
              <m:t>α</m:t>
            </m:r>
          </m:e>
          <m:sup>
            <m:r>
              <m:rPr>
                <m:sty m:val="p"/>
              </m:rPr>
              <m:t>*</m:t>
            </m:r>
          </m:sup>
        </m:sSup>
        <m:r>
          <m:rPr>
            <m:sty m:val="p"/>
          </m:rPr>
          <m:t>≈</m:t>
        </m:r>
        <m:r>
          <m:t>.013</m:t>
        </m:r>
      </m:oMath>
      <w:r>
        <w:t xml:space="preserve">, which the p =.049 estimate does</w:t>
      </w:r>
      <w:r>
        <w:t xml:space="preserve"> </w:t>
      </w:r>
      <w:r>
        <w:rPr>
          <w:iCs/>
          <w:i/>
        </w:rPr>
        <w:t xml:space="preserve">not</w:t>
      </w:r>
      <w:r>
        <w:t xml:space="preserve"> </w:t>
      </w:r>
      <w:r>
        <w:t xml:space="preserve">survive. The ICRV moderation of curvature (H5, both linear and quadratic interaction terms p &lt;.001) remains robust under any reasonable family-wise correction. This study therefore report the substitution result as a directionally consistent, theoretically anchored but pre-correction borderline finding that motivates targeted replication on a Tier 3–4-capable digital instrument, not as a definitively established estimate. Reading the p =.049 estimate with this caution, this study frames the substitution claim as the most theoretically consequential and empirically supported component of the digital story relative to the null three-way, while leaving the curvature-reshaping potential of richer (Tier 3–4) digital capabilities as an open question for future data.</w:t>
      </w:r>
    </w:p>
    <w:bookmarkEnd w:id="47"/>
    <w:bookmarkStart w:id="48" w:name="managerial-heterogeneity"/>
    <w:p>
      <w:pPr>
        <w:pStyle w:val="Heading3"/>
      </w:pPr>
      <w:r>
        <w:t xml:space="preserve">5.5 Managerial Heterogeneity</w:t>
      </w:r>
    </w:p>
    <w:p>
      <w:pPr>
        <w:pStyle w:val="FirstParagraph"/>
      </w:pPr>
      <w:r>
        <w:t xml:space="preserve">The consistent and significant performance premium for female top managers (approximately 22–23% across specifications) is notable given the diversity of economies in the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w:t>
      </w:r>
      <m:oMath>
        <m:r>
          <m:rPr>
            <m:sty m:val="p"/>
          </m:rPr>
          <m:t>×</m:t>
        </m:r>
      </m:oMath>
      <w:r>
        <w:t xml:space="preserve">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recent World Bank studies corroborate the premium from a supply-side perspective. In Vietnam, one of the largest ICRV Group IV contributors, with a female-to-male labour force participation ratio of 88.61% (World Bank Prosperity Data360, 2025),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the analysis estimates. At the sector level, IFC (2022) similarly documents that female leadership in Vietnamese banking is associated with superior risk management and stakeholder orientation,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limitations"/>
    <w:p>
      <w:pPr>
        <w:pStyle w:val="Heading3"/>
      </w:pPr>
      <w:r>
        <w:t xml:space="preserve">5.6 Limitations</w:t>
      </w:r>
    </w:p>
    <w:p>
      <w:pPr>
        <w:pStyle w:val="FirstParagraph"/>
      </w:pPr>
      <w:r>
        <w:t xml:space="preserve">Five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the companion Vietnam study to address selection into exporting is not available at scale across all forty-five economies, and as Section 2.4 notes the negative ascending-limb interaction for digital adoption cannot be fully separated from a selection-driven reading; the level effects, against which selection works, are the more securely interpretable estimates.</w:t>
      </w:r>
    </w:p>
    <w:p>
      <w:pPr>
        <w:pStyle w:val="BodyText"/>
      </w:pPr>
      <w:r>
        <w:t xml:space="preserve">Second, the DAI measure is limited to Tier 1 (website) and Tier 2 (e-payment) capabilities in most WBES waves; the richer digital-capability dimensions captured in more recent BEE-schema waves are not yet available for the majority of economies. This measurement floor is the most plausible explanation for the null three-way curvature interaction (Section 5.4) and bounds the substitution claim to the surface-digital layer.</w:t>
      </w:r>
    </w:p>
    <w:p>
      <w:pPr>
        <w:pStyle w:val="BodyText"/>
      </w:pPr>
      <w:r>
        <w:t xml:space="preserve">Third, the ICRV construct, although central to the contribution, is an author-constructed ordinal scale and warrants validation scrutiny. The strongly positive ICRV level coefficient (</w:t>
      </w:r>
      <m:oMath>
        <m:r>
          <m:t>β</m:t>
        </m:r>
      </m:oMath>
      <w:r>
        <w:t xml:space="preserve"> </w:t>
      </w:r>
      <w:r>
        <w:t xml:space="preserve">= +0.592) reflects higher nominal sales-per-worker in lower-price-level economies rather than a substantive institutional level effect, so ICRV partly co-varies with the development and price level of an economy. We mitigate this in two ways, by absorbing price levels through country-year fixed effects in the level benchmark (M5) and by reading the institutional claim off the</w:t>
      </w:r>
      <w:r>
        <w:t xml:space="preserve"> </w:t>
      </w:r>
      <w:r>
        <w:rPr>
          <w:iCs/>
          <w:i/>
        </w:rPr>
        <w:t xml:space="preserve">interaction</w:t>
      </w:r>
      <w:r>
        <w:t xml:space="preserve"> </w:t>
      </w:r>
      <w:r>
        <w:t xml:space="preserve">terms rather than the main effect; nevertheless, the ordinal scale cannot fully disentangle institutional quality from broader development. Future work should validate ICRV against external governance indices (for example, the Worldwide Governance Indicators) and test whether a continuous institutional-quality measure reproduces the concavity gradient.</w:t>
      </w:r>
    </w:p>
    <w:p>
      <w:pPr>
        <w:pStyle w:val="BodyText"/>
      </w:pPr>
      <w:r>
        <w:t xml:space="preserve">Fourth, the sampling frame is deliberately Asia-Pacific, so the relocated-optimum and substitution results should be generalised to other regions only with caution until replicated; the transcontinental-exclusion robustness check (Section 3.1) guards internal consistency but not external transportability. Fifth, productivity and the focal predictors are drawn from the same firm survey instrument, raising a common-source concern, although the objective, register-style nature of the items (sales, worker counts, certification, website presence) limits its severity.</w:t>
      </w:r>
    </w:p>
    <w:p>
      <w:pPr>
        <w:pStyle w:val="BodyText"/>
      </w:pPr>
      <w:r>
        <w:t xml:space="preserve">A final coverage note: the dataset covers 45 ICRV-mapped economies across six regime groups; Oman’s only available wave (2003) lacks the core productivity and export-intensity items and so does not enter the estimation sample. Future waves of the Oman WBES would sharpen Group II estimates.</w:t>
      </w:r>
    </w:p>
    <w:bookmarkEnd w:id="49"/>
    <w:bookmarkStart w:id="50" w:name="practical-and-policy-implications"/>
    <w:p>
      <w:pPr>
        <w:pStyle w:val="Heading3"/>
      </w:pPr>
      <w:r>
        <w:t xml:space="preserve">5.7 Practical and Policy Implications</w:t>
      </w:r>
    </w:p>
    <w:p>
      <w:pPr>
        <w:pStyle w:val="FirstParagraph"/>
      </w:pPr>
      <w:r>
        <w:t xml:space="preserve">The relocated-optimum logic translates into a sequencing rule for managers rather than a uniform prescription to internationalise. Because the performance-maximising export intensity sits near 37% of sales in the pooled frame, firms below that threshold are on the ascending limb, where the binding task is removing barriers to export expansion and the marginal return to additional foreign sales is positive. Firms already beyond their regime-specific optimum face a different problem: the constraint is coordination capacity, not market access, and further export commitment erodes productivity, most steeply in weaker-institution regimes where the concavity is sharpest. The same model therefore prescribes opposite actions, expand versus consolidate, depending on a firm’s position on a curve whose location managers can in principle estimate from their own export share and institutional context.</w:t>
      </w:r>
    </w:p>
    <w:p>
      <w:pPr>
        <w:pStyle w:val="BodyText"/>
      </w:pPr>
      <w:r>
        <w:t xml:space="preserve">For digital strategy, the substitution result implies that foundational digitalisation is a higher-leverage instrument precisely where institutions are weakest. In frontier and vulnerable regimes, basic digital interfaces partly stand in for the contract-enforcement and market-information functions that thin institutions fail to provide, so the per-unit performance return to adoption is largest there; in digitally saturated advanced economies the same investment is closer to a competitive-parity hygiene factor. Managers in weak-institution settings should thus sequence foundational digital adoption alongside, not after, export expansion, while those in advanced economies should look beyond Tier 1–2 tools to deeper digital capabilities for differentiation. Technological capability, by contrast, is best read as a baseline performance lever that lifts the floor across all export intensities rather than a curve-shifting intervention.</w:t>
      </w:r>
    </w:p>
    <w:p>
      <w:pPr>
        <w:pStyle w:val="BodyText"/>
      </w:pPr>
      <w:r>
        <w:t xml:space="preserve">For policy, the findings sharpen where digitalisation support yields the highest social return. Programmes that subsidise or de-risk foundational firm digital adoption are likely to generate stronger firm-level productivity gains in frontier and small-island economies than equivalent programmes in advanced ones, making digital public infrastructure a complement to, and partial near-term substitute for, the slower work of institutional reform. At the same time, the steep descending-limb penalty in weak-institution regimes cautions against export-promotion policies that push firms toward maximal foreign-sales intensity irrespective of coordination capacity; institutional development that flattens the concavity remains the first-best lever for raising the returns to deep internationalisation.</w:t>
      </w:r>
    </w:p>
    <w:p>
      <w:r>
        <w:pict>
          <v:rect style="width:0;height:1.5pt" o:hralign="center" o:hrstd="t" o:hr="t"/>
        </w:pict>
      </w:r>
    </w:p>
    <w:bookmarkEnd w:id="50"/>
    <w:bookmarkEnd w:id="51"/>
    <w:bookmarkStart w:id="52" w:name="conclusions"/>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peaking at approximately 37% export intensity, yet its optimum is jointly conditioned by institutional regime and digital capability, institutions governing the curve’s amplitude and digital capability reshaping it,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(suggestively) a partial substitute for institutional infrastructure; the</w:t>
      </w:r>
      <w:r>
        <w:t xml:space="preserve"> </w:t>
      </w:r>
      <m:oMath>
        <m:r>
          <m:rPr>
            <m:nor/>
            <m:sty m:val="p"/>
          </m:rPr>
          <m:t>DAI</m:t>
        </m:r>
        <m:r>
          <m:rPr>
            <m:sty m:val="p"/>
          </m:rPr>
          <m:t>×</m:t>
        </m:r>
        <m:r>
          <m:rPr>
            <m:nor/>
            <m:sty m:val="p"/>
          </m:rPr>
          <m:t>ICRV</m:t>
        </m:r>
      </m:oMath>
      <w:r>
        <w:t xml:space="preserve"> </w:t>
      </w:r>
      <w:r>
        <w:t xml:space="preserve">interaction at the level margin (p =.049, pre-correction borderline; Section 5.4) points toward digitalisation as a high-leverage instrument in frontier and vulnerable regimes, conditional on replication with Tier 3–4 digital instruments.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the sample’s largest Group IV economy,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2"/>
    <w:bookmarkStart w:id="53" w:name="data-availability-and-acknowledgements"/>
    <w:p>
      <w:pPr>
        <w:pStyle w:val="Heading2"/>
      </w:pPr>
      <w:r>
        <w:t xml:space="preserve">Data Availability and Acknowledgements</w:t>
      </w:r>
    </w:p>
    <w:p>
      <w:pPr>
        <w:pStyle w:val="FirstParagraph"/>
      </w:pPr>
      <w:r>
        <w:t xml:space="preserve">The microdata analysed in this study are publicly available from the World Bank Enterprise Surveys (www.enterprisesurveys.org). The authors gratefully acknowledge the World Bank Enterprise Analysis Unit for collecting and curating the data; the findings, interpretations, and conclusions are those of the authors and do not necessarily reflect the views of the World Bank. Harmonisation code and replication materials are available from the authors on reasonable request.</w:t>
      </w:r>
    </w:p>
    <w:p>
      <w:r>
        <w:pict>
          <v:rect style="width:0;height:1.5pt" o:hralign="center" o:hrstd="t" o:hr="t"/>
        </w:pict>
      </w:r>
    </w:p>
    <w:bookmarkEnd w:id="53"/>
    <w:bookmarkStart w:id="54" w:name="conflict-of-interest"/>
    <w:p>
      <w:pPr>
        <w:pStyle w:val="Heading2"/>
      </w:pPr>
      <w:r>
        <w:t xml:space="preserve">Conflict of Interest</w:t>
      </w:r>
    </w:p>
    <w:p>
      <w:pPr>
        <w:pStyle w:val="FirstParagraph"/>
      </w:pPr>
      <w:r>
        <w:t xml:space="preserve">The authors declare no conflict of interest.</w:t>
      </w:r>
    </w:p>
    <w:bookmarkEnd w:id="54"/>
    <w:bookmarkStart w:id="55"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5"/>
    <w:bookmarkStart w:id="5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underlying WBES data covering 45 Asian and Pacific economies (98 country-year waves). The findings, interpretations, and conclusions expressed in this paper are entirely those of the authors and do not necessarily represent the views of the World Bank Group, its Executive Directors, or the governments they represent.</w:t>
      </w:r>
    </w:p>
    <w:bookmarkEnd w:id="56"/>
    <w:bookmarkStart w:id="57"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consistency checking of statistical notation across the M0–M11 model ladder, formatting of the reference list, and assembly of replication-package documentation. All conceptual framing (including the CDCM framework and ICRV regime construct), hypothesis development, empirical analysis, results interpretation, and final wording were authored by the human authors, who take full responsibility for the content of the publication.</w:t>
      </w:r>
    </w:p>
    <w:bookmarkEnd w:id="57"/>
    <w:bookmarkStart w:id="5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Authors. (2024).</w:t>
      </w:r>
      <w:r>
        <w:t xml:space="preserve"> </w:t>
      </w:r>
      <w:r>
        <w:rPr>
          <w:iCs/>
          <w:i/>
        </w:rPr>
        <w:t xml:space="preserve">Internationalization and firm performance: A meta-analysis for Asia-Pacific economies</w:t>
      </w:r>
      <w:r>
        <w:t xml:space="preserve">. Paper presented at an international conference on business, economics, and finance. [Author details removed for blind review.]</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8"/>
    <w:bookmarkStart w:id="59"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&lt;.001, ** p &lt;.01, * p &lt;.05, † p &lt;.10. Controls (female_owner, foreign_own_pct, firm_age, ln_size) included in M7–M10 but not reported for space. M11 (N=28,500, Adj</w:t>
      </w:r>
      <m:oMath>
        <m:sSup>
          <m:e>
            <m:r>
              <m:t>R</m:t>
            </m:r>
          </m:e>
          <m:sup>
            <m:r>
              <m:t>2</m:t>
            </m:r>
          </m:sup>
        </m:sSup>
      </m:oMath>
      <w:r>
        <w:t xml:space="preserve">=.057, TP=25.7%, LM p =.026):</w:t>
      </w:r>
      <w:r>
        <w:t xml:space="preserve"> </w:t>
      </w:r>
      <m:oMath>
        <m:r>
          <m:rPr>
            <m:nor/>
            <m:sty m:val="p"/>
          </m:rPr>
          <m:t>DAI</m:t>
        </m:r>
        <m:r>
          <m:rPr>
            <m:sty m:val="p"/>
          </m:rPr>
          <m:t>×</m:t>
        </m:r>
        <m:r>
          <m:rPr>
            <m:nor/>
            <m:sty m:val="p"/>
          </m:rPr>
          <m:t>ICRV</m:t>
        </m:r>
      </m:oMath>
      <w:r>
        <w:t xml:space="preserve">=+0.052</w:t>
      </w:r>
      <w:r>
        <w:rPr>
          <w:iCs/>
          <w:i/>
        </w:rPr>
        <w:t xml:space="preserve">, three-way</w:t>
      </w:r>
      <w:r>
        <w:rPr>
          <w:iCs/>
          <w:i/>
        </w:rPr>
        <w:t xml:space="preserve"> </w:t>
      </w:r>
      <m:oMath>
        <m:r>
          <m:rPr>
            <m:nor/>
            <m:sty m:val="p"/>
          </m:rPr>
          <m:t>FSTS</m:t>
        </m:r>
        <m:r>
          <m:rPr>
            <m:sty m:val="p"/>
          </m:rPr>
          <m:t>×</m:t>
        </m:r>
        <m:r>
          <m:rPr>
            <m:nor/>
            <m:sty m:val="p"/>
          </m:rPr>
          <m:t>DAI</m:t>
        </m:r>
        <m:r>
          <m:rPr>
            <m:sty m:val="p"/>
          </m:rPr>
          <m:t>×</m:t>
        </m:r>
        <m:r>
          <m:rPr>
            <m:nor/>
            <m:sty m:val="p"/>
          </m:rPr>
          <m:t>ICRV</m:t>
        </m:r>
      </m:oMath>
      <w:r>
        <w:rPr>
          <w:iCs/>
          <w:i/>
        </w:rPr>
        <w:t xml:space="preserve">=−0.016 (NS), mgr_experience=+0.022</w:t>
      </w:r>
      <w:r>
        <w:rPr>
          <w:bCs/>
          <w:b/>
        </w:rPr>
        <w:t xml:space="preserve">, FSTS</w:t>
      </w:r>
      <m:oMath>
        <m:r>
          <m:rPr>
            <m:sty m:val="p"/>
          </m:rPr>
          <m:t>×</m:t>
        </m:r>
      </m:oMath>
      <w:r>
        <w:rPr>
          <w:bCs/>
          <w:b/>
        </w:rPr>
        <w:t xml:space="preserve">mgr=+0.007 (NS), mgr_female=+0.210</w:t>
      </w:r>
      <w:r>
        <w:t xml:space="preserve">*, female_owner=+0.122**.</w:t>
      </w:r>
    </w:p>
    <w:p>
      <w:r>
        <w:pict>
          <v:rect style="width:0;height:1.5pt" o:hralign="center" o:hrstd="t" o:hr="t"/>
        </w:pict>
      </w:r>
    </w:p>
    <w:bookmarkEnd w:id="59"/>
    <w:bookmarkStart w:id="60"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t xml:space="preserve">[Author identifying information removed for blind review.]</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2026-06-03T03:37:46Z</dcterms:created>
  <dcterms:modified xsi:type="dcterms:W3CDTF">2026-06-03T03:37:46Z</dcterms:modified>
</cp:coreProperties>
</file>

<file path=docProps/custom.xml><?xml version="1.0" encoding="utf-8"?>
<Properties xmlns="http://schemas.openxmlformats.org/officeDocument/2006/custom-properties" xmlns:vt="http://schemas.openxmlformats.org/officeDocument/2006/docPropsVTypes"/>
</file>