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bối cảnh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hoạt động kinh doanh;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số quốc tế trên tổng doanh số</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hoạt động kinh doanh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hoạt động kinh doanh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hoạt động kinh doanh châu Á 2009–2025 —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Sales to Total Sales)</w:t>
      </w:r>
      <w:r>
        <w:t xml:space="preserve">:</w:t>
      </w:r>
      <w:r>
        <w:t xml:space="preserve"> </w:t>
      </w:r>
      <w:r>
        <w:rPr>
          <w:rStyle w:val="VerbatimChar"/>
        </w:rPr>
        <w:t xml:space="preserve">FSTS = d3c / 100</w:t>
      </w:r>
      <w:r>
        <w:t xml:space="preserve">, trong đó d3c là tỷ lệ doanh thu xuất khẩu trực tiếp trên tổng doanh thu (nhất quán với định nghĩa trong CĐ2 và các bản thảo P3–P5/P7/P8).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d3c/100,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hoạt động kinh doanh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hoạt động kinh doanh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ngưỡng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Áp dụng số và Năng lực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ngưỡng ≈ 39–46% FSTS; Singapore → tuyến tính dương + bậc hai nhẹ, điểm ngưỡng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bối cảnh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hoạt động kinh doanh khác biệt thực sự —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p>
      <w:pPr>
        <w:pStyle w:val="BodyTex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ngưỡng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ngưỡng ~47%</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ngưỡng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ba69c568898f5be6dd187064545e4b695772442"/>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cff4d6e38b2807e38398c46cc003f19f0870721"/>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ngưỡng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dae8bd91b7a66085efb248b8743b187c1ad134"/>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c0d0a4ac1970454ec7a9406872ce19583983fc7"/>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 8,8%; FDI ≥10% chiếm 6,0%. Quan hệ FSTS – năng suất có dạng hàm bậc hai (U ngược) với điểm ngưỡng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6"/>
    <w:bookmarkStart w:id="67" w:name="X2e3bf564c07513beffd6d89139670937864989e"/>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7"/>
    <w:bookmarkStart w:id="68" w:name="Xd73094d8bef136e9846d3fa666530217d2cc4a8"/>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ab836cafea807ed77f15b21cd94cc6b892d6d3c"/>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73"/>
    <w:bookmarkStart w:id="74" w:name="Xade5b455581c2336d77181f962fe777af946445"/>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gánh nặng quốc tế hóa bắt buộc.</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ngưỡng 39–46%; Trung Quốc điểm ngưỡng 47–49%); gần tuyến tính tại Advanced (Singapore điểm ngưỡng 82%);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gánh nặng quốc tế hóa bắt buộc</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ngưỡng (39–46%). Trung Quốc R&amp;D 39,4% và điểm ngưỡng cao hơn (47–49%) cho thấy: Sự chênh lệch điểm ngưỡng giữa Trung Quốc (TP ~47–49%, Nhóm III) và Việt Nam (TP ~39–46%, Nhóm IV) phản ánh gradient ICRV, không phải gradient TCI. TCI nâng mặt bằng năng suất ở mọi mức FSTS (hiệu ứng level-shift) nhưng không trực tiếp quyết định vị trí điểm ngưỡng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ngưỡng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2026-05-25T01:54:17Z</dcterms:created>
  <dcterms:modified xsi:type="dcterms:W3CDTF">2026-05-25T01:54:17Z</dcterms:modified>
</cp:coreProperties>
</file>

<file path=docProps/custom.xml><?xml version="1.0" encoding="utf-8"?>
<Properties xmlns="http://schemas.openxmlformats.org/officeDocument/2006/custom-properties" xmlns:vt="http://schemas.openxmlformats.org/officeDocument/2006/docPropsVTypes"/>
</file>